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75E52" w14:textId="77777777" w:rsidR="00AC0279" w:rsidRPr="00941818" w:rsidRDefault="00941818" w:rsidP="00586CCF">
      <w:pPr>
        <w:spacing w:line="360" w:lineRule="auto"/>
        <w:rPr>
          <w:rFonts w:ascii="Times New Roman" w:hAnsi="Times New Roman" w:cs="Times New Roman"/>
          <w:b/>
          <w:sz w:val="28"/>
          <w:szCs w:val="28"/>
        </w:rPr>
      </w:pPr>
      <w:bookmarkStart w:id="0" w:name="_GoBack"/>
      <w:bookmarkEnd w:id="0"/>
      <w:r w:rsidRPr="00941818">
        <w:rPr>
          <w:rFonts w:ascii="Times New Roman" w:hAnsi="Times New Roman" w:cs="Times New Roman"/>
          <w:b/>
          <w:sz w:val="28"/>
          <w:szCs w:val="28"/>
        </w:rPr>
        <w:t xml:space="preserve">4. </w:t>
      </w:r>
      <w:r w:rsidR="00AC0279" w:rsidRPr="00941818">
        <w:rPr>
          <w:rFonts w:ascii="Times New Roman" w:hAnsi="Times New Roman" w:cs="Times New Roman"/>
          <w:b/>
          <w:sz w:val="28"/>
          <w:szCs w:val="28"/>
        </w:rPr>
        <w:t xml:space="preserve">Budgetary Review and Recommendation Report of the Portfolio Committee on Trade and Industry, dated </w:t>
      </w:r>
      <w:r w:rsidR="0018002F" w:rsidRPr="00941818">
        <w:rPr>
          <w:rFonts w:ascii="Times New Roman" w:hAnsi="Times New Roman" w:cs="Times New Roman"/>
          <w:b/>
          <w:sz w:val="28"/>
          <w:szCs w:val="28"/>
        </w:rPr>
        <w:t>18</w:t>
      </w:r>
      <w:r w:rsidR="007C1D2F" w:rsidRPr="00941818">
        <w:rPr>
          <w:rFonts w:ascii="Times New Roman" w:hAnsi="Times New Roman" w:cs="Times New Roman"/>
          <w:b/>
          <w:sz w:val="28"/>
          <w:szCs w:val="28"/>
        </w:rPr>
        <w:t xml:space="preserve"> </w:t>
      </w:r>
      <w:r w:rsidR="008F45B7" w:rsidRPr="00941818">
        <w:rPr>
          <w:rFonts w:ascii="Times New Roman" w:hAnsi="Times New Roman" w:cs="Times New Roman"/>
          <w:b/>
          <w:sz w:val="28"/>
          <w:szCs w:val="28"/>
        </w:rPr>
        <w:t>October 2017</w:t>
      </w:r>
    </w:p>
    <w:p w14:paraId="58EA268F" w14:textId="77777777" w:rsidR="00750777" w:rsidRPr="00586CCF" w:rsidRDefault="00750777" w:rsidP="00586CCF">
      <w:pPr>
        <w:spacing w:line="360" w:lineRule="auto"/>
        <w:rPr>
          <w:rFonts w:ascii="Times New Roman" w:hAnsi="Times New Roman" w:cs="Times New Roman"/>
          <w:sz w:val="24"/>
          <w:szCs w:val="24"/>
        </w:rPr>
      </w:pPr>
    </w:p>
    <w:p w14:paraId="29D633B0" w14:textId="77777777" w:rsidR="00AC0279" w:rsidRPr="00586CCF" w:rsidRDefault="00AC0279"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Portfolio Committee on Trade and Industry, </w:t>
      </w:r>
      <w:r w:rsidR="00483E06" w:rsidRPr="00586CCF">
        <w:rPr>
          <w:rFonts w:ascii="Times New Roman" w:hAnsi="Times New Roman" w:cs="Times New Roman"/>
          <w:sz w:val="24"/>
          <w:szCs w:val="24"/>
        </w:rPr>
        <w:t>having assessed the service delivery performance of the Department of Trade and Industry, against its mandate and allocated resources</w:t>
      </w:r>
      <w:r w:rsidR="007E4A9A" w:rsidRPr="00586CCF">
        <w:rPr>
          <w:rFonts w:ascii="Times New Roman" w:hAnsi="Times New Roman" w:cs="Times New Roman"/>
          <w:sz w:val="24"/>
          <w:szCs w:val="24"/>
        </w:rPr>
        <w:t>,</w:t>
      </w:r>
      <w:r w:rsidR="00483E06" w:rsidRPr="00586CCF">
        <w:rPr>
          <w:rFonts w:ascii="Times New Roman" w:hAnsi="Times New Roman" w:cs="Times New Roman"/>
          <w:sz w:val="24"/>
          <w:szCs w:val="24"/>
        </w:rPr>
        <w:t xml:space="preserve"> </w:t>
      </w:r>
      <w:r w:rsidR="000D29D3" w:rsidRPr="00586CCF">
        <w:rPr>
          <w:rFonts w:ascii="Times New Roman" w:hAnsi="Times New Roman" w:cs="Times New Roman"/>
          <w:sz w:val="24"/>
          <w:szCs w:val="24"/>
        </w:rPr>
        <w:t xml:space="preserve">in particular the financial resources </w:t>
      </w:r>
      <w:r w:rsidR="00483E06" w:rsidRPr="00586CCF">
        <w:rPr>
          <w:rFonts w:ascii="Times New Roman" w:hAnsi="Times New Roman" w:cs="Times New Roman"/>
          <w:sz w:val="24"/>
          <w:szCs w:val="24"/>
        </w:rPr>
        <w:t xml:space="preserve">for the </w:t>
      </w:r>
      <w:r w:rsidR="00146E10" w:rsidRPr="00586CCF">
        <w:rPr>
          <w:rFonts w:ascii="Times New Roman" w:hAnsi="Times New Roman" w:cs="Times New Roman"/>
          <w:sz w:val="24"/>
          <w:szCs w:val="24"/>
        </w:rPr>
        <w:t xml:space="preserve">period </w:t>
      </w:r>
      <w:r w:rsidR="000D29D3" w:rsidRPr="00586CCF">
        <w:rPr>
          <w:rFonts w:ascii="Times New Roman" w:hAnsi="Times New Roman" w:cs="Times New Roman"/>
          <w:sz w:val="24"/>
          <w:szCs w:val="24"/>
        </w:rPr>
        <w:t xml:space="preserve">1 April </w:t>
      </w:r>
      <w:r w:rsidR="00483E06" w:rsidRPr="00586CCF">
        <w:rPr>
          <w:rFonts w:ascii="Times New Roman" w:hAnsi="Times New Roman" w:cs="Times New Roman"/>
          <w:sz w:val="24"/>
          <w:szCs w:val="24"/>
        </w:rPr>
        <w:t>201</w:t>
      </w:r>
      <w:r w:rsidR="001310A4" w:rsidRPr="00586CCF">
        <w:rPr>
          <w:rFonts w:ascii="Times New Roman" w:hAnsi="Times New Roman" w:cs="Times New Roman"/>
          <w:sz w:val="24"/>
          <w:szCs w:val="24"/>
        </w:rPr>
        <w:t>6</w:t>
      </w:r>
      <w:r w:rsidR="000D29D3" w:rsidRPr="00586CCF">
        <w:rPr>
          <w:rFonts w:ascii="Times New Roman" w:hAnsi="Times New Roman" w:cs="Times New Roman"/>
          <w:sz w:val="24"/>
          <w:szCs w:val="24"/>
        </w:rPr>
        <w:t xml:space="preserve"> to 3</w:t>
      </w:r>
      <w:r w:rsidR="00970005" w:rsidRPr="00586CCF">
        <w:rPr>
          <w:rFonts w:ascii="Times New Roman" w:hAnsi="Times New Roman" w:cs="Times New Roman"/>
          <w:sz w:val="24"/>
          <w:szCs w:val="24"/>
        </w:rPr>
        <w:t>0</w:t>
      </w:r>
      <w:r w:rsidR="000D29D3" w:rsidRPr="00586CCF">
        <w:rPr>
          <w:rFonts w:ascii="Times New Roman" w:hAnsi="Times New Roman" w:cs="Times New Roman"/>
          <w:sz w:val="24"/>
          <w:szCs w:val="24"/>
        </w:rPr>
        <w:t xml:space="preserve"> </w:t>
      </w:r>
      <w:r w:rsidR="006B47B6" w:rsidRPr="00586CCF">
        <w:rPr>
          <w:rFonts w:ascii="Times New Roman" w:hAnsi="Times New Roman" w:cs="Times New Roman"/>
          <w:sz w:val="24"/>
          <w:szCs w:val="24"/>
        </w:rPr>
        <w:t xml:space="preserve">June </w:t>
      </w:r>
      <w:r w:rsidR="000D29D3" w:rsidRPr="00586CCF">
        <w:rPr>
          <w:rFonts w:ascii="Times New Roman" w:hAnsi="Times New Roman" w:cs="Times New Roman"/>
          <w:sz w:val="24"/>
          <w:szCs w:val="24"/>
        </w:rPr>
        <w:t>20</w:t>
      </w:r>
      <w:r w:rsidR="00483E06" w:rsidRPr="00586CCF">
        <w:rPr>
          <w:rFonts w:ascii="Times New Roman" w:hAnsi="Times New Roman" w:cs="Times New Roman"/>
          <w:sz w:val="24"/>
          <w:szCs w:val="24"/>
        </w:rPr>
        <w:t>1</w:t>
      </w:r>
      <w:r w:rsidR="001310A4" w:rsidRPr="00586CCF">
        <w:rPr>
          <w:rFonts w:ascii="Times New Roman" w:hAnsi="Times New Roman" w:cs="Times New Roman"/>
          <w:sz w:val="24"/>
          <w:szCs w:val="24"/>
        </w:rPr>
        <w:t>7</w:t>
      </w:r>
      <w:r w:rsidRPr="00586CCF">
        <w:rPr>
          <w:rFonts w:ascii="Times New Roman" w:hAnsi="Times New Roman" w:cs="Times New Roman"/>
          <w:sz w:val="24"/>
          <w:szCs w:val="24"/>
        </w:rPr>
        <w:t>, reports as follows:</w:t>
      </w:r>
    </w:p>
    <w:p w14:paraId="1989A475" w14:textId="77777777" w:rsidR="00AC0279" w:rsidRPr="00586CCF" w:rsidRDefault="00AC0279" w:rsidP="00586CCF">
      <w:pPr>
        <w:spacing w:line="360" w:lineRule="auto"/>
        <w:rPr>
          <w:rFonts w:ascii="Times New Roman" w:hAnsi="Times New Roman" w:cs="Times New Roman"/>
          <w:sz w:val="24"/>
          <w:szCs w:val="24"/>
        </w:rPr>
      </w:pPr>
    </w:p>
    <w:p w14:paraId="5076D4D9" w14:textId="77777777" w:rsidR="00AC0279" w:rsidRPr="00510A07" w:rsidRDefault="00AC0279" w:rsidP="000C1D84">
      <w:pPr>
        <w:pStyle w:val="Heading11"/>
      </w:pPr>
      <w:bookmarkStart w:id="1" w:name="_Toc370119564"/>
      <w:r w:rsidRPr="00510A07">
        <w:t>Introduction</w:t>
      </w:r>
      <w:bookmarkEnd w:id="1"/>
      <w:r w:rsidRPr="00510A07">
        <w:t xml:space="preserve"> </w:t>
      </w:r>
    </w:p>
    <w:p w14:paraId="79D07972" w14:textId="77777777" w:rsidR="00822E1E" w:rsidRPr="00586CCF" w:rsidRDefault="00822E1E" w:rsidP="00586CCF">
      <w:pPr>
        <w:spacing w:line="360" w:lineRule="auto"/>
        <w:rPr>
          <w:rFonts w:ascii="Times New Roman" w:hAnsi="Times New Roman" w:cs="Times New Roman"/>
          <w:sz w:val="24"/>
          <w:szCs w:val="24"/>
        </w:rPr>
      </w:pPr>
    </w:p>
    <w:p w14:paraId="4DD00AD7" w14:textId="77777777" w:rsidR="00E37395" w:rsidRPr="00E37395" w:rsidRDefault="00E37395" w:rsidP="00E37395">
      <w:pPr>
        <w:spacing w:line="360" w:lineRule="auto"/>
        <w:rPr>
          <w:rFonts w:ascii="Times New Roman" w:eastAsia="Calibri" w:hAnsi="Times New Roman" w:cs="Times New Roman"/>
          <w:sz w:val="24"/>
          <w:szCs w:val="24"/>
        </w:rPr>
      </w:pPr>
      <w:r w:rsidRPr="00E37395">
        <w:rPr>
          <w:rFonts w:ascii="Times New Roman" w:eastAsia="Calibri" w:hAnsi="Times New Roman" w:cs="Times New Roman"/>
          <w:sz w:val="24"/>
          <w:szCs w:val="24"/>
        </w:rPr>
        <w:t>This assessment of the Department of Trade and Industry’s</w:t>
      </w:r>
      <w:r>
        <w:rPr>
          <w:rFonts w:ascii="Times New Roman" w:eastAsia="Calibri" w:hAnsi="Times New Roman" w:cs="Times New Roman"/>
          <w:sz w:val="24"/>
          <w:szCs w:val="24"/>
        </w:rPr>
        <w:t xml:space="preserve"> (DTI)</w:t>
      </w:r>
      <w:r w:rsidRPr="00E37395">
        <w:rPr>
          <w:rFonts w:ascii="Times New Roman" w:eastAsia="Calibri" w:hAnsi="Times New Roman" w:cs="Times New Roman"/>
          <w:sz w:val="24"/>
          <w:szCs w:val="24"/>
        </w:rPr>
        <w:t xml:space="preserve"> performance reflects the increasing focus on attracting productive investment to grow the economy and create employment. Accordingly, the </w:t>
      </w:r>
      <w:r>
        <w:rPr>
          <w:rFonts w:ascii="Times New Roman" w:eastAsia="Calibri" w:hAnsi="Times New Roman" w:cs="Times New Roman"/>
          <w:sz w:val="24"/>
          <w:szCs w:val="24"/>
        </w:rPr>
        <w:t>DTI</w:t>
      </w:r>
      <w:r w:rsidRPr="00E37395">
        <w:rPr>
          <w:rFonts w:ascii="Times New Roman" w:eastAsia="Calibri" w:hAnsi="Times New Roman" w:cs="Times New Roman"/>
          <w:sz w:val="24"/>
          <w:szCs w:val="24"/>
        </w:rPr>
        <w:t xml:space="preserve"> is intent on creating a fair regulatory and competitive environment to promote trade and enterprise development using targeted broad-based black economic empowerment interventions such as support for black industrialists, the development of special economic zones and the revitalisation of industrial parks. </w:t>
      </w:r>
    </w:p>
    <w:p w14:paraId="413CC0D5" w14:textId="77777777" w:rsidR="00E37395" w:rsidRPr="00E37395" w:rsidRDefault="00E37395" w:rsidP="00E37395">
      <w:pPr>
        <w:spacing w:line="360" w:lineRule="auto"/>
        <w:rPr>
          <w:rFonts w:ascii="Times New Roman" w:eastAsia="Calibri" w:hAnsi="Times New Roman" w:cs="Times New Roman"/>
          <w:sz w:val="24"/>
          <w:szCs w:val="24"/>
        </w:rPr>
      </w:pPr>
    </w:p>
    <w:p w14:paraId="52BE8657" w14:textId="77777777" w:rsidR="00E37395" w:rsidRPr="00E37395" w:rsidRDefault="00E37395" w:rsidP="00E37395">
      <w:pPr>
        <w:spacing w:line="360" w:lineRule="auto"/>
        <w:rPr>
          <w:rFonts w:ascii="Times New Roman" w:eastAsia="Calibri" w:hAnsi="Times New Roman" w:cs="Times New Roman"/>
          <w:sz w:val="24"/>
          <w:szCs w:val="24"/>
        </w:rPr>
      </w:pPr>
      <w:r w:rsidRPr="00E37395">
        <w:rPr>
          <w:rFonts w:ascii="Times New Roman" w:eastAsia="Calibri" w:hAnsi="Times New Roman" w:cs="Times New Roman"/>
          <w:sz w:val="24"/>
          <w:szCs w:val="24"/>
        </w:rPr>
        <w:t xml:space="preserve">Furthermore, the DTI has invested the largest share of its budget to supporting enterprises through the Incentive Administration and Development Programme. Thus, it has contributed towards growing and increasing the competitiveness of the industrial base, creating jobs, attracting foreign direct investment and facilitating exports. It is not surprising it is oversubscribed. </w:t>
      </w:r>
    </w:p>
    <w:p w14:paraId="7234A513" w14:textId="77777777" w:rsidR="00E37395" w:rsidRPr="00E37395" w:rsidRDefault="00E37395" w:rsidP="00E37395">
      <w:pPr>
        <w:spacing w:line="360" w:lineRule="auto"/>
        <w:rPr>
          <w:rFonts w:ascii="Times New Roman" w:eastAsia="Calibri" w:hAnsi="Times New Roman" w:cs="Times New Roman"/>
          <w:sz w:val="24"/>
          <w:szCs w:val="24"/>
        </w:rPr>
      </w:pPr>
    </w:p>
    <w:p w14:paraId="68ADB233" w14:textId="77777777" w:rsidR="00E37395" w:rsidRPr="00E37395" w:rsidRDefault="00E37395" w:rsidP="00E37395">
      <w:pPr>
        <w:spacing w:line="360" w:lineRule="auto"/>
        <w:rPr>
          <w:rFonts w:ascii="Times New Roman" w:eastAsia="Calibri" w:hAnsi="Times New Roman" w:cs="Times New Roman"/>
          <w:sz w:val="24"/>
          <w:szCs w:val="24"/>
        </w:rPr>
      </w:pPr>
      <w:r w:rsidRPr="00E37395">
        <w:rPr>
          <w:rFonts w:ascii="Times New Roman" w:eastAsia="Calibri" w:hAnsi="Times New Roman" w:cs="Times New Roman"/>
          <w:sz w:val="24"/>
          <w:szCs w:val="24"/>
        </w:rPr>
        <w:t xml:space="preserve">The Investment South Africa Programme is in colloquial parlance “the new kid on the block. For the financial year, the programme had out-performed its target in terms of investments facilitated. The Trade Export South Africa Programme also out-performed its target for exports facilitated. These programmes play a significant role in supporting the industrialisation drive but also promote employment creation and localisation. </w:t>
      </w:r>
    </w:p>
    <w:p w14:paraId="6A9A48BC" w14:textId="77777777" w:rsidR="00E37395" w:rsidRPr="00E37395" w:rsidRDefault="00E37395" w:rsidP="00E37395">
      <w:pPr>
        <w:spacing w:line="360" w:lineRule="auto"/>
        <w:rPr>
          <w:rFonts w:ascii="Times New Roman" w:eastAsia="Calibri" w:hAnsi="Times New Roman" w:cs="Times New Roman"/>
          <w:sz w:val="24"/>
          <w:szCs w:val="24"/>
        </w:rPr>
      </w:pPr>
    </w:p>
    <w:p w14:paraId="3BE537F4" w14:textId="77777777" w:rsidR="00E37395" w:rsidRPr="00E37395" w:rsidRDefault="00E37395" w:rsidP="00E37395">
      <w:pPr>
        <w:spacing w:line="360" w:lineRule="auto"/>
        <w:rPr>
          <w:rFonts w:ascii="Times New Roman" w:eastAsia="Calibri" w:hAnsi="Times New Roman" w:cs="Times New Roman"/>
          <w:sz w:val="24"/>
          <w:szCs w:val="24"/>
        </w:rPr>
      </w:pPr>
      <w:r w:rsidRPr="00E37395">
        <w:rPr>
          <w:rFonts w:ascii="Times New Roman" w:eastAsia="Calibri" w:hAnsi="Times New Roman" w:cs="Times New Roman"/>
          <w:sz w:val="24"/>
          <w:szCs w:val="24"/>
        </w:rPr>
        <w:t xml:space="preserve">The </w:t>
      </w:r>
      <w:r w:rsidR="00AB63A9">
        <w:rPr>
          <w:rFonts w:ascii="Times New Roman" w:eastAsia="Calibri" w:hAnsi="Times New Roman" w:cs="Times New Roman"/>
          <w:sz w:val="24"/>
          <w:szCs w:val="24"/>
        </w:rPr>
        <w:t>DTI</w:t>
      </w:r>
      <w:r w:rsidRPr="00E37395">
        <w:rPr>
          <w:rFonts w:ascii="Times New Roman" w:eastAsia="Calibri" w:hAnsi="Times New Roman" w:cs="Times New Roman"/>
          <w:sz w:val="24"/>
          <w:szCs w:val="24"/>
        </w:rPr>
        <w:t xml:space="preserve"> has also continued to advance regional and international trade, through its participation in various multilateral and African fora and trade negotiations. It remains committed to pursuing the developmental agenda for the Doha Round negotiations of the World Trade Organisation, as well as deepening regional integration in Africa.</w:t>
      </w:r>
    </w:p>
    <w:p w14:paraId="63A05571" w14:textId="77777777" w:rsidR="00E37395" w:rsidRPr="00E37395" w:rsidRDefault="00E37395" w:rsidP="00E37395">
      <w:pPr>
        <w:spacing w:line="360" w:lineRule="auto"/>
        <w:rPr>
          <w:rFonts w:ascii="Times New Roman" w:eastAsia="Calibri" w:hAnsi="Times New Roman" w:cs="Times New Roman"/>
          <w:sz w:val="24"/>
          <w:szCs w:val="24"/>
        </w:rPr>
      </w:pPr>
    </w:p>
    <w:p w14:paraId="18FACD09" w14:textId="77777777" w:rsidR="00E37395" w:rsidRPr="00E37395" w:rsidRDefault="00E37395" w:rsidP="00E37395">
      <w:pPr>
        <w:spacing w:line="360" w:lineRule="auto"/>
        <w:rPr>
          <w:rFonts w:ascii="Times New Roman" w:eastAsia="Calibri" w:hAnsi="Times New Roman" w:cs="Times New Roman"/>
          <w:sz w:val="24"/>
          <w:szCs w:val="24"/>
        </w:rPr>
      </w:pPr>
      <w:r w:rsidRPr="00E37395">
        <w:rPr>
          <w:rFonts w:ascii="Times New Roman" w:eastAsia="Calibri" w:hAnsi="Times New Roman" w:cs="Times New Roman"/>
          <w:sz w:val="24"/>
          <w:szCs w:val="24"/>
        </w:rPr>
        <w:lastRenderedPageBreak/>
        <w:t xml:space="preserve">There have been some concerns regarding the slow pace at which regulatory reforms were occurring. There have been delays in finalising the National Liquor and Gambling Amendment Bills. However, the </w:t>
      </w:r>
      <w:r w:rsidR="00AB63A9">
        <w:rPr>
          <w:rFonts w:ascii="Times New Roman" w:eastAsia="Calibri" w:hAnsi="Times New Roman" w:cs="Times New Roman"/>
          <w:sz w:val="24"/>
          <w:szCs w:val="24"/>
        </w:rPr>
        <w:t>DTI</w:t>
      </w:r>
      <w:r w:rsidRPr="00E37395">
        <w:rPr>
          <w:rFonts w:ascii="Times New Roman" w:eastAsia="Calibri" w:hAnsi="Times New Roman" w:cs="Times New Roman"/>
          <w:sz w:val="24"/>
          <w:szCs w:val="24"/>
        </w:rPr>
        <w:t xml:space="preserve"> had tabled the Copyright and Performers’ Protection Amendment Bills in Parliament, which are before the Committee.</w:t>
      </w:r>
    </w:p>
    <w:p w14:paraId="689884D8" w14:textId="77777777" w:rsidR="00E37395" w:rsidRPr="00E37395" w:rsidRDefault="00E37395" w:rsidP="00E37395">
      <w:pPr>
        <w:spacing w:line="360" w:lineRule="auto"/>
        <w:rPr>
          <w:rFonts w:ascii="Times New Roman" w:eastAsia="Calibri" w:hAnsi="Times New Roman" w:cs="Times New Roman"/>
          <w:sz w:val="24"/>
          <w:szCs w:val="24"/>
        </w:rPr>
      </w:pPr>
    </w:p>
    <w:p w14:paraId="3E2D439C" w14:textId="77777777" w:rsidR="001310A4" w:rsidRDefault="00E37395" w:rsidP="00E37395">
      <w:pPr>
        <w:spacing w:line="360" w:lineRule="auto"/>
        <w:rPr>
          <w:rFonts w:ascii="Times New Roman" w:eastAsia="Calibri" w:hAnsi="Times New Roman" w:cs="Times New Roman"/>
          <w:sz w:val="24"/>
          <w:szCs w:val="24"/>
        </w:rPr>
      </w:pPr>
      <w:r w:rsidRPr="00E37395">
        <w:rPr>
          <w:rFonts w:ascii="Times New Roman" w:eastAsia="Calibri" w:hAnsi="Times New Roman" w:cs="Times New Roman"/>
          <w:sz w:val="24"/>
          <w:szCs w:val="24"/>
        </w:rPr>
        <w:t xml:space="preserve">The </w:t>
      </w:r>
      <w:r w:rsidR="00AB63A9">
        <w:rPr>
          <w:rFonts w:ascii="Times New Roman" w:eastAsia="Calibri" w:hAnsi="Times New Roman" w:cs="Times New Roman"/>
          <w:sz w:val="24"/>
          <w:szCs w:val="24"/>
        </w:rPr>
        <w:t>DTI</w:t>
      </w:r>
      <w:r w:rsidRPr="00E37395">
        <w:rPr>
          <w:rFonts w:ascii="Times New Roman" w:eastAsia="Calibri" w:hAnsi="Times New Roman" w:cs="Times New Roman"/>
          <w:sz w:val="24"/>
          <w:szCs w:val="24"/>
        </w:rPr>
        <w:t xml:space="preserve"> had achieved a clean audit. It had also maintained its standard of paying its creditors within 30 days, and achieved its targets on employing people with disabilities and women at senior management level.</w:t>
      </w:r>
    </w:p>
    <w:p w14:paraId="69879C26" w14:textId="77777777" w:rsidR="00E37395" w:rsidRPr="00E37395" w:rsidRDefault="00E37395" w:rsidP="00E37395">
      <w:pPr>
        <w:spacing w:line="360" w:lineRule="auto"/>
        <w:rPr>
          <w:rFonts w:ascii="Times New Roman" w:eastAsia="Calibri" w:hAnsi="Times New Roman" w:cs="Times New Roman"/>
          <w:sz w:val="24"/>
          <w:szCs w:val="24"/>
        </w:rPr>
      </w:pPr>
    </w:p>
    <w:p w14:paraId="127E4DE7" w14:textId="77777777" w:rsidR="0069691F" w:rsidRPr="000C1D84" w:rsidRDefault="0069691F" w:rsidP="00EF0C57">
      <w:pPr>
        <w:pStyle w:val="Heading22"/>
        <w:numPr>
          <w:ilvl w:val="1"/>
          <w:numId w:val="31"/>
        </w:numPr>
      </w:pPr>
      <w:bookmarkStart w:id="2" w:name="_Toc370119567"/>
      <w:r w:rsidRPr="000C1D84">
        <w:t xml:space="preserve">Mandate of the committee </w:t>
      </w:r>
    </w:p>
    <w:p w14:paraId="127F4035" w14:textId="77777777" w:rsidR="0069691F" w:rsidRPr="00586CCF" w:rsidRDefault="0069691F" w:rsidP="00586CCF">
      <w:pPr>
        <w:spacing w:line="360" w:lineRule="auto"/>
        <w:rPr>
          <w:rFonts w:ascii="Times New Roman" w:hAnsi="Times New Roman" w:cs="Times New Roman"/>
          <w:sz w:val="24"/>
          <w:szCs w:val="24"/>
        </w:rPr>
      </w:pPr>
    </w:p>
    <w:p w14:paraId="36CEE7F4" w14:textId="77777777" w:rsidR="0069691F" w:rsidRPr="00586CCF" w:rsidRDefault="0069691F" w:rsidP="00586CC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Section 5 of the Money Bills Amendment Procedure and Related Matters Act</w:t>
      </w:r>
      <w:r w:rsidR="00487E6C" w:rsidRPr="00586CCF">
        <w:rPr>
          <w:rFonts w:ascii="Times New Roman" w:eastAsia="Calibri" w:hAnsi="Times New Roman" w:cs="Times New Roman"/>
          <w:sz w:val="24"/>
          <w:szCs w:val="24"/>
        </w:rPr>
        <w:t xml:space="preserve"> (No. 9 of 2009)</w:t>
      </w:r>
      <w:r w:rsidRPr="00586CCF">
        <w:rPr>
          <w:rFonts w:ascii="Times New Roman" w:eastAsia="Calibri" w:hAnsi="Times New Roman" w:cs="Times New Roman"/>
          <w:sz w:val="24"/>
          <w:szCs w:val="24"/>
        </w:rPr>
        <w:t xml:space="preserve"> requires the National Assembly, through its committees, to annually assess the performance of each national department</w:t>
      </w:r>
      <w:r w:rsidR="006B47B6" w:rsidRPr="00586CCF">
        <w:rPr>
          <w:rFonts w:ascii="Times New Roman" w:eastAsia="Calibri" w:hAnsi="Times New Roman" w:cs="Times New Roman"/>
          <w:sz w:val="24"/>
          <w:szCs w:val="24"/>
        </w:rPr>
        <w:t xml:space="preserve"> over an 18 month period</w:t>
      </w:r>
      <w:r w:rsidRPr="00586CCF">
        <w:rPr>
          <w:rFonts w:ascii="Times New Roman" w:eastAsia="Calibri" w:hAnsi="Times New Roman" w:cs="Times New Roman"/>
          <w:sz w:val="24"/>
          <w:szCs w:val="24"/>
        </w:rPr>
        <w:t xml:space="preserve">. A committee must submit a report of this assessment known as a </w:t>
      </w:r>
      <w:r w:rsidR="00944C1D" w:rsidRPr="00586CCF">
        <w:rPr>
          <w:rFonts w:ascii="Times New Roman" w:eastAsia="Calibri" w:hAnsi="Times New Roman" w:cs="Times New Roman"/>
          <w:sz w:val="24"/>
          <w:szCs w:val="24"/>
        </w:rPr>
        <w:t>Budget Review and Recommendation (</w:t>
      </w:r>
      <w:r w:rsidR="00210F00" w:rsidRPr="00586CCF">
        <w:rPr>
          <w:rFonts w:ascii="Times New Roman" w:eastAsia="Calibri" w:hAnsi="Times New Roman" w:cs="Times New Roman"/>
          <w:sz w:val="24"/>
          <w:szCs w:val="24"/>
        </w:rPr>
        <w:t>BRR</w:t>
      </w:r>
      <w:r w:rsidR="00944C1D" w:rsidRPr="00586CCF">
        <w:rPr>
          <w:rFonts w:ascii="Times New Roman" w:eastAsia="Calibri" w:hAnsi="Times New Roman" w:cs="Times New Roman"/>
          <w:sz w:val="24"/>
          <w:szCs w:val="24"/>
        </w:rPr>
        <w:t>)</w:t>
      </w:r>
      <w:r w:rsidR="00210F00" w:rsidRPr="00586CCF">
        <w:rPr>
          <w:rFonts w:ascii="Times New Roman" w:eastAsia="Calibri" w:hAnsi="Times New Roman" w:cs="Times New Roman"/>
          <w:sz w:val="24"/>
          <w:szCs w:val="24"/>
        </w:rPr>
        <w:t xml:space="preserve"> </w:t>
      </w:r>
      <w:r w:rsidRPr="00586CCF">
        <w:rPr>
          <w:rFonts w:ascii="Times New Roman" w:eastAsia="Calibri" w:hAnsi="Times New Roman" w:cs="Times New Roman"/>
          <w:sz w:val="24"/>
          <w:szCs w:val="24"/>
        </w:rPr>
        <w:t>Report. The overarching purpose of the BRR</w:t>
      </w:r>
      <w:r w:rsidR="00210F00" w:rsidRPr="00586CCF">
        <w:rPr>
          <w:rFonts w:ascii="Times New Roman" w:eastAsia="Calibri" w:hAnsi="Times New Roman" w:cs="Times New Roman"/>
          <w:sz w:val="24"/>
          <w:szCs w:val="24"/>
        </w:rPr>
        <w:t xml:space="preserve"> </w:t>
      </w:r>
      <w:r w:rsidRPr="00586CCF">
        <w:rPr>
          <w:rFonts w:ascii="Times New Roman" w:eastAsia="Calibri" w:hAnsi="Times New Roman" w:cs="Times New Roman"/>
          <w:sz w:val="24"/>
          <w:szCs w:val="24"/>
        </w:rPr>
        <w:t>R</w:t>
      </w:r>
      <w:r w:rsidR="00210F00" w:rsidRPr="00586CCF">
        <w:rPr>
          <w:rFonts w:ascii="Times New Roman" w:eastAsia="Calibri" w:hAnsi="Times New Roman" w:cs="Times New Roman"/>
          <w:sz w:val="24"/>
          <w:szCs w:val="24"/>
        </w:rPr>
        <w:t>eport</w:t>
      </w:r>
      <w:r w:rsidRPr="00586CCF">
        <w:rPr>
          <w:rFonts w:ascii="Times New Roman" w:eastAsia="Calibri" w:hAnsi="Times New Roman" w:cs="Times New Roman"/>
          <w:sz w:val="24"/>
          <w:szCs w:val="24"/>
        </w:rPr>
        <w:t xml:space="preserve"> is for the committee to make recommendations on the forward use of resources to address the implementation of policy priorities and services, as the relevant department may require additional, reduced or re-configured resources to achieve these priorities and services. This </w:t>
      </w:r>
      <w:r w:rsidR="00210F00" w:rsidRPr="00586CCF">
        <w:rPr>
          <w:rFonts w:ascii="Times New Roman" w:eastAsia="Calibri" w:hAnsi="Times New Roman" w:cs="Times New Roman"/>
          <w:sz w:val="24"/>
          <w:szCs w:val="24"/>
        </w:rPr>
        <w:t xml:space="preserve">Act </w:t>
      </w:r>
      <w:r w:rsidRPr="00586CCF">
        <w:rPr>
          <w:rFonts w:ascii="Times New Roman" w:eastAsia="Calibri" w:hAnsi="Times New Roman" w:cs="Times New Roman"/>
          <w:sz w:val="24"/>
          <w:szCs w:val="24"/>
        </w:rPr>
        <w:t>gives effect to Parliament’s constitutional powers to amend the budget in line with the fiscal framework.</w:t>
      </w:r>
    </w:p>
    <w:p w14:paraId="3AA5460C" w14:textId="77777777" w:rsidR="0069691F" w:rsidRPr="00586CCF" w:rsidRDefault="0069691F" w:rsidP="00586CCF">
      <w:pPr>
        <w:spacing w:line="360" w:lineRule="auto"/>
        <w:rPr>
          <w:rFonts w:ascii="Times New Roman" w:eastAsia="Calibri" w:hAnsi="Times New Roman" w:cs="Times New Roman"/>
          <w:sz w:val="24"/>
          <w:szCs w:val="24"/>
        </w:rPr>
      </w:pPr>
    </w:p>
    <w:p w14:paraId="717CFBFE" w14:textId="77777777" w:rsidR="00694534" w:rsidRPr="00586CCF" w:rsidRDefault="00694534" w:rsidP="00694534">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 xml:space="preserve">The BRR Report process enables the Committee to exercise its legislative responsibility to ensure that the </w:t>
      </w:r>
      <w:r w:rsidR="00AB63A9">
        <w:rPr>
          <w:rFonts w:ascii="Times New Roman" w:eastAsia="Calibri" w:hAnsi="Times New Roman" w:cs="Times New Roman"/>
          <w:sz w:val="24"/>
          <w:szCs w:val="24"/>
        </w:rPr>
        <w:t>DTI</w:t>
      </w:r>
      <w:r w:rsidRPr="00586CCF">
        <w:rPr>
          <w:rFonts w:ascii="Times New Roman" w:eastAsia="Calibri" w:hAnsi="Times New Roman" w:cs="Times New Roman"/>
          <w:sz w:val="24"/>
          <w:szCs w:val="24"/>
        </w:rPr>
        <w:t xml:space="preserve"> and its entities are adequately funded to fulfil their respective mandates. </w:t>
      </w:r>
      <w:r w:rsidRPr="00694534">
        <w:rPr>
          <w:rFonts w:ascii="Times New Roman" w:eastAsia="Calibri" w:hAnsi="Times New Roman" w:cs="Times New Roman"/>
          <w:sz w:val="24"/>
          <w:szCs w:val="24"/>
        </w:rPr>
        <w:t xml:space="preserve">However, as the Budget Office is still in the process of becoming fully functional, the Committee was unable to exercise its full powers on providing detailed budgetary recommendations. </w:t>
      </w:r>
      <w:r w:rsidRPr="00586CCF">
        <w:rPr>
          <w:rFonts w:ascii="Times New Roman" w:eastAsia="Calibri" w:hAnsi="Times New Roman" w:cs="Times New Roman"/>
          <w:sz w:val="24"/>
          <w:szCs w:val="24"/>
        </w:rPr>
        <w:t xml:space="preserve">The Committee looks forward to a fully operational Budget Office, which will substantively contribute to the budgetary support the Committee requires to undertake this process. </w:t>
      </w:r>
    </w:p>
    <w:p w14:paraId="62DC43F8" w14:textId="77777777" w:rsidR="0069691F" w:rsidRPr="00586CCF" w:rsidRDefault="0069691F" w:rsidP="00586CCF">
      <w:pPr>
        <w:spacing w:line="360" w:lineRule="auto"/>
        <w:rPr>
          <w:rFonts w:ascii="Times New Roman" w:hAnsi="Times New Roman" w:cs="Times New Roman"/>
          <w:sz w:val="24"/>
          <w:szCs w:val="24"/>
        </w:rPr>
      </w:pPr>
    </w:p>
    <w:p w14:paraId="3728754F" w14:textId="77777777" w:rsidR="00AC0279" w:rsidRPr="00586CCF" w:rsidRDefault="00AC0279" w:rsidP="00EF0C57">
      <w:pPr>
        <w:pStyle w:val="Heading22"/>
      </w:pPr>
      <w:r w:rsidRPr="00586CCF">
        <w:t>Purpose of the BRR Report</w:t>
      </w:r>
      <w:bookmarkEnd w:id="2"/>
      <w:r w:rsidRPr="00586CCF">
        <w:t xml:space="preserve"> </w:t>
      </w:r>
    </w:p>
    <w:p w14:paraId="262926FA" w14:textId="77777777" w:rsidR="0089782B" w:rsidRPr="00586CCF" w:rsidRDefault="0089782B" w:rsidP="00586CCF">
      <w:pPr>
        <w:spacing w:line="360" w:lineRule="auto"/>
        <w:rPr>
          <w:rFonts w:ascii="Times New Roman" w:eastAsia="Calibri" w:hAnsi="Times New Roman" w:cs="Times New Roman"/>
          <w:sz w:val="24"/>
          <w:szCs w:val="24"/>
        </w:rPr>
      </w:pPr>
    </w:p>
    <w:p w14:paraId="13C8FF0B" w14:textId="77777777" w:rsidR="005844F4" w:rsidRPr="00586CCF" w:rsidRDefault="005844F4" w:rsidP="00586CC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 xml:space="preserve">The purpose of this report is to </w:t>
      </w:r>
      <w:r w:rsidR="001E6CB9" w:rsidRPr="00586CCF">
        <w:rPr>
          <w:rFonts w:ascii="Times New Roman" w:eastAsia="Calibri" w:hAnsi="Times New Roman" w:cs="Times New Roman"/>
          <w:sz w:val="24"/>
          <w:szCs w:val="24"/>
        </w:rPr>
        <w:t>analyse</w:t>
      </w:r>
      <w:r w:rsidRPr="00586CCF">
        <w:rPr>
          <w:rFonts w:ascii="Times New Roman" w:eastAsia="Calibri" w:hAnsi="Times New Roman" w:cs="Times New Roman"/>
          <w:sz w:val="24"/>
          <w:szCs w:val="24"/>
        </w:rPr>
        <w:t xml:space="preserve"> the </w:t>
      </w:r>
      <w:r w:rsidR="006B4DB5" w:rsidRPr="00586CCF">
        <w:rPr>
          <w:rFonts w:ascii="Times New Roman" w:eastAsia="Calibri" w:hAnsi="Times New Roman" w:cs="Times New Roman"/>
          <w:sz w:val="24"/>
          <w:szCs w:val="24"/>
        </w:rPr>
        <w:t xml:space="preserve">financial and non-financial </w:t>
      </w:r>
      <w:r w:rsidRPr="00586CCF">
        <w:rPr>
          <w:rFonts w:ascii="Times New Roman" w:eastAsia="Calibri" w:hAnsi="Times New Roman" w:cs="Times New Roman"/>
          <w:sz w:val="24"/>
          <w:szCs w:val="24"/>
        </w:rPr>
        <w:t>performance of the DTI, and</w:t>
      </w:r>
      <w:r w:rsidR="006521C7">
        <w:rPr>
          <w:rFonts w:ascii="Times New Roman" w:eastAsia="Calibri" w:hAnsi="Times New Roman" w:cs="Times New Roman"/>
          <w:sz w:val="24"/>
          <w:szCs w:val="24"/>
        </w:rPr>
        <w:t xml:space="preserve"> its</w:t>
      </w:r>
      <w:r w:rsidRPr="00586CCF">
        <w:rPr>
          <w:rFonts w:ascii="Times New Roman" w:eastAsia="Calibri" w:hAnsi="Times New Roman" w:cs="Times New Roman"/>
          <w:sz w:val="24"/>
          <w:szCs w:val="24"/>
        </w:rPr>
        <w:t xml:space="preserve"> identified entities, against predetermined objectives</w:t>
      </w:r>
      <w:r w:rsidR="00EE4600" w:rsidRPr="00586CCF">
        <w:rPr>
          <w:rFonts w:ascii="Times New Roman" w:eastAsia="Calibri" w:hAnsi="Times New Roman" w:cs="Times New Roman"/>
          <w:sz w:val="24"/>
          <w:szCs w:val="24"/>
        </w:rPr>
        <w:t xml:space="preserve"> to inform recommendations for the</w:t>
      </w:r>
      <w:r w:rsidR="006521C7">
        <w:rPr>
          <w:rFonts w:ascii="Times New Roman" w:eastAsia="Calibri" w:hAnsi="Times New Roman" w:cs="Times New Roman"/>
          <w:sz w:val="24"/>
          <w:szCs w:val="24"/>
        </w:rPr>
        <w:t>ir</w:t>
      </w:r>
      <w:r w:rsidR="00EE4600" w:rsidRPr="00586CCF">
        <w:rPr>
          <w:rFonts w:ascii="Times New Roman" w:eastAsia="Calibri" w:hAnsi="Times New Roman" w:cs="Times New Roman"/>
          <w:sz w:val="24"/>
          <w:szCs w:val="24"/>
        </w:rPr>
        <w:t xml:space="preserve"> forward-looking budget</w:t>
      </w:r>
      <w:r w:rsidR="006521C7">
        <w:rPr>
          <w:rFonts w:ascii="Times New Roman" w:eastAsia="Calibri" w:hAnsi="Times New Roman" w:cs="Times New Roman"/>
          <w:sz w:val="24"/>
          <w:szCs w:val="24"/>
        </w:rPr>
        <w:t>s</w:t>
      </w:r>
      <w:r w:rsidRPr="00586CCF">
        <w:rPr>
          <w:rFonts w:ascii="Times New Roman" w:eastAsia="Calibri" w:hAnsi="Times New Roman" w:cs="Times New Roman"/>
          <w:sz w:val="24"/>
          <w:szCs w:val="24"/>
        </w:rPr>
        <w:t xml:space="preserve">. This report </w:t>
      </w:r>
      <w:r w:rsidR="004543E7" w:rsidRPr="00586CCF">
        <w:rPr>
          <w:rFonts w:ascii="Times New Roman" w:eastAsia="Calibri" w:hAnsi="Times New Roman" w:cs="Times New Roman"/>
          <w:sz w:val="24"/>
          <w:szCs w:val="24"/>
        </w:rPr>
        <w:t xml:space="preserve">assesses </w:t>
      </w:r>
      <w:r w:rsidRPr="00586CCF">
        <w:rPr>
          <w:rFonts w:ascii="Times New Roman" w:eastAsia="Calibri" w:hAnsi="Times New Roman" w:cs="Times New Roman"/>
          <w:sz w:val="24"/>
          <w:szCs w:val="24"/>
        </w:rPr>
        <w:t xml:space="preserve">performance for the </w:t>
      </w:r>
      <w:r w:rsidRPr="00586CCF">
        <w:rPr>
          <w:rFonts w:ascii="Times New Roman" w:hAnsi="Times New Roman" w:cs="Times New Roman"/>
          <w:sz w:val="24"/>
          <w:szCs w:val="24"/>
        </w:rPr>
        <w:t>201</w:t>
      </w:r>
      <w:r w:rsidR="00DC046D" w:rsidRPr="00586CCF">
        <w:rPr>
          <w:rFonts w:ascii="Times New Roman" w:hAnsi="Times New Roman" w:cs="Times New Roman"/>
          <w:sz w:val="24"/>
          <w:szCs w:val="24"/>
        </w:rPr>
        <w:t>6</w:t>
      </w:r>
      <w:r w:rsidRPr="00586CCF">
        <w:rPr>
          <w:rFonts w:ascii="Times New Roman" w:eastAsia="Calibri" w:hAnsi="Times New Roman" w:cs="Times New Roman"/>
          <w:sz w:val="24"/>
          <w:szCs w:val="24"/>
        </w:rPr>
        <w:t>/1</w:t>
      </w:r>
      <w:r w:rsidR="00DC046D" w:rsidRPr="00586CCF">
        <w:rPr>
          <w:rFonts w:ascii="Times New Roman" w:eastAsia="Calibri" w:hAnsi="Times New Roman" w:cs="Times New Roman"/>
          <w:sz w:val="24"/>
          <w:szCs w:val="24"/>
        </w:rPr>
        <w:t>7</w:t>
      </w:r>
      <w:r w:rsidRPr="00586CCF">
        <w:rPr>
          <w:rFonts w:ascii="Times New Roman" w:eastAsia="Calibri" w:hAnsi="Times New Roman" w:cs="Times New Roman"/>
          <w:sz w:val="24"/>
          <w:szCs w:val="24"/>
        </w:rPr>
        <w:t xml:space="preserve"> financial year, and the</w:t>
      </w:r>
      <w:r w:rsidRPr="00586CCF">
        <w:rPr>
          <w:rFonts w:ascii="Times New Roman" w:hAnsi="Times New Roman" w:cs="Times New Roman"/>
          <w:sz w:val="24"/>
          <w:szCs w:val="24"/>
        </w:rPr>
        <w:t xml:space="preserve"> first </w:t>
      </w:r>
      <w:r w:rsidR="006B47B6" w:rsidRPr="00586CCF">
        <w:rPr>
          <w:rFonts w:ascii="Times New Roman" w:hAnsi="Times New Roman" w:cs="Times New Roman"/>
          <w:sz w:val="24"/>
          <w:szCs w:val="24"/>
        </w:rPr>
        <w:t xml:space="preserve">three </w:t>
      </w:r>
      <w:r w:rsidRPr="00586CCF">
        <w:rPr>
          <w:rFonts w:ascii="Times New Roman" w:hAnsi="Times New Roman" w:cs="Times New Roman"/>
          <w:sz w:val="24"/>
          <w:szCs w:val="24"/>
        </w:rPr>
        <w:t>months of the 201</w:t>
      </w:r>
      <w:r w:rsidR="00DC046D" w:rsidRPr="00586CCF">
        <w:rPr>
          <w:rFonts w:ascii="Times New Roman" w:hAnsi="Times New Roman" w:cs="Times New Roman"/>
          <w:sz w:val="24"/>
          <w:szCs w:val="24"/>
        </w:rPr>
        <w:t>7</w:t>
      </w:r>
      <w:r w:rsidRPr="00586CCF">
        <w:rPr>
          <w:rFonts w:ascii="Times New Roman" w:eastAsia="Calibri" w:hAnsi="Times New Roman" w:cs="Times New Roman"/>
          <w:sz w:val="24"/>
          <w:szCs w:val="24"/>
        </w:rPr>
        <w:t>/1</w:t>
      </w:r>
      <w:r w:rsidR="00DC046D" w:rsidRPr="00586CCF">
        <w:rPr>
          <w:rFonts w:ascii="Times New Roman" w:eastAsia="Calibri" w:hAnsi="Times New Roman" w:cs="Times New Roman"/>
          <w:sz w:val="24"/>
          <w:szCs w:val="24"/>
        </w:rPr>
        <w:t>8</w:t>
      </w:r>
      <w:r w:rsidRPr="00586CCF">
        <w:rPr>
          <w:rFonts w:ascii="Times New Roman" w:eastAsia="Calibri" w:hAnsi="Times New Roman" w:cs="Times New Roman"/>
          <w:sz w:val="24"/>
          <w:szCs w:val="24"/>
        </w:rPr>
        <w:t xml:space="preserve"> </w:t>
      </w:r>
      <w:r w:rsidR="001E6CB9" w:rsidRPr="00586CCF">
        <w:rPr>
          <w:rFonts w:ascii="Times New Roman" w:eastAsia="Calibri" w:hAnsi="Times New Roman" w:cs="Times New Roman"/>
          <w:sz w:val="24"/>
          <w:szCs w:val="24"/>
        </w:rPr>
        <w:t>financial year</w:t>
      </w:r>
      <w:r w:rsidR="004543E7" w:rsidRPr="00586CCF">
        <w:rPr>
          <w:rFonts w:ascii="Times New Roman" w:eastAsia="Calibri" w:hAnsi="Times New Roman" w:cs="Times New Roman"/>
          <w:sz w:val="24"/>
          <w:szCs w:val="24"/>
        </w:rPr>
        <w:t>, namely</w:t>
      </w:r>
      <w:r w:rsidRPr="00586CCF">
        <w:rPr>
          <w:rFonts w:ascii="Times New Roman" w:eastAsia="Calibri" w:hAnsi="Times New Roman" w:cs="Times New Roman"/>
          <w:sz w:val="24"/>
          <w:szCs w:val="24"/>
        </w:rPr>
        <w:t xml:space="preserve"> </w:t>
      </w:r>
      <w:r w:rsidR="004F01F6" w:rsidRPr="00586CCF">
        <w:rPr>
          <w:rFonts w:ascii="Times New Roman" w:eastAsia="Calibri" w:hAnsi="Times New Roman" w:cs="Times New Roman"/>
          <w:sz w:val="24"/>
          <w:szCs w:val="24"/>
        </w:rPr>
        <w:lastRenderedPageBreak/>
        <w:t>from 1 April 201</w:t>
      </w:r>
      <w:r w:rsidR="00DC046D" w:rsidRPr="00586CCF">
        <w:rPr>
          <w:rFonts w:ascii="Times New Roman" w:eastAsia="Calibri" w:hAnsi="Times New Roman" w:cs="Times New Roman"/>
          <w:sz w:val="24"/>
          <w:szCs w:val="24"/>
        </w:rPr>
        <w:t>6</w:t>
      </w:r>
      <w:r w:rsidR="004F01F6" w:rsidRPr="00586CCF">
        <w:rPr>
          <w:rFonts w:ascii="Times New Roman" w:eastAsia="Calibri" w:hAnsi="Times New Roman" w:cs="Times New Roman"/>
          <w:sz w:val="24"/>
          <w:szCs w:val="24"/>
        </w:rPr>
        <w:t xml:space="preserve"> to 30 </w:t>
      </w:r>
      <w:r w:rsidR="006B47B6" w:rsidRPr="00586CCF">
        <w:rPr>
          <w:rFonts w:ascii="Times New Roman" w:eastAsia="Calibri" w:hAnsi="Times New Roman" w:cs="Times New Roman"/>
          <w:sz w:val="24"/>
          <w:szCs w:val="24"/>
        </w:rPr>
        <w:t xml:space="preserve">June </w:t>
      </w:r>
      <w:r w:rsidR="004F01F6" w:rsidRPr="00586CCF">
        <w:rPr>
          <w:rFonts w:ascii="Times New Roman" w:eastAsia="Calibri" w:hAnsi="Times New Roman" w:cs="Times New Roman"/>
          <w:sz w:val="24"/>
          <w:szCs w:val="24"/>
        </w:rPr>
        <w:t>201</w:t>
      </w:r>
      <w:r w:rsidR="00DC046D" w:rsidRPr="00586CCF">
        <w:rPr>
          <w:rFonts w:ascii="Times New Roman" w:eastAsia="Calibri" w:hAnsi="Times New Roman" w:cs="Times New Roman"/>
          <w:sz w:val="24"/>
          <w:szCs w:val="24"/>
        </w:rPr>
        <w:t>7</w:t>
      </w:r>
      <w:r w:rsidR="004F01F6" w:rsidRPr="00586CCF">
        <w:rPr>
          <w:rFonts w:ascii="Times New Roman" w:eastAsia="Calibri" w:hAnsi="Times New Roman" w:cs="Times New Roman"/>
          <w:sz w:val="24"/>
          <w:szCs w:val="24"/>
        </w:rPr>
        <w:t xml:space="preserve"> </w:t>
      </w:r>
      <w:r w:rsidRPr="00586CCF">
        <w:rPr>
          <w:rFonts w:ascii="Times New Roman" w:eastAsia="Calibri" w:hAnsi="Times New Roman" w:cs="Times New Roman"/>
          <w:sz w:val="24"/>
          <w:szCs w:val="24"/>
        </w:rPr>
        <w:t>within the context of the three-year</w:t>
      </w:r>
      <w:r w:rsidR="00622602" w:rsidRPr="00586CCF">
        <w:rPr>
          <w:rFonts w:ascii="Times New Roman" w:eastAsia="Calibri" w:hAnsi="Times New Roman" w:cs="Times New Roman"/>
          <w:sz w:val="24"/>
          <w:szCs w:val="24"/>
        </w:rPr>
        <w:t xml:space="preserve"> </w:t>
      </w:r>
      <w:r w:rsidR="006521C7">
        <w:rPr>
          <w:rFonts w:ascii="Times New Roman" w:eastAsia="Calibri" w:hAnsi="Times New Roman" w:cs="Times New Roman"/>
          <w:sz w:val="24"/>
          <w:szCs w:val="24"/>
        </w:rPr>
        <w:t>Medium Term Expenditure Framework</w:t>
      </w:r>
      <w:r w:rsidRPr="00586CCF">
        <w:rPr>
          <w:rFonts w:ascii="Times New Roman" w:eastAsia="Calibri" w:hAnsi="Times New Roman" w:cs="Times New Roman"/>
          <w:sz w:val="24"/>
          <w:szCs w:val="24"/>
        </w:rPr>
        <w:t>.</w:t>
      </w:r>
    </w:p>
    <w:p w14:paraId="20ED01A5" w14:textId="77777777" w:rsidR="0089782B" w:rsidRPr="00586CCF" w:rsidRDefault="0089782B" w:rsidP="00586CCF">
      <w:pPr>
        <w:spacing w:line="360" w:lineRule="auto"/>
        <w:rPr>
          <w:rFonts w:ascii="Times New Roman" w:eastAsia="Calibri" w:hAnsi="Times New Roman" w:cs="Times New Roman"/>
          <w:sz w:val="24"/>
          <w:szCs w:val="24"/>
        </w:rPr>
      </w:pPr>
    </w:p>
    <w:p w14:paraId="3F64D6B5" w14:textId="77777777" w:rsidR="00AC0279" w:rsidRPr="00586CCF" w:rsidRDefault="00AC0279" w:rsidP="00EF0C57">
      <w:pPr>
        <w:pStyle w:val="Heading22"/>
      </w:pPr>
      <w:bookmarkStart w:id="3" w:name="_Toc370119568"/>
      <w:r w:rsidRPr="00586CCF">
        <w:t>Method</w:t>
      </w:r>
      <w:bookmarkEnd w:id="3"/>
    </w:p>
    <w:p w14:paraId="1A8DA756" w14:textId="77777777" w:rsidR="00AC0279" w:rsidRPr="00586CCF" w:rsidRDefault="00AC0279" w:rsidP="00586CCF">
      <w:pPr>
        <w:pStyle w:val="ListParagraph"/>
        <w:spacing w:line="360" w:lineRule="auto"/>
        <w:ind w:left="0"/>
        <w:rPr>
          <w:rFonts w:ascii="Times New Roman" w:hAnsi="Times New Roman" w:cs="Times New Roman"/>
          <w:sz w:val="24"/>
          <w:szCs w:val="24"/>
        </w:rPr>
      </w:pPr>
    </w:p>
    <w:p w14:paraId="47594FF4" w14:textId="77777777" w:rsidR="00BB78C0" w:rsidRPr="00586CCF" w:rsidRDefault="00A535C3" w:rsidP="00586CCF">
      <w:pPr>
        <w:pStyle w:val="ListParagraph"/>
        <w:spacing w:line="360" w:lineRule="auto"/>
        <w:ind w:left="0"/>
        <w:rPr>
          <w:rFonts w:ascii="Times New Roman" w:hAnsi="Times New Roman" w:cs="Times New Roman"/>
          <w:sz w:val="24"/>
          <w:szCs w:val="24"/>
        </w:rPr>
      </w:pPr>
      <w:r w:rsidRPr="00586CCF">
        <w:rPr>
          <w:rFonts w:ascii="Times New Roman" w:hAnsi="Times New Roman" w:cs="Times New Roman"/>
          <w:sz w:val="24"/>
          <w:szCs w:val="24"/>
        </w:rPr>
        <w:t xml:space="preserve">The </w:t>
      </w:r>
      <w:r w:rsidR="006521C7" w:rsidRPr="00586CCF">
        <w:rPr>
          <w:rFonts w:ascii="Times New Roman" w:hAnsi="Times New Roman" w:cs="Times New Roman"/>
          <w:sz w:val="24"/>
          <w:szCs w:val="24"/>
        </w:rPr>
        <w:t xml:space="preserve">Committee </w:t>
      </w:r>
      <w:r w:rsidRPr="00586CCF">
        <w:rPr>
          <w:rFonts w:ascii="Times New Roman" w:hAnsi="Times New Roman" w:cs="Times New Roman"/>
          <w:sz w:val="24"/>
          <w:szCs w:val="24"/>
        </w:rPr>
        <w:t>met with the Auditor</w:t>
      </w:r>
      <w:r w:rsidR="009A082D" w:rsidRPr="00586CCF">
        <w:rPr>
          <w:rFonts w:ascii="Times New Roman" w:hAnsi="Times New Roman" w:cs="Times New Roman"/>
          <w:sz w:val="24"/>
          <w:szCs w:val="24"/>
        </w:rPr>
        <w:t>-</w:t>
      </w:r>
      <w:r w:rsidRPr="00586CCF">
        <w:rPr>
          <w:rFonts w:ascii="Times New Roman" w:hAnsi="Times New Roman" w:cs="Times New Roman"/>
          <w:sz w:val="24"/>
          <w:szCs w:val="24"/>
        </w:rPr>
        <w:t xml:space="preserve">General on </w:t>
      </w:r>
      <w:r w:rsidR="00DC046D" w:rsidRPr="00586CCF">
        <w:rPr>
          <w:rFonts w:ascii="Times New Roman" w:hAnsi="Times New Roman" w:cs="Times New Roman"/>
          <w:sz w:val="24"/>
          <w:szCs w:val="24"/>
        </w:rPr>
        <w:t>12 September 2017</w:t>
      </w:r>
      <w:r w:rsidRPr="00586CCF">
        <w:rPr>
          <w:rFonts w:ascii="Times New Roman" w:hAnsi="Times New Roman" w:cs="Times New Roman"/>
          <w:sz w:val="24"/>
          <w:szCs w:val="24"/>
        </w:rPr>
        <w:t xml:space="preserve"> to</w:t>
      </w:r>
      <w:r w:rsidR="00C8315D" w:rsidRPr="00586CCF">
        <w:rPr>
          <w:rFonts w:ascii="Times New Roman" w:hAnsi="Times New Roman" w:cs="Times New Roman"/>
          <w:sz w:val="24"/>
          <w:szCs w:val="24"/>
        </w:rPr>
        <w:t xml:space="preserve"> discuss </w:t>
      </w:r>
      <w:r w:rsidR="0069691F" w:rsidRPr="00586CCF">
        <w:rPr>
          <w:rFonts w:ascii="Times New Roman" w:hAnsi="Times New Roman" w:cs="Times New Roman"/>
          <w:sz w:val="24"/>
          <w:szCs w:val="24"/>
        </w:rPr>
        <w:t xml:space="preserve">its </w:t>
      </w:r>
      <w:r w:rsidR="00F70363" w:rsidRPr="00586CCF">
        <w:rPr>
          <w:rFonts w:ascii="Times New Roman" w:hAnsi="Times New Roman" w:cs="Times New Roman"/>
          <w:sz w:val="24"/>
          <w:szCs w:val="24"/>
        </w:rPr>
        <w:t xml:space="preserve">mandate in relation to the work of the </w:t>
      </w:r>
      <w:r w:rsidR="006B47B6" w:rsidRPr="00586CCF">
        <w:rPr>
          <w:rFonts w:ascii="Times New Roman" w:hAnsi="Times New Roman" w:cs="Times New Roman"/>
          <w:sz w:val="24"/>
          <w:szCs w:val="24"/>
        </w:rPr>
        <w:t xml:space="preserve">DTI </w:t>
      </w:r>
      <w:r w:rsidR="004543E7" w:rsidRPr="00586CCF">
        <w:rPr>
          <w:rFonts w:ascii="Times New Roman" w:hAnsi="Times New Roman" w:cs="Times New Roman"/>
          <w:sz w:val="24"/>
          <w:szCs w:val="24"/>
        </w:rPr>
        <w:t xml:space="preserve">and its entities, as well as the audit </w:t>
      </w:r>
      <w:r w:rsidR="00E80D3C" w:rsidRPr="00586CCF">
        <w:rPr>
          <w:rFonts w:ascii="Times New Roman" w:hAnsi="Times New Roman" w:cs="Times New Roman"/>
          <w:sz w:val="24"/>
          <w:szCs w:val="24"/>
        </w:rPr>
        <w:t>outcomes for the 201</w:t>
      </w:r>
      <w:r w:rsidR="00DC046D" w:rsidRPr="00586CCF">
        <w:rPr>
          <w:rFonts w:ascii="Times New Roman" w:hAnsi="Times New Roman" w:cs="Times New Roman"/>
          <w:sz w:val="24"/>
          <w:szCs w:val="24"/>
        </w:rPr>
        <w:t>6/17</w:t>
      </w:r>
      <w:r w:rsidR="004543E7" w:rsidRPr="00586CCF">
        <w:rPr>
          <w:rFonts w:ascii="Times New Roman" w:hAnsi="Times New Roman" w:cs="Times New Roman"/>
          <w:sz w:val="24"/>
          <w:szCs w:val="24"/>
        </w:rPr>
        <w:t xml:space="preserve"> financial year</w:t>
      </w:r>
      <w:r w:rsidR="00F70363" w:rsidRPr="00586CCF">
        <w:rPr>
          <w:rFonts w:ascii="Times New Roman" w:hAnsi="Times New Roman" w:cs="Times New Roman"/>
          <w:sz w:val="24"/>
          <w:szCs w:val="24"/>
        </w:rPr>
        <w:t xml:space="preserve">. </w:t>
      </w:r>
      <w:r w:rsidR="0069691F" w:rsidRPr="00586CCF">
        <w:rPr>
          <w:rFonts w:ascii="Times New Roman" w:hAnsi="Times New Roman" w:cs="Times New Roman"/>
          <w:sz w:val="24"/>
          <w:szCs w:val="24"/>
        </w:rPr>
        <w:t xml:space="preserve">The committee </w:t>
      </w:r>
      <w:r w:rsidRPr="00586CCF">
        <w:rPr>
          <w:rFonts w:ascii="Times New Roman" w:hAnsi="Times New Roman" w:cs="Times New Roman"/>
          <w:sz w:val="24"/>
          <w:szCs w:val="24"/>
        </w:rPr>
        <w:t xml:space="preserve">was </w:t>
      </w:r>
      <w:r w:rsidR="00FC5D82" w:rsidRPr="00586CCF">
        <w:rPr>
          <w:rFonts w:ascii="Times New Roman" w:hAnsi="Times New Roman" w:cs="Times New Roman"/>
          <w:sz w:val="24"/>
          <w:szCs w:val="24"/>
        </w:rPr>
        <w:t xml:space="preserve">also </w:t>
      </w:r>
      <w:r w:rsidRPr="00586CCF">
        <w:rPr>
          <w:rFonts w:ascii="Times New Roman" w:hAnsi="Times New Roman" w:cs="Times New Roman"/>
          <w:sz w:val="24"/>
          <w:szCs w:val="24"/>
        </w:rPr>
        <w:t>briefed by the DTI on its 201</w:t>
      </w:r>
      <w:r w:rsidR="00DC046D" w:rsidRPr="00586CCF">
        <w:rPr>
          <w:rFonts w:ascii="Times New Roman" w:hAnsi="Times New Roman" w:cs="Times New Roman"/>
          <w:sz w:val="24"/>
          <w:szCs w:val="24"/>
        </w:rPr>
        <w:t>6</w:t>
      </w:r>
      <w:r w:rsidRPr="00586CCF">
        <w:rPr>
          <w:rFonts w:ascii="Times New Roman" w:hAnsi="Times New Roman" w:cs="Times New Roman"/>
          <w:sz w:val="24"/>
          <w:szCs w:val="24"/>
        </w:rPr>
        <w:t>/1</w:t>
      </w:r>
      <w:r w:rsidR="00DC046D" w:rsidRPr="00586CCF">
        <w:rPr>
          <w:rFonts w:ascii="Times New Roman" w:hAnsi="Times New Roman" w:cs="Times New Roman"/>
          <w:sz w:val="24"/>
          <w:szCs w:val="24"/>
        </w:rPr>
        <w:t>7</w:t>
      </w:r>
      <w:r w:rsidRPr="00586CCF">
        <w:rPr>
          <w:rFonts w:ascii="Times New Roman" w:hAnsi="Times New Roman" w:cs="Times New Roman"/>
          <w:sz w:val="24"/>
          <w:szCs w:val="24"/>
        </w:rPr>
        <w:t xml:space="preserve"> annual report and </w:t>
      </w:r>
      <w:r w:rsidR="00FC5D82" w:rsidRPr="00586CCF">
        <w:rPr>
          <w:rFonts w:ascii="Times New Roman" w:hAnsi="Times New Roman" w:cs="Times New Roman"/>
          <w:sz w:val="24"/>
          <w:szCs w:val="24"/>
        </w:rPr>
        <w:t xml:space="preserve">performance for the </w:t>
      </w:r>
      <w:r w:rsidR="00C8315D" w:rsidRPr="00586CCF">
        <w:rPr>
          <w:rFonts w:ascii="Times New Roman" w:hAnsi="Times New Roman" w:cs="Times New Roman"/>
          <w:sz w:val="24"/>
          <w:szCs w:val="24"/>
        </w:rPr>
        <w:t xml:space="preserve">first </w:t>
      </w:r>
      <w:r w:rsidRPr="00586CCF">
        <w:rPr>
          <w:rFonts w:ascii="Times New Roman" w:hAnsi="Times New Roman" w:cs="Times New Roman"/>
          <w:sz w:val="24"/>
          <w:szCs w:val="24"/>
        </w:rPr>
        <w:t xml:space="preserve">quarter </w:t>
      </w:r>
      <w:r w:rsidR="004543E7" w:rsidRPr="00586CCF">
        <w:rPr>
          <w:rFonts w:ascii="Times New Roman" w:hAnsi="Times New Roman" w:cs="Times New Roman"/>
          <w:sz w:val="24"/>
          <w:szCs w:val="24"/>
        </w:rPr>
        <w:t>of the 201</w:t>
      </w:r>
      <w:r w:rsidR="00DC046D" w:rsidRPr="00586CCF">
        <w:rPr>
          <w:rFonts w:ascii="Times New Roman" w:hAnsi="Times New Roman" w:cs="Times New Roman"/>
          <w:sz w:val="24"/>
          <w:szCs w:val="24"/>
        </w:rPr>
        <w:t>7</w:t>
      </w:r>
      <w:r w:rsidR="004543E7" w:rsidRPr="00586CCF">
        <w:rPr>
          <w:rFonts w:ascii="Times New Roman" w:hAnsi="Times New Roman" w:cs="Times New Roman"/>
          <w:sz w:val="24"/>
          <w:szCs w:val="24"/>
        </w:rPr>
        <w:t>/1</w:t>
      </w:r>
      <w:r w:rsidR="00DC046D" w:rsidRPr="00586CCF">
        <w:rPr>
          <w:rFonts w:ascii="Times New Roman" w:hAnsi="Times New Roman" w:cs="Times New Roman"/>
          <w:sz w:val="24"/>
          <w:szCs w:val="24"/>
        </w:rPr>
        <w:t>8</w:t>
      </w:r>
      <w:r w:rsidR="004543E7" w:rsidRPr="00586CCF">
        <w:rPr>
          <w:rFonts w:ascii="Times New Roman" w:hAnsi="Times New Roman" w:cs="Times New Roman"/>
          <w:sz w:val="24"/>
          <w:szCs w:val="24"/>
        </w:rPr>
        <w:t xml:space="preserve"> financial year </w:t>
      </w:r>
      <w:r w:rsidRPr="00586CCF">
        <w:rPr>
          <w:rFonts w:ascii="Times New Roman" w:hAnsi="Times New Roman" w:cs="Times New Roman"/>
          <w:sz w:val="24"/>
          <w:szCs w:val="24"/>
        </w:rPr>
        <w:t xml:space="preserve">on </w:t>
      </w:r>
      <w:r w:rsidR="003003A6" w:rsidRPr="00586CCF">
        <w:rPr>
          <w:rFonts w:ascii="Times New Roman" w:hAnsi="Times New Roman" w:cs="Times New Roman"/>
          <w:sz w:val="24"/>
          <w:szCs w:val="24"/>
        </w:rPr>
        <w:t>1</w:t>
      </w:r>
      <w:r w:rsidR="00DC046D" w:rsidRPr="00586CCF">
        <w:rPr>
          <w:rFonts w:ascii="Times New Roman" w:hAnsi="Times New Roman" w:cs="Times New Roman"/>
          <w:sz w:val="24"/>
          <w:szCs w:val="24"/>
        </w:rPr>
        <w:t>2</w:t>
      </w:r>
      <w:r w:rsidR="003003A6" w:rsidRPr="00586CCF">
        <w:rPr>
          <w:rFonts w:ascii="Times New Roman" w:hAnsi="Times New Roman" w:cs="Times New Roman"/>
          <w:sz w:val="24"/>
          <w:szCs w:val="24"/>
        </w:rPr>
        <w:t xml:space="preserve"> September 201</w:t>
      </w:r>
      <w:r w:rsidR="00DC046D" w:rsidRPr="00586CCF">
        <w:rPr>
          <w:rFonts w:ascii="Times New Roman" w:hAnsi="Times New Roman" w:cs="Times New Roman"/>
          <w:sz w:val="24"/>
          <w:szCs w:val="24"/>
        </w:rPr>
        <w:t>7</w:t>
      </w:r>
    </w:p>
    <w:p w14:paraId="485D28F2" w14:textId="77777777" w:rsidR="00BB78C0" w:rsidRPr="00586CCF" w:rsidRDefault="00BB78C0" w:rsidP="00586CCF">
      <w:pPr>
        <w:pStyle w:val="ListParagraph"/>
        <w:spacing w:line="360" w:lineRule="auto"/>
        <w:ind w:left="0"/>
        <w:rPr>
          <w:rFonts w:ascii="Times New Roman" w:hAnsi="Times New Roman" w:cs="Times New Roman"/>
          <w:sz w:val="24"/>
          <w:szCs w:val="24"/>
        </w:rPr>
      </w:pPr>
    </w:p>
    <w:p w14:paraId="38F89592" w14:textId="77777777" w:rsidR="00AF53FE" w:rsidRPr="00586CCF" w:rsidRDefault="00BB78C0" w:rsidP="00586CCF">
      <w:pPr>
        <w:pStyle w:val="ListParagraph"/>
        <w:spacing w:line="360" w:lineRule="auto"/>
        <w:ind w:left="0"/>
        <w:rPr>
          <w:rFonts w:ascii="Times New Roman" w:hAnsi="Times New Roman" w:cs="Times New Roman"/>
          <w:sz w:val="24"/>
          <w:szCs w:val="24"/>
        </w:rPr>
      </w:pPr>
      <w:r w:rsidRPr="00586CCF">
        <w:rPr>
          <w:rFonts w:ascii="Times New Roman" w:hAnsi="Times New Roman" w:cs="Times New Roman"/>
          <w:sz w:val="24"/>
          <w:szCs w:val="24"/>
        </w:rPr>
        <w:t xml:space="preserve">For the </w:t>
      </w:r>
      <w:r w:rsidR="00BE40CA" w:rsidRPr="00586CCF">
        <w:rPr>
          <w:rFonts w:ascii="Times New Roman" w:hAnsi="Times New Roman" w:cs="Times New Roman"/>
          <w:sz w:val="24"/>
          <w:szCs w:val="24"/>
        </w:rPr>
        <w:t>BRR Report</w:t>
      </w:r>
      <w:r w:rsidRPr="00586CCF">
        <w:rPr>
          <w:rFonts w:ascii="Times New Roman" w:hAnsi="Times New Roman" w:cs="Times New Roman"/>
          <w:sz w:val="24"/>
          <w:szCs w:val="24"/>
        </w:rPr>
        <w:t xml:space="preserve">, the </w:t>
      </w:r>
      <w:r w:rsidR="006521C7" w:rsidRPr="00586CCF">
        <w:rPr>
          <w:rFonts w:ascii="Times New Roman" w:hAnsi="Times New Roman" w:cs="Times New Roman"/>
          <w:sz w:val="24"/>
          <w:szCs w:val="24"/>
        </w:rPr>
        <w:t xml:space="preserve">Committee </w:t>
      </w:r>
      <w:r w:rsidR="00210F00" w:rsidRPr="00586CCF">
        <w:rPr>
          <w:rFonts w:ascii="Times New Roman" w:hAnsi="Times New Roman" w:cs="Times New Roman"/>
          <w:sz w:val="24"/>
          <w:szCs w:val="24"/>
        </w:rPr>
        <w:t xml:space="preserve">also </w:t>
      </w:r>
      <w:r w:rsidR="006B47B6" w:rsidRPr="00586CCF">
        <w:rPr>
          <w:rFonts w:ascii="Times New Roman" w:hAnsi="Times New Roman" w:cs="Times New Roman"/>
          <w:sz w:val="24"/>
          <w:szCs w:val="24"/>
        </w:rPr>
        <w:t xml:space="preserve">considered </w:t>
      </w:r>
      <w:r w:rsidRPr="00586CCF">
        <w:rPr>
          <w:rFonts w:ascii="Times New Roman" w:hAnsi="Times New Roman" w:cs="Times New Roman"/>
          <w:sz w:val="24"/>
          <w:szCs w:val="24"/>
        </w:rPr>
        <w:t>the performance of the t</w:t>
      </w:r>
      <w:r w:rsidR="00C8315D" w:rsidRPr="00586CCF">
        <w:rPr>
          <w:rFonts w:ascii="Times New Roman" w:hAnsi="Times New Roman" w:cs="Times New Roman"/>
          <w:sz w:val="24"/>
          <w:szCs w:val="24"/>
        </w:rPr>
        <w:t>he National Consumer Commission</w:t>
      </w:r>
      <w:r w:rsidR="007C01C3" w:rsidRPr="00586CCF">
        <w:rPr>
          <w:rFonts w:ascii="Times New Roman" w:hAnsi="Times New Roman" w:cs="Times New Roman"/>
          <w:sz w:val="24"/>
          <w:szCs w:val="24"/>
        </w:rPr>
        <w:t xml:space="preserve"> (NCC)</w:t>
      </w:r>
      <w:r w:rsidR="00C8315D" w:rsidRPr="00586CCF">
        <w:rPr>
          <w:rFonts w:ascii="Times New Roman" w:hAnsi="Times New Roman" w:cs="Times New Roman"/>
          <w:sz w:val="24"/>
          <w:szCs w:val="24"/>
        </w:rPr>
        <w:t>, the National Credit Regulator</w:t>
      </w:r>
      <w:r w:rsidR="000777DA" w:rsidRPr="00586CCF">
        <w:rPr>
          <w:rFonts w:ascii="Times New Roman" w:hAnsi="Times New Roman" w:cs="Times New Roman"/>
          <w:sz w:val="24"/>
          <w:szCs w:val="24"/>
        </w:rPr>
        <w:t xml:space="preserve"> (NCR)</w:t>
      </w:r>
      <w:r w:rsidR="003003A6" w:rsidRPr="00586CCF">
        <w:rPr>
          <w:rFonts w:ascii="Times New Roman" w:hAnsi="Times New Roman" w:cs="Times New Roman"/>
          <w:sz w:val="24"/>
          <w:szCs w:val="24"/>
        </w:rPr>
        <w:t xml:space="preserve">, </w:t>
      </w:r>
      <w:r w:rsidR="007C01C3" w:rsidRPr="00586CCF">
        <w:rPr>
          <w:rFonts w:ascii="Times New Roman" w:hAnsi="Times New Roman" w:cs="Times New Roman"/>
          <w:sz w:val="24"/>
          <w:szCs w:val="24"/>
        </w:rPr>
        <w:t>the National Regulator for Compulsory Specifications (NRCS)</w:t>
      </w:r>
      <w:r w:rsidR="003003A6" w:rsidRPr="00586CCF">
        <w:rPr>
          <w:rFonts w:ascii="Times New Roman" w:hAnsi="Times New Roman" w:cs="Times New Roman"/>
          <w:sz w:val="24"/>
          <w:szCs w:val="24"/>
        </w:rPr>
        <w:t>, and the South African Bureau of Standards</w:t>
      </w:r>
      <w:r w:rsidR="00395C05">
        <w:rPr>
          <w:rFonts w:ascii="Times New Roman" w:hAnsi="Times New Roman" w:cs="Times New Roman"/>
          <w:sz w:val="24"/>
          <w:szCs w:val="24"/>
        </w:rPr>
        <w:t xml:space="preserve"> (SABS)</w:t>
      </w:r>
      <w:r w:rsidR="003003A6" w:rsidRPr="00586CCF">
        <w:rPr>
          <w:rFonts w:ascii="Times New Roman" w:hAnsi="Times New Roman" w:cs="Times New Roman"/>
          <w:sz w:val="24"/>
          <w:szCs w:val="24"/>
        </w:rPr>
        <w:t xml:space="preserve"> </w:t>
      </w:r>
      <w:r w:rsidR="007C01C3" w:rsidRPr="00586CCF">
        <w:rPr>
          <w:rFonts w:ascii="Times New Roman" w:hAnsi="Times New Roman" w:cs="Times New Roman"/>
          <w:sz w:val="24"/>
          <w:szCs w:val="24"/>
        </w:rPr>
        <w:t>for the annual report process</w:t>
      </w:r>
      <w:r w:rsidRPr="00586CCF">
        <w:rPr>
          <w:rFonts w:ascii="Times New Roman" w:hAnsi="Times New Roman" w:cs="Times New Roman"/>
          <w:sz w:val="24"/>
          <w:szCs w:val="24"/>
        </w:rPr>
        <w:t xml:space="preserve">. </w:t>
      </w:r>
      <w:r w:rsidR="00A535C3" w:rsidRPr="00586CCF">
        <w:rPr>
          <w:rFonts w:ascii="Times New Roman" w:hAnsi="Times New Roman" w:cs="Times New Roman"/>
          <w:sz w:val="24"/>
          <w:szCs w:val="24"/>
        </w:rPr>
        <w:t xml:space="preserve">In this regard, the </w:t>
      </w:r>
      <w:r w:rsidR="006521C7" w:rsidRPr="00586CCF">
        <w:rPr>
          <w:rFonts w:ascii="Times New Roman" w:hAnsi="Times New Roman" w:cs="Times New Roman"/>
          <w:sz w:val="24"/>
          <w:szCs w:val="24"/>
        </w:rPr>
        <w:t xml:space="preserve">Committee </w:t>
      </w:r>
      <w:r w:rsidR="00A535C3" w:rsidRPr="00586CCF">
        <w:rPr>
          <w:rFonts w:ascii="Times New Roman" w:hAnsi="Times New Roman" w:cs="Times New Roman"/>
          <w:sz w:val="24"/>
          <w:szCs w:val="24"/>
        </w:rPr>
        <w:t xml:space="preserve">held meetings </w:t>
      </w:r>
      <w:r w:rsidR="00210F00" w:rsidRPr="00586CCF">
        <w:rPr>
          <w:rFonts w:ascii="Times New Roman" w:hAnsi="Times New Roman" w:cs="Times New Roman"/>
          <w:sz w:val="24"/>
          <w:szCs w:val="24"/>
        </w:rPr>
        <w:t>with these f</w:t>
      </w:r>
      <w:r w:rsidR="006521C7">
        <w:rPr>
          <w:rFonts w:ascii="Times New Roman" w:hAnsi="Times New Roman" w:cs="Times New Roman"/>
          <w:sz w:val="24"/>
          <w:szCs w:val="24"/>
        </w:rPr>
        <w:t>our</w:t>
      </w:r>
      <w:r w:rsidR="00210F00" w:rsidRPr="00586CCF">
        <w:rPr>
          <w:rFonts w:ascii="Times New Roman" w:hAnsi="Times New Roman" w:cs="Times New Roman"/>
          <w:sz w:val="24"/>
          <w:szCs w:val="24"/>
        </w:rPr>
        <w:t xml:space="preserve"> </w:t>
      </w:r>
      <w:r w:rsidR="00DC046D" w:rsidRPr="00586CCF">
        <w:rPr>
          <w:rFonts w:ascii="Times New Roman" w:hAnsi="Times New Roman" w:cs="Times New Roman"/>
          <w:sz w:val="24"/>
          <w:szCs w:val="24"/>
        </w:rPr>
        <w:t>entities to engage on their 2016</w:t>
      </w:r>
      <w:r w:rsidR="00210F00" w:rsidRPr="00586CCF">
        <w:rPr>
          <w:rFonts w:ascii="Times New Roman" w:hAnsi="Times New Roman" w:cs="Times New Roman"/>
          <w:sz w:val="24"/>
          <w:szCs w:val="24"/>
        </w:rPr>
        <w:t>/1</w:t>
      </w:r>
      <w:r w:rsidR="00DC046D" w:rsidRPr="00586CCF">
        <w:rPr>
          <w:rFonts w:ascii="Times New Roman" w:hAnsi="Times New Roman" w:cs="Times New Roman"/>
          <w:sz w:val="24"/>
          <w:szCs w:val="24"/>
        </w:rPr>
        <w:t>7</w:t>
      </w:r>
      <w:r w:rsidR="00210F00" w:rsidRPr="00586CCF">
        <w:rPr>
          <w:rFonts w:ascii="Times New Roman" w:hAnsi="Times New Roman" w:cs="Times New Roman"/>
          <w:sz w:val="24"/>
          <w:szCs w:val="24"/>
        </w:rPr>
        <w:t xml:space="preserve"> Annual Reports and their</w:t>
      </w:r>
      <w:r w:rsidR="00FC5D82" w:rsidRPr="00586CCF">
        <w:rPr>
          <w:rFonts w:ascii="Times New Roman" w:hAnsi="Times New Roman" w:cs="Times New Roman"/>
          <w:sz w:val="24"/>
          <w:szCs w:val="24"/>
        </w:rPr>
        <w:t xml:space="preserve"> performance for the first quarter of the </w:t>
      </w:r>
      <w:r w:rsidR="003003A6" w:rsidRPr="00586CCF">
        <w:rPr>
          <w:rFonts w:ascii="Times New Roman" w:hAnsi="Times New Roman" w:cs="Times New Roman"/>
          <w:sz w:val="24"/>
          <w:szCs w:val="24"/>
        </w:rPr>
        <w:t>201</w:t>
      </w:r>
      <w:r w:rsidR="00DC046D" w:rsidRPr="00586CCF">
        <w:rPr>
          <w:rFonts w:ascii="Times New Roman" w:hAnsi="Times New Roman" w:cs="Times New Roman"/>
          <w:sz w:val="24"/>
          <w:szCs w:val="24"/>
        </w:rPr>
        <w:t>7</w:t>
      </w:r>
      <w:r w:rsidR="00FC5D82" w:rsidRPr="00586CCF">
        <w:rPr>
          <w:rFonts w:ascii="Times New Roman" w:hAnsi="Times New Roman" w:cs="Times New Roman"/>
          <w:sz w:val="24"/>
          <w:szCs w:val="24"/>
        </w:rPr>
        <w:t>/1</w:t>
      </w:r>
      <w:r w:rsidR="00DC046D" w:rsidRPr="00586CCF">
        <w:rPr>
          <w:rFonts w:ascii="Times New Roman" w:hAnsi="Times New Roman" w:cs="Times New Roman"/>
          <w:sz w:val="24"/>
          <w:szCs w:val="24"/>
        </w:rPr>
        <w:t>8</w:t>
      </w:r>
      <w:r w:rsidR="00FC5D82" w:rsidRPr="00586CCF">
        <w:rPr>
          <w:rFonts w:ascii="Times New Roman" w:hAnsi="Times New Roman" w:cs="Times New Roman"/>
          <w:sz w:val="24"/>
          <w:szCs w:val="24"/>
        </w:rPr>
        <w:t xml:space="preserve"> financial year </w:t>
      </w:r>
      <w:r w:rsidR="00A535C3" w:rsidRPr="00586CCF">
        <w:rPr>
          <w:rFonts w:ascii="Times New Roman" w:hAnsi="Times New Roman" w:cs="Times New Roman"/>
          <w:sz w:val="24"/>
          <w:szCs w:val="24"/>
        </w:rPr>
        <w:t xml:space="preserve">on </w:t>
      </w:r>
      <w:r w:rsidR="00DC046D" w:rsidRPr="00586CCF">
        <w:rPr>
          <w:rFonts w:ascii="Times New Roman" w:hAnsi="Times New Roman" w:cs="Times New Roman"/>
          <w:sz w:val="24"/>
          <w:szCs w:val="24"/>
        </w:rPr>
        <w:t>12 September and 3 October 2017.</w:t>
      </w:r>
      <w:r w:rsidR="006E5E4A" w:rsidRPr="00586CCF">
        <w:rPr>
          <w:rFonts w:ascii="Times New Roman" w:hAnsi="Times New Roman" w:cs="Times New Roman"/>
          <w:sz w:val="24"/>
          <w:szCs w:val="24"/>
        </w:rPr>
        <w:t xml:space="preserve"> </w:t>
      </w:r>
    </w:p>
    <w:p w14:paraId="338ECAB8" w14:textId="77777777" w:rsidR="00DC046D" w:rsidRPr="00586CCF" w:rsidRDefault="00DC046D" w:rsidP="00586CCF">
      <w:pPr>
        <w:pStyle w:val="ListParagraph"/>
        <w:spacing w:line="360" w:lineRule="auto"/>
        <w:ind w:left="0"/>
        <w:rPr>
          <w:rFonts w:ascii="Times New Roman" w:hAnsi="Times New Roman" w:cs="Times New Roman"/>
          <w:b/>
          <w:sz w:val="24"/>
          <w:szCs w:val="24"/>
        </w:rPr>
      </w:pPr>
    </w:p>
    <w:p w14:paraId="0803D608" w14:textId="77777777" w:rsidR="00FC5D82" w:rsidRPr="00586CCF" w:rsidRDefault="00FC5D82" w:rsidP="00EF0C57">
      <w:pPr>
        <w:pStyle w:val="Heading22"/>
      </w:pPr>
      <w:r w:rsidRPr="00586CCF">
        <w:t>Limitations of the Report</w:t>
      </w:r>
    </w:p>
    <w:p w14:paraId="16369493" w14:textId="77777777" w:rsidR="00FC5D82" w:rsidRPr="00586CCF" w:rsidRDefault="00FC5D82" w:rsidP="00586CCF">
      <w:pPr>
        <w:pStyle w:val="ListParagraph"/>
        <w:spacing w:line="360" w:lineRule="auto"/>
        <w:ind w:left="0"/>
        <w:rPr>
          <w:rFonts w:ascii="Times New Roman" w:hAnsi="Times New Roman" w:cs="Times New Roman"/>
          <w:sz w:val="24"/>
          <w:szCs w:val="24"/>
        </w:rPr>
      </w:pPr>
    </w:p>
    <w:p w14:paraId="46EE9090" w14:textId="77777777" w:rsidR="00AF53FE" w:rsidRPr="006D18C5" w:rsidRDefault="00BB78C0" w:rsidP="00586CCF">
      <w:pPr>
        <w:pStyle w:val="ListParagraph"/>
        <w:spacing w:line="360" w:lineRule="auto"/>
        <w:ind w:left="0"/>
        <w:rPr>
          <w:rFonts w:ascii="Times New Roman" w:hAnsi="Times New Roman" w:cs="Times New Roman"/>
          <w:sz w:val="24"/>
          <w:szCs w:val="24"/>
        </w:rPr>
      </w:pPr>
      <w:r w:rsidRPr="006D18C5">
        <w:rPr>
          <w:rFonts w:ascii="Times New Roman" w:hAnsi="Times New Roman" w:cs="Times New Roman"/>
          <w:sz w:val="24"/>
          <w:szCs w:val="24"/>
        </w:rPr>
        <w:t xml:space="preserve">One of the key limitations </w:t>
      </w:r>
      <w:r w:rsidR="00AF53FE" w:rsidRPr="006D18C5">
        <w:rPr>
          <w:rFonts w:ascii="Times New Roman" w:hAnsi="Times New Roman" w:cs="Times New Roman"/>
          <w:sz w:val="24"/>
          <w:szCs w:val="24"/>
        </w:rPr>
        <w:t>of the report</w:t>
      </w:r>
      <w:r w:rsidRPr="006D18C5">
        <w:rPr>
          <w:rFonts w:ascii="Times New Roman" w:hAnsi="Times New Roman" w:cs="Times New Roman"/>
          <w:sz w:val="24"/>
          <w:szCs w:val="24"/>
        </w:rPr>
        <w:t xml:space="preserve"> </w:t>
      </w:r>
      <w:r w:rsidR="00BE40CA" w:rsidRPr="006D18C5">
        <w:rPr>
          <w:rFonts w:ascii="Times New Roman" w:hAnsi="Times New Roman" w:cs="Times New Roman"/>
          <w:sz w:val="24"/>
          <w:szCs w:val="24"/>
        </w:rPr>
        <w:t xml:space="preserve">is </w:t>
      </w:r>
      <w:r w:rsidRPr="006D18C5">
        <w:rPr>
          <w:rFonts w:ascii="Times New Roman" w:hAnsi="Times New Roman" w:cs="Times New Roman"/>
          <w:sz w:val="24"/>
          <w:szCs w:val="24"/>
        </w:rPr>
        <w:t>that not all</w:t>
      </w:r>
      <w:r w:rsidR="00210F00" w:rsidRPr="006D18C5">
        <w:rPr>
          <w:rFonts w:ascii="Times New Roman" w:hAnsi="Times New Roman" w:cs="Times New Roman"/>
          <w:sz w:val="24"/>
          <w:szCs w:val="24"/>
        </w:rPr>
        <w:t xml:space="preserve"> of the DTI’s </w:t>
      </w:r>
      <w:r w:rsidRPr="006D18C5">
        <w:rPr>
          <w:rFonts w:ascii="Times New Roman" w:hAnsi="Times New Roman" w:cs="Times New Roman"/>
          <w:sz w:val="24"/>
          <w:szCs w:val="24"/>
        </w:rPr>
        <w:t xml:space="preserve">entities’ annual reports and quarterly spending trends were </w:t>
      </w:r>
      <w:r w:rsidR="006521C7" w:rsidRPr="006D18C5">
        <w:rPr>
          <w:rFonts w:ascii="Times New Roman" w:hAnsi="Times New Roman" w:cs="Times New Roman"/>
          <w:sz w:val="24"/>
          <w:szCs w:val="24"/>
        </w:rPr>
        <w:t xml:space="preserve">considered for </w:t>
      </w:r>
      <w:r w:rsidRPr="006D18C5">
        <w:rPr>
          <w:rFonts w:ascii="Times New Roman" w:hAnsi="Times New Roman" w:cs="Times New Roman"/>
          <w:sz w:val="24"/>
          <w:szCs w:val="24"/>
        </w:rPr>
        <w:t>the 1</w:t>
      </w:r>
      <w:r w:rsidR="006B47B6" w:rsidRPr="006D18C5">
        <w:rPr>
          <w:rFonts w:ascii="Times New Roman" w:hAnsi="Times New Roman" w:cs="Times New Roman"/>
          <w:sz w:val="24"/>
          <w:szCs w:val="24"/>
        </w:rPr>
        <w:t>5</w:t>
      </w:r>
      <w:r w:rsidR="00395C05">
        <w:rPr>
          <w:rFonts w:ascii="Times New Roman" w:hAnsi="Times New Roman" w:cs="Times New Roman"/>
          <w:sz w:val="24"/>
          <w:szCs w:val="24"/>
        </w:rPr>
        <w:t>-</w:t>
      </w:r>
      <w:r w:rsidRPr="006D18C5">
        <w:rPr>
          <w:rFonts w:ascii="Times New Roman" w:hAnsi="Times New Roman" w:cs="Times New Roman"/>
          <w:sz w:val="24"/>
          <w:szCs w:val="24"/>
        </w:rPr>
        <w:t>month period. Therefore, there was a reliance on the DTI</w:t>
      </w:r>
      <w:r w:rsidR="007156DB" w:rsidRPr="006D18C5">
        <w:rPr>
          <w:rFonts w:ascii="Times New Roman" w:hAnsi="Times New Roman" w:cs="Times New Roman"/>
          <w:sz w:val="24"/>
          <w:szCs w:val="24"/>
        </w:rPr>
        <w:t xml:space="preserve"> and </w:t>
      </w:r>
      <w:r w:rsidR="001E6CB9" w:rsidRPr="006D18C5">
        <w:rPr>
          <w:rFonts w:ascii="Times New Roman" w:hAnsi="Times New Roman" w:cs="Times New Roman"/>
          <w:sz w:val="24"/>
          <w:szCs w:val="24"/>
        </w:rPr>
        <w:t xml:space="preserve">the </w:t>
      </w:r>
      <w:r w:rsidR="007156DB" w:rsidRPr="006D18C5">
        <w:rPr>
          <w:rFonts w:ascii="Times New Roman" w:hAnsi="Times New Roman" w:cs="Times New Roman"/>
          <w:sz w:val="24"/>
          <w:szCs w:val="24"/>
        </w:rPr>
        <w:t>Auditor</w:t>
      </w:r>
      <w:r w:rsidR="009A082D" w:rsidRPr="006D18C5">
        <w:rPr>
          <w:rFonts w:ascii="Times New Roman" w:hAnsi="Times New Roman" w:cs="Times New Roman"/>
          <w:sz w:val="24"/>
          <w:szCs w:val="24"/>
        </w:rPr>
        <w:t>-</w:t>
      </w:r>
      <w:r w:rsidR="007156DB" w:rsidRPr="006D18C5">
        <w:rPr>
          <w:rFonts w:ascii="Times New Roman" w:hAnsi="Times New Roman" w:cs="Times New Roman"/>
          <w:sz w:val="24"/>
          <w:szCs w:val="24"/>
        </w:rPr>
        <w:t>General</w:t>
      </w:r>
      <w:r w:rsidRPr="006D18C5">
        <w:rPr>
          <w:rFonts w:ascii="Times New Roman" w:hAnsi="Times New Roman" w:cs="Times New Roman"/>
          <w:sz w:val="24"/>
          <w:szCs w:val="24"/>
        </w:rPr>
        <w:t xml:space="preserve"> to highlight challenges experienced by the other</w:t>
      </w:r>
      <w:r w:rsidR="00FC5D82" w:rsidRPr="006D18C5">
        <w:rPr>
          <w:rFonts w:ascii="Times New Roman" w:hAnsi="Times New Roman" w:cs="Times New Roman"/>
          <w:sz w:val="24"/>
          <w:szCs w:val="24"/>
        </w:rPr>
        <w:t xml:space="preserve"> </w:t>
      </w:r>
      <w:r w:rsidR="006521C7" w:rsidRPr="006D18C5">
        <w:rPr>
          <w:rFonts w:ascii="Times New Roman" w:hAnsi="Times New Roman" w:cs="Times New Roman"/>
          <w:sz w:val="24"/>
          <w:szCs w:val="24"/>
        </w:rPr>
        <w:t xml:space="preserve">nine </w:t>
      </w:r>
      <w:r w:rsidRPr="006D18C5">
        <w:rPr>
          <w:rFonts w:ascii="Times New Roman" w:hAnsi="Times New Roman" w:cs="Times New Roman"/>
          <w:sz w:val="24"/>
          <w:szCs w:val="24"/>
        </w:rPr>
        <w:t>entities.</w:t>
      </w:r>
      <w:r w:rsidR="00A535C3" w:rsidRPr="006D18C5">
        <w:rPr>
          <w:rFonts w:ascii="Times New Roman" w:hAnsi="Times New Roman" w:cs="Times New Roman"/>
          <w:sz w:val="24"/>
          <w:szCs w:val="24"/>
        </w:rPr>
        <w:t xml:space="preserve"> However, all entities, with the exception of the </w:t>
      </w:r>
      <w:r w:rsidR="00EC4A3C" w:rsidRPr="006D18C5">
        <w:rPr>
          <w:rFonts w:ascii="Times New Roman" w:hAnsi="Times New Roman" w:cs="Times New Roman"/>
          <w:sz w:val="24"/>
          <w:szCs w:val="24"/>
        </w:rPr>
        <w:t>NRCS</w:t>
      </w:r>
      <w:r w:rsidR="00A535C3" w:rsidRPr="006D18C5">
        <w:rPr>
          <w:rFonts w:ascii="Times New Roman" w:hAnsi="Times New Roman" w:cs="Times New Roman"/>
          <w:sz w:val="24"/>
          <w:szCs w:val="24"/>
        </w:rPr>
        <w:t>, received unqualified audit opinions.</w:t>
      </w:r>
    </w:p>
    <w:p w14:paraId="492CB0E4" w14:textId="77777777" w:rsidR="00B15E87" w:rsidRPr="00586CCF" w:rsidRDefault="00B15E87" w:rsidP="00586CCF">
      <w:pPr>
        <w:pStyle w:val="ListParagraph"/>
        <w:spacing w:line="360" w:lineRule="auto"/>
        <w:ind w:left="0"/>
        <w:rPr>
          <w:rFonts w:ascii="Times New Roman" w:hAnsi="Times New Roman" w:cs="Times New Roman"/>
          <w:sz w:val="24"/>
          <w:szCs w:val="24"/>
          <w:highlight w:val="yellow"/>
        </w:rPr>
      </w:pPr>
    </w:p>
    <w:p w14:paraId="528AE6BB" w14:textId="77777777" w:rsidR="00B15E87" w:rsidRPr="00586CCF" w:rsidRDefault="00BE40CA" w:rsidP="00586CCF">
      <w:pPr>
        <w:pStyle w:val="ListParagraph"/>
        <w:spacing w:line="360" w:lineRule="auto"/>
        <w:ind w:left="0"/>
        <w:rPr>
          <w:rFonts w:ascii="Times New Roman" w:hAnsi="Times New Roman" w:cs="Times New Roman"/>
          <w:sz w:val="24"/>
          <w:szCs w:val="24"/>
        </w:rPr>
      </w:pPr>
      <w:r w:rsidRPr="006D18C5">
        <w:rPr>
          <w:rFonts w:ascii="Times New Roman" w:hAnsi="Times New Roman" w:cs="Times New Roman"/>
          <w:sz w:val="24"/>
          <w:szCs w:val="24"/>
        </w:rPr>
        <w:t>The BRR Re</w:t>
      </w:r>
      <w:r w:rsidR="00395C05">
        <w:rPr>
          <w:rFonts w:ascii="Times New Roman" w:hAnsi="Times New Roman" w:cs="Times New Roman"/>
          <w:sz w:val="24"/>
          <w:szCs w:val="24"/>
        </w:rPr>
        <w:t>port is intended to cover an 18-</w:t>
      </w:r>
      <w:r w:rsidRPr="006D18C5">
        <w:rPr>
          <w:rFonts w:ascii="Times New Roman" w:hAnsi="Times New Roman" w:cs="Times New Roman"/>
          <w:sz w:val="24"/>
          <w:szCs w:val="24"/>
        </w:rPr>
        <w:t xml:space="preserve">month period including the previous financial year’s annual report and the first six months of the current financial year. Due </w:t>
      </w:r>
      <w:r w:rsidR="00B15E87" w:rsidRPr="006D18C5">
        <w:rPr>
          <w:rFonts w:ascii="Times New Roman" w:hAnsi="Times New Roman" w:cs="Times New Roman"/>
          <w:sz w:val="24"/>
          <w:szCs w:val="24"/>
        </w:rPr>
        <w:t xml:space="preserve">to the timing of the </w:t>
      </w:r>
      <w:r w:rsidR="00622602" w:rsidRPr="006D18C5">
        <w:rPr>
          <w:rFonts w:ascii="Times New Roman" w:hAnsi="Times New Roman" w:cs="Times New Roman"/>
          <w:sz w:val="24"/>
          <w:szCs w:val="24"/>
        </w:rPr>
        <w:t>BRR</w:t>
      </w:r>
      <w:r w:rsidR="00210F00" w:rsidRPr="006D18C5">
        <w:rPr>
          <w:rFonts w:ascii="Times New Roman" w:hAnsi="Times New Roman" w:cs="Times New Roman"/>
          <w:sz w:val="24"/>
          <w:szCs w:val="24"/>
        </w:rPr>
        <w:t xml:space="preserve"> </w:t>
      </w:r>
      <w:r w:rsidR="00622602" w:rsidRPr="006D18C5">
        <w:rPr>
          <w:rFonts w:ascii="Times New Roman" w:hAnsi="Times New Roman" w:cs="Times New Roman"/>
          <w:sz w:val="24"/>
          <w:szCs w:val="24"/>
        </w:rPr>
        <w:t>R</w:t>
      </w:r>
      <w:r w:rsidR="00210F00" w:rsidRPr="006D18C5">
        <w:rPr>
          <w:rFonts w:ascii="Times New Roman" w:hAnsi="Times New Roman" w:cs="Times New Roman"/>
          <w:sz w:val="24"/>
          <w:szCs w:val="24"/>
        </w:rPr>
        <w:t>eport</w:t>
      </w:r>
      <w:r w:rsidR="006B47B6" w:rsidRPr="006D18C5">
        <w:rPr>
          <w:rFonts w:ascii="Times New Roman" w:hAnsi="Times New Roman" w:cs="Times New Roman"/>
          <w:sz w:val="24"/>
          <w:szCs w:val="24"/>
        </w:rPr>
        <w:t xml:space="preserve"> </w:t>
      </w:r>
      <w:r w:rsidR="00B15E87" w:rsidRPr="006D18C5">
        <w:rPr>
          <w:rFonts w:ascii="Times New Roman" w:hAnsi="Times New Roman" w:cs="Times New Roman"/>
          <w:sz w:val="24"/>
          <w:szCs w:val="24"/>
        </w:rPr>
        <w:t xml:space="preserve">verified second quarter financial and non-financial information </w:t>
      </w:r>
      <w:r w:rsidR="00586CCF" w:rsidRPr="006D18C5">
        <w:rPr>
          <w:rFonts w:ascii="Times New Roman" w:hAnsi="Times New Roman" w:cs="Times New Roman"/>
          <w:sz w:val="24"/>
          <w:szCs w:val="24"/>
        </w:rPr>
        <w:t>were</w:t>
      </w:r>
      <w:r w:rsidR="00470F72" w:rsidRPr="006D18C5">
        <w:rPr>
          <w:rFonts w:ascii="Times New Roman" w:hAnsi="Times New Roman" w:cs="Times New Roman"/>
          <w:sz w:val="24"/>
          <w:szCs w:val="24"/>
        </w:rPr>
        <w:t xml:space="preserve"> not </w:t>
      </w:r>
      <w:r w:rsidR="00B15E87" w:rsidRPr="006D18C5">
        <w:rPr>
          <w:rFonts w:ascii="Times New Roman" w:hAnsi="Times New Roman" w:cs="Times New Roman"/>
          <w:sz w:val="24"/>
          <w:szCs w:val="24"/>
        </w:rPr>
        <w:t xml:space="preserve">available. The key challenge </w:t>
      </w:r>
      <w:r w:rsidR="001E6CB9" w:rsidRPr="006D18C5">
        <w:rPr>
          <w:rFonts w:ascii="Times New Roman" w:hAnsi="Times New Roman" w:cs="Times New Roman"/>
          <w:sz w:val="24"/>
          <w:szCs w:val="24"/>
        </w:rPr>
        <w:t>wa</w:t>
      </w:r>
      <w:r w:rsidR="00887A4B" w:rsidRPr="006D18C5">
        <w:rPr>
          <w:rFonts w:ascii="Times New Roman" w:hAnsi="Times New Roman" w:cs="Times New Roman"/>
          <w:sz w:val="24"/>
          <w:szCs w:val="24"/>
        </w:rPr>
        <w:t>s</w:t>
      </w:r>
      <w:r w:rsidR="00B15E87" w:rsidRPr="006D18C5">
        <w:rPr>
          <w:rFonts w:ascii="Times New Roman" w:hAnsi="Times New Roman" w:cs="Times New Roman"/>
          <w:sz w:val="24"/>
          <w:szCs w:val="24"/>
        </w:rPr>
        <w:t xml:space="preserve"> that the DTI and its entities </w:t>
      </w:r>
      <w:r w:rsidR="001E6CB9" w:rsidRPr="006D18C5">
        <w:rPr>
          <w:rFonts w:ascii="Times New Roman" w:hAnsi="Times New Roman" w:cs="Times New Roman"/>
          <w:sz w:val="24"/>
          <w:szCs w:val="24"/>
        </w:rPr>
        <w:t>we</w:t>
      </w:r>
      <w:r w:rsidR="00B15E87" w:rsidRPr="006D18C5">
        <w:rPr>
          <w:rFonts w:ascii="Times New Roman" w:hAnsi="Times New Roman" w:cs="Times New Roman"/>
          <w:sz w:val="24"/>
          <w:szCs w:val="24"/>
        </w:rPr>
        <w:t>re still in the process of verifying the non-financial information, which is due at the end of October each year</w:t>
      </w:r>
      <w:r w:rsidR="00622602" w:rsidRPr="006D18C5">
        <w:rPr>
          <w:rFonts w:ascii="Times New Roman" w:hAnsi="Times New Roman" w:cs="Times New Roman"/>
          <w:sz w:val="24"/>
          <w:szCs w:val="24"/>
        </w:rPr>
        <w:t xml:space="preserve"> in compliance with Treasury regulations</w:t>
      </w:r>
      <w:r w:rsidR="00B15E87" w:rsidRPr="006D18C5">
        <w:rPr>
          <w:rFonts w:ascii="Times New Roman" w:hAnsi="Times New Roman" w:cs="Times New Roman"/>
          <w:sz w:val="24"/>
          <w:szCs w:val="24"/>
        </w:rPr>
        <w:t>. Therefore, the report has only captured performance up to the first quarter of the 201</w:t>
      </w:r>
      <w:r w:rsidR="00586CCF" w:rsidRPr="006D18C5">
        <w:rPr>
          <w:rFonts w:ascii="Times New Roman" w:hAnsi="Times New Roman" w:cs="Times New Roman"/>
          <w:sz w:val="24"/>
          <w:szCs w:val="24"/>
        </w:rPr>
        <w:t>7</w:t>
      </w:r>
      <w:r w:rsidR="00B15E87" w:rsidRPr="006D18C5">
        <w:rPr>
          <w:rFonts w:ascii="Times New Roman" w:hAnsi="Times New Roman" w:cs="Times New Roman"/>
          <w:sz w:val="24"/>
          <w:szCs w:val="24"/>
        </w:rPr>
        <w:t>/</w:t>
      </w:r>
      <w:r w:rsidR="00586CCF" w:rsidRPr="006D18C5">
        <w:rPr>
          <w:rFonts w:ascii="Times New Roman" w:hAnsi="Times New Roman" w:cs="Times New Roman"/>
          <w:sz w:val="24"/>
          <w:szCs w:val="24"/>
        </w:rPr>
        <w:t>18</w:t>
      </w:r>
      <w:r w:rsidR="00B15E87" w:rsidRPr="006D18C5">
        <w:rPr>
          <w:rFonts w:ascii="Times New Roman" w:hAnsi="Times New Roman" w:cs="Times New Roman"/>
          <w:sz w:val="24"/>
          <w:szCs w:val="24"/>
        </w:rPr>
        <w:t xml:space="preserve"> financial year.</w:t>
      </w:r>
      <w:r w:rsidR="00B15E87" w:rsidRPr="00586CCF">
        <w:rPr>
          <w:rFonts w:ascii="Times New Roman" w:hAnsi="Times New Roman" w:cs="Times New Roman"/>
          <w:sz w:val="24"/>
          <w:szCs w:val="24"/>
        </w:rPr>
        <w:t xml:space="preserve"> </w:t>
      </w:r>
    </w:p>
    <w:p w14:paraId="35C26DD9" w14:textId="77777777" w:rsidR="00663B5F" w:rsidRPr="00586CCF" w:rsidRDefault="00663B5F" w:rsidP="00586CCF">
      <w:pPr>
        <w:pStyle w:val="ListParagraph"/>
        <w:spacing w:line="360" w:lineRule="auto"/>
        <w:ind w:left="0"/>
        <w:rPr>
          <w:rFonts w:ascii="Times New Roman" w:hAnsi="Times New Roman" w:cs="Times New Roman"/>
          <w:sz w:val="24"/>
          <w:szCs w:val="24"/>
        </w:rPr>
      </w:pPr>
    </w:p>
    <w:p w14:paraId="7EFCF678" w14:textId="77777777" w:rsidR="00AC0279" w:rsidRPr="00586CCF" w:rsidRDefault="00AC0279" w:rsidP="00EF0C57">
      <w:pPr>
        <w:pStyle w:val="Heading22"/>
      </w:pPr>
      <w:bookmarkStart w:id="4" w:name="_Toc370119569"/>
      <w:r w:rsidRPr="00586CCF">
        <w:t>Outline of the contents of the Report</w:t>
      </w:r>
      <w:bookmarkEnd w:id="4"/>
    </w:p>
    <w:p w14:paraId="4988553A" w14:textId="77777777" w:rsidR="00AC0279" w:rsidRPr="00586CCF" w:rsidRDefault="00AC0279" w:rsidP="00586CCF">
      <w:pPr>
        <w:spacing w:line="360" w:lineRule="auto"/>
        <w:rPr>
          <w:rFonts w:ascii="Times New Roman" w:hAnsi="Times New Roman" w:cs="Times New Roman"/>
          <w:sz w:val="24"/>
          <w:szCs w:val="24"/>
        </w:rPr>
      </w:pPr>
    </w:p>
    <w:p w14:paraId="0E3A60D3" w14:textId="77777777" w:rsidR="00250A3B" w:rsidRPr="00395C05" w:rsidRDefault="00250A3B" w:rsidP="00586CCF">
      <w:pPr>
        <w:spacing w:line="360" w:lineRule="auto"/>
        <w:rPr>
          <w:rFonts w:ascii="Times New Roman" w:hAnsi="Times New Roman" w:cs="Times New Roman"/>
          <w:sz w:val="24"/>
          <w:szCs w:val="24"/>
        </w:rPr>
      </w:pPr>
      <w:r w:rsidRPr="00395C05">
        <w:rPr>
          <w:rFonts w:ascii="Times New Roman" w:hAnsi="Times New Roman" w:cs="Times New Roman"/>
          <w:sz w:val="24"/>
          <w:szCs w:val="24"/>
        </w:rPr>
        <w:t xml:space="preserve">This BRR Report consists of </w:t>
      </w:r>
      <w:r w:rsidR="00395C05" w:rsidRPr="00395C05">
        <w:rPr>
          <w:rFonts w:ascii="Times New Roman" w:hAnsi="Times New Roman" w:cs="Times New Roman"/>
          <w:sz w:val="24"/>
          <w:szCs w:val="24"/>
        </w:rPr>
        <w:t>the introduction (</w:t>
      </w:r>
      <w:r w:rsidRPr="00395C05">
        <w:rPr>
          <w:rFonts w:ascii="Times New Roman" w:hAnsi="Times New Roman" w:cs="Times New Roman"/>
          <w:sz w:val="24"/>
          <w:szCs w:val="24"/>
        </w:rPr>
        <w:t>Section 1</w:t>
      </w:r>
      <w:r w:rsidR="00395C05" w:rsidRPr="00395C05">
        <w:rPr>
          <w:rFonts w:ascii="Times New Roman" w:hAnsi="Times New Roman" w:cs="Times New Roman"/>
          <w:sz w:val="24"/>
          <w:szCs w:val="24"/>
        </w:rPr>
        <w:t>) and three parts. Section 1</w:t>
      </w:r>
      <w:r w:rsidRPr="00395C05">
        <w:rPr>
          <w:rFonts w:ascii="Times New Roman" w:hAnsi="Times New Roman" w:cs="Times New Roman"/>
          <w:sz w:val="24"/>
          <w:szCs w:val="24"/>
        </w:rPr>
        <w:t xml:space="preserve"> briefly </w:t>
      </w:r>
      <w:r w:rsidR="0054047C" w:rsidRPr="00395C05">
        <w:rPr>
          <w:rFonts w:ascii="Times New Roman" w:hAnsi="Times New Roman" w:cs="Times New Roman"/>
          <w:sz w:val="24"/>
          <w:szCs w:val="24"/>
        </w:rPr>
        <w:t xml:space="preserve">provides an </w:t>
      </w:r>
      <w:r w:rsidRPr="00395C05">
        <w:rPr>
          <w:rFonts w:ascii="Times New Roman" w:hAnsi="Times New Roman" w:cs="Times New Roman"/>
          <w:sz w:val="24"/>
          <w:szCs w:val="24"/>
        </w:rPr>
        <w:t>overview</w:t>
      </w:r>
      <w:r w:rsidR="0054047C" w:rsidRPr="00395C05">
        <w:rPr>
          <w:rFonts w:ascii="Times New Roman" w:hAnsi="Times New Roman" w:cs="Times New Roman"/>
          <w:sz w:val="24"/>
          <w:szCs w:val="24"/>
        </w:rPr>
        <w:t xml:space="preserve"> of</w:t>
      </w:r>
      <w:r w:rsidRPr="00395C05">
        <w:rPr>
          <w:rFonts w:ascii="Times New Roman" w:hAnsi="Times New Roman" w:cs="Times New Roman"/>
          <w:sz w:val="24"/>
          <w:szCs w:val="24"/>
        </w:rPr>
        <w:t xml:space="preserve"> </w:t>
      </w:r>
      <w:r w:rsidR="0054047C" w:rsidRPr="00395C05">
        <w:rPr>
          <w:rFonts w:ascii="Times New Roman" w:hAnsi="Times New Roman" w:cs="Times New Roman"/>
          <w:sz w:val="24"/>
          <w:szCs w:val="24"/>
        </w:rPr>
        <w:t xml:space="preserve">the DTI’s core functions, </w:t>
      </w:r>
      <w:r w:rsidRPr="00395C05">
        <w:rPr>
          <w:rFonts w:ascii="Times New Roman" w:hAnsi="Times New Roman" w:cs="Times New Roman"/>
          <w:sz w:val="24"/>
          <w:szCs w:val="24"/>
        </w:rPr>
        <w:t>the mandate of the committee, the purpose of this report and the method followed in preparing this report, as well as the limitations of the Report.</w:t>
      </w:r>
    </w:p>
    <w:p w14:paraId="70A12E74" w14:textId="77777777" w:rsidR="00395C05" w:rsidRPr="00395C05" w:rsidRDefault="00395C05" w:rsidP="00586CCF">
      <w:pPr>
        <w:spacing w:line="360" w:lineRule="auto"/>
        <w:rPr>
          <w:rFonts w:ascii="Times New Roman" w:hAnsi="Times New Roman" w:cs="Times New Roman"/>
          <w:sz w:val="24"/>
          <w:szCs w:val="24"/>
        </w:rPr>
      </w:pPr>
    </w:p>
    <w:p w14:paraId="728013FF" w14:textId="77777777" w:rsidR="00250A3B" w:rsidRPr="00395C05" w:rsidRDefault="00395C05" w:rsidP="00586CCF">
      <w:pPr>
        <w:spacing w:line="360" w:lineRule="auto"/>
        <w:rPr>
          <w:rFonts w:ascii="Times New Roman" w:hAnsi="Times New Roman" w:cs="Times New Roman"/>
          <w:sz w:val="24"/>
          <w:szCs w:val="24"/>
        </w:rPr>
      </w:pPr>
      <w:r w:rsidRPr="00395C05">
        <w:rPr>
          <w:rFonts w:ascii="Times New Roman" w:hAnsi="Times New Roman" w:cs="Times New Roman"/>
          <w:sz w:val="24"/>
          <w:szCs w:val="24"/>
        </w:rPr>
        <w:t xml:space="preserve">Part A focuses on the assessment of the DTI for the period under review. It contains 3 sections in this regard. </w:t>
      </w:r>
      <w:r w:rsidR="00250A3B" w:rsidRPr="00395C05">
        <w:rPr>
          <w:rFonts w:ascii="Times New Roman" w:hAnsi="Times New Roman" w:cs="Times New Roman"/>
          <w:sz w:val="24"/>
          <w:szCs w:val="24"/>
        </w:rPr>
        <w:t xml:space="preserve">Section 2 sets out the key policy focus areas for the DTI. This includes an overview of the relevant national priorities which the DTI contributes to, as well the DTI’s strategic objectives, outcome-orientated goals and key measurable objectives.  Section 3 provides a summary of </w:t>
      </w:r>
      <w:r w:rsidR="00607729" w:rsidRPr="00395C05">
        <w:rPr>
          <w:rFonts w:ascii="Times New Roman" w:hAnsi="Times New Roman" w:cs="Times New Roman"/>
          <w:sz w:val="24"/>
          <w:szCs w:val="24"/>
        </w:rPr>
        <w:t>the key</w:t>
      </w:r>
      <w:r w:rsidR="00250A3B" w:rsidRPr="00395C05">
        <w:rPr>
          <w:rFonts w:ascii="Times New Roman" w:hAnsi="Times New Roman" w:cs="Times New Roman"/>
          <w:sz w:val="24"/>
          <w:szCs w:val="24"/>
        </w:rPr>
        <w:t xml:space="preserve"> financial and performance recommendations of the committee as </w:t>
      </w:r>
      <w:r w:rsidR="00607729" w:rsidRPr="00395C05">
        <w:rPr>
          <w:rFonts w:ascii="Times New Roman" w:hAnsi="Times New Roman" w:cs="Times New Roman"/>
          <w:sz w:val="24"/>
          <w:szCs w:val="24"/>
        </w:rPr>
        <w:t>captured in</w:t>
      </w:r>
      <w:r w:rsidR="00250A3B" w:rsidRPr="00395C05">
        <w:rPr>
          <w:rFonts w:ascii="Times New Roman" w:hAnsi="Times New Roman" w:cs="Times New Roman"/>
          <w:sz w:val="24"/>
          <w:szCs w:val="24"/>
        </w:rPr>
        <w:t xml:space="preserve"> its previous BRR</w:t>
      </w:r>
      <w:r w:rsidR="0054047C" w:rsidRPr="00395C05">
        <w:rPr>
          <w:rFonts w:ascii="Times New Roman" w:hAnsi="Times New Roman" w:cs="Times New Roman"/>
          <w:sz w:val="24"/>
          <w:szCs w:val="24"/>
        </w:rPr>
        <w:t xml:space="preserve"> </w:t>
      </w:r>
      <w:r w:rsidR="00250A3B" w:rsidRPr="00395C05">
        <w:rPr>
          <w:rFonts w:ascii="Times New Roman" w:hAnsi="Times New Roman" w:cs="Times New Roman"/>
          <w:sz w:val="24"/>
          <w:szCs w:val="24"/>
        </w:rPr>
        <w:t>R</w:t>
      </w:r>
      <w:r w:rsidR="0054047C" w:rsidRPr="00395C05">
        <w:rPr>
          <w:rFonts w:ascii="Times New Roman" w:hAnsi="Times New Roman" w:cs="Times New Roman"/>
          <w:sz w:val="24"/>
          <w:szCs w:val="24"/>
        </w:rPr>
        <w:t>eport</w:t>
      </w:r>
      <w:r w:rsidR="00250A3B" w:rsidRPr="00395C05">
        <w:rPr>
          <w:rFonts w:ascii="Times New Roman" w:hAnsi="Times New Roman" w:cs="Times New Roman"/>
          <w:sz w:val="24"/>
          <w:szCs w:val="24"/>
        </w:rPr>
        <w:t xml:space="preserve"> and its 201</w:t>
      </w:r>
      <w:r w:rsidR="006E5E4A" w:rsidRPr="00395C05">
        <w:rPr>
          <w:rFonts w:ascii="Times New Roman" w:hAnsi="Times New Roman" w:cs="Times New Roman"/>
          <w:sz w:val="24"/>
          <w:szCs w:val="24"/>
        </w:rPr>
        <w:t>6</w:t>
      </w:r>
      <w:r w:rsidR="00250A3B" w:rsidRPr="00395C05">
        <w:rPr>
          <w:rFonts w:ascii="Times New Roman" w:hAnsi="Times New Roman" w:cs="Times New Roman"/>
          <w:sz w:val="24"/>
          <w:szCs w:val="24"/>
        </w:rPr>
        <w:t>/1</w:t>
      </w:r>
      <w:r w:rsidR="006E5E4A" w:rsidRPr="00395C05">
        <w:rPr>
          <w:rFonts w:ascii="Times New Roman" w:hAnsi="Times New Roman" w:cs="Times New Roman"/>
          <w:sz w:val="24"/>
          <w:szCs w:val="24"/>
        </w:rPr>
        <w:t>7</w:t>
      </w:r>
      <w:r w:rsidR="00250A3B" w:rsidRPr="00395C05">
        <w:rPr>
          <w:rFonts w:ascii="Times New Roman" w:hAnsi="Times New Roman" w:cs="Times New Roman"/>
          <w:sz w:val="24"/>
          <w:szCs w:val="24"/>
        </w:rPr>
        <w:t xml:space="preserve"> Budget Report. Section 4 assesses the DTI’s financial </w:t>
      </w:r>
      <w:r w:rsidR="0054047C" w:rsidRPr="00395C05">
        <w:rPr>
          <w:rFonts w:ascii="Times New Roman" w:hAnsi="Times New Roman" w:cs="Times New Roman"/>
          <w:sz w:val="24"/>
          <w:szCs w:val="24"/>
        </w:rPr>
        <w:t xml:space="preserve">and non-financial </w:t>
      </w:r>
      <w:r w:rsidR="00250A3B" w:rsidRPr="00395C05">
        <w:rPr>
          <w:rFonts w:ascii="Times New Roman" w:hAnsi="Times New Roman" w:cs="Times New Roman"/>
          <w:sz w:val="24"/>
          <w:szCs w:val="24"/>
        </w:rPr>
        <w:t>performance against its vote allocation</w:t>
      </w:r>
      <w:r w:rsidR="0054047C" w:rsidRPr="00395C05">
        <w:rPr>
          <w:rFonts w:ascii="Times New Roman" w:hAnsi="Times New Roman" w:cs="Times New Roman"/>
          <w:sz w:val="24"/>
          <w:szCs w:val="24"/>
        </w:rPr>
        <w:t xml:space="preserve"> </w:t>
      </w:r>
      <w:r w:rsidR="003003A6" w:rsidRPr="00395C05">
        <w:rPr>
          <w:rFonts w:ascii="Times New Roman" w:hAnsi="Times New Roman" w:cs="Times New Roman"/>
          <w:sz w:val="24"/>
          <w:szCs w:val="24"/>
        </w:rPr>
        <w:t>from 1 April 201</w:t>
      </w:r>
      <w:r w:rsidR="006521C7" w:rsidRPr="00395C05">
        <w:rPr>
          <w:rFonts w:ascii="Times New Roman" w:hAnsi="Times New Roman" w:cs="Times New Roman"/>
          <w:sz w:val="24"/>
          <w:szCs w:val="24"/>
        </w:rPr>
        <w:t>6</w:t>
      </w:r>
      <w:r w:rsidR="0054047C" w:rsidRPr="00395C05">
        <w:rPr>
          <w:rFonts w:ascii="Times New Roman" w:hAnsi="Times New Roman" w:cs="Times New Roman"/>
          <w:sz w:val="24"/>
          <w:szCs w:val="24"/>
        </w:rPr>
        <w:t xml:space="preserve"> to 30 June 201</w:t>
      </w:r>
      <w:r w:rsidR="006E5E4A" w:rsidRPr="00395C05">
        <w:rPr>
          <w:rFonts w:ascii="Times New Roman" w:hAnsi="Times New Roman" w:cs="Times New Roman"/>
          <w:sz w:val="24"/>
          <w:szCs w:val="24"/>
        </w:rPr>
        <w:t>7</w:t>
      </w:r>
      <w:r w:rsidR="00250A3B" w:rsidRPr="00395C05">
        <w:rPr>
          <w:rFonts w:ascii="Times New Roman" w:hAnsi="Times New Roman" w:cs="Times New Roman"/>
          <w:sz w:val="24"/>
          <w:szCs w:val="24"/>
        </w:rPr>
        <w:t>.</w:t>
      </w:r>
      <w:r w:rsidRPr="00395C05">
        <w:rPr>
          <w:rFonts w:ascii="Times New Roman" w:hAnsi="Times New Roman" w:cs="Times New Roman"/>
          <w:sz w:val="24"/>
          <w:szCs w:val="24"/>
        </w:rPr>
        <w:t xml:space="preserve"> This covers </w:t>
      </w:r>
      <w:r w:rsidR="0054047C" w:rsidRPr="00395C05">
        <w:rPr>
          <w:rFonts w:ascii="Times New Roman" w:hAnsi="Times New Roman" w:cs="Times New Roman"/>
          <w:sz w:val="24"/>
          <w:szCs w:val="24"/>
        </w:rPr>
        <w:t>the DTI’s service delivery</w:t>
      </w:r>
      <w:r w:rsidRPr="00395C05">
        <w:rPr>
          <w:rFonts w:ascii="Times New Roman" w:hAnsi="Times New Roman" w:cs="Times New Roman"/>
          <w:sz w:val="24"/>
          <w:szCs w:val="24"/>
        </w:rPr>
        <w:t xml:space="preserve">, </w:t>
      </w:r>
      <w:r w:rsidR="0054047C" w:rsidRPr="00395C05">
        <w:rPr>
          <w:rFonts w:ascii="Times New Roman" w:hAnsi="Times New Roman" w:cs="Times New Roman"/>
          <w:sz w:val="24"/>
          <w:szCs w:val="24"/>
        </w:rPr>
        <w:t>available human resources</w:t>
      </w:r>
      <w:r w:rsidRPr="00395C05">
        <w:rPr>
          <w:rFonts w:ascii="Times New Roman" w:hAnsi="Times New Roman" w:cs="Times New Roman"/>
          <w:sz w:val="24"/>
          <w:szCs w:val="24"/>
        </w:rPr>
        <w:t xml:space="preserve">, and its </w:t>
      </w:r>
      <w:r w:rsidR="00250A3B" w:rsidRPr="00395C05">
        <w:rPr>
          <w:rFonts w:ascii="Times New Roman" w:hAnsi="Times New Roman" w:cs="Times New Roman"/>
          <w:sz w:val="24"/>
          <w:szCs w:val="24"/>
        </w:rPr>
        <w:t>201</w:t>
      </w:r>
      <w:r w:rsidR="006E5E4A" w:rsidRPr="00395C05">
        <w:rPr>
          <w:rFonts w:ascii="Times New Roman" w:hAnsi="Times New Roman" w:cs="Times New Roman"/>
          <w:sz w:val="24"/>
          <w:szCs w:val="24"/>
        </w:rPr>
        <w:t>6</w:t>
      </w:r>
      <w:r w:rsidR="00250A3B" w:rsidRPr="00395C05">
        <w:rPr>
          <w:rFonts w:ascii="Times New Roman" w:hAnsi="Times New Roman" w:cs="Times New Roman"/>
          <w:sz w:val="24"/>
          <w:szCs w:val="24"/>
        </w:rPr>
        <w:t>/1</w:t>
      </w:r>
      <w:r w:rsidR="006E5E4A" w:rsidRPr="00395C05">
        <w:rPr>
          <w:rFonts w:ascii="Times New Roman" w:hAnsi="Times New Roman" w:cs="Times New Roman"/>
          <w:sz w:val="24"/>
          <w:szCs w:val="24"/>
        </w:rPr>
        <w:t>7</w:t>
      </w:r>
      <w:r w:rsidR="00250A3B" w:rsidRPr="00395C05">
        <w:rPr>
          <w:rFonts w:ascii="Times New Roman" w:hAnsi="Times New Roman" w:cs="Times New Roman"/>
          <w:sz w:val="24"/>
          <w:szCs w:val="24"/>
        </w:rPr>
        <w:t xml:space="preserve"> budget vote allocation </w:t>
      </w:r>
      <w:r w:rsidRPr="00395C05">
        <w:rPr>
          <w:rFonts w:ascii="Times New Roman" w:hAnsi="Times New Roman" w:cs="Times New Roman"/>
          <w:sz w:val="24"/>
          <w:szCs w:val="24"/>
        </w:rPr>
        <w:t xml:space="preserve">against </w:t>
      </w:r>
      <w:r w:rsidR="00250A3B" w:rsidRPr="00395C05">
        <w:rPr>
          <w:rFonts w:ascii="Times New Roman" w:hAnsi="Times New Roman" w:cs="Times New Roman"/>
          <w:sz w:val="24"/>
          <w:szCs w:val="24"/>
        </w:rPr>
        <w:t>the actual expenditure for the period ending 31 March 201</w:t>
      </w:r>
      <w:r w:rsidR="006E5E4A" w:rsidRPr="00395C05">
        <w:rPr>
          <w:rFonts w:ascii="Times New Roman" w:hAnsi="Times New Roman" w:cs="Times New Roman"/>
          <w:sz w:val="24"/>
          <w:szCs w:val="24"/>
        </w:rPr>
        <w:t>7</w:t>
      </w:r>
      <w:r w:rsidR="0054047C" w:rsidRPr="00395C05">
        <w:rPr>
          <w:rFonts w:ascii="Times New Roman" w:hAnsi="Times New Roman" w:cs="Times New Roman"/>
          <w:sz w:val="24"/>
          <w:szCs w:val="24"/>
        </w:rPr>
        <w:t>, as well as the audit findings</w:t>
      </w:r>
      <w:r w:rsidR="00250A3B" w:rsidRPr="00395C05">
        <w:rPr>
          <w:rFonts w:ascii="Times New Roman" w:hAnsi="Times New Roman" w:cs="Times New Roman"/>
          <w:sz w:val="24"/>
          <w:szCs w:val="24"/>
        </w:rPr>
        <w:t xml:space="preserve">. </w:t>
      </w:r>
      <w:r w:rsidR="0054047C" w:rsidRPr="00395C05">
        <w:rPr>
          <w:rFonts w:ascii="Times New Roman" w:hAnsi="Times New Roman" w:cs="Times New Roman"/>
          <w:sz w:val="24"/>
          <w:szCs w:val="24"/>
        </w:rPr>
        <w:t>This is followed by</w:t>
      </w:r>
      <w:r w:rsidR="00250A3B" w:rsidRPr="00395C05">
        <w:rPr>
          <w:rFonts w:ascii="Times New Roman" w:hAnsi="Times New Roman" w:cs="Times New Roman"/>
          <w:sz w:val="24"/>
          <w:szCs w:val="24"/>
        </w:rPr>
        <w:t xml:space="preserve"> a comparison of the DTI’s budgeted and actual expenditure as at </w:t>
      </w:r>
      <w:r w:rsidR="00622602" w:rsidRPr="00395C05">
        <w:rPr>
          <w:rFonts w:ascii="Times New Roman" w:hAnsi="Times New Roman" w:cs="Times New Roman"/>
          <w:sz w:val="24"/>
          <w:szCs w:val="24"/>
        </w:rPr>
        <w:t>30 June</w:t>
      </w:r>
      <w:r w:rsidR="00250A3B" w:rsidRPr="00395C05">
        <w:rPr>
          <w:rFonts w:ascii="Times New Roman" w:hAnsi="Times New Roman" w:cs="Times New Roman"/>
          <w:sz w:val="24"/>
          <w:szCs w:val="24"/>
        </w:rPr>
        <w:t xml:space="preserve"> 201</w:t>
      </w:r>
      <w:r w:rsidR="006E5E4A" w:rsidRPr="00395C05">
        <w:rPr>
          <w:rFonts w:ascii="Times New Roman" w:hAnsi="Times New Roman" w:cs="Times New Roman"/>
          <w:sz w:val="24"/>
          <w:szCs w:val="24"/>
        </w:rPr>
        <w:t>7</w:t>
      </w:r>
      <w:r w:rsidR="00250A3B" w:rsidRPr="00395C05">
        <w:rPr>
          <w:rFonts w:ascii="Times New Roman" w:hAnsi="Times New Roman" w:cs="Times New Roman"/>
          <w:sz w:val="24"/>
          <w:szCs w:val="24"/>
        </w:rPr>
        <w:t xml:space="preserve">. </w:t>
      </w:r>
      <w:r w:rsidRPr="00395C05">
        <w:rPr>
          <w:rFonts w:ascii="Times New Roman" w:hAnsi="Times New Roman" w:cs="Times New Roman"/>
          <w:sz w:val="24"/>
          <w:szCs w:val="24"/>
        </w:rPr>
        <w:t xml:space="preserve">This section also outlines </w:t>
      </w:r>
      <w:r w:rsidR="00250A3B" w:rsidRPr="00395C05">
        <w:rPr>
          <w:rFonts w:ascii="Times New Roman" w:hAnsi="Times New Roman" w:cs="Times New Roman"/>
          <w:sz w:val="24"/>
          <w:szCs w:val="24"/>
        </w:rPr>
        <w:t xml:space="preserve">key issues raised by the </w:t>
      </w:r>
      <w:r w:rsidRPr="00395C05">
        <w:rPr>
          <w:rFonts w:ascii="Times New Roman" w:hAnsi="Times New Roman" w:cs="Times New Roman"/>
          <w:sz w:val="24"/>
          <w:szCs w:val="24"/>
        </w:rPr>
        <w:t xml:space="preserve">Committee </w:t>
      </w:r>
      <w:r w:rsidR="00250A3B" w:rsidRPr="00395C05">
        <w:rPr>
          <w:rFonts w:ascii="Times New Roman" w:hAnsi="Times New Roman" w:cs="Times New Roman"/>
          <w:sz w:val="24"/>
          <w:szCs w:val="24"/>
        </w:rPr>
        <w:t>during deliberations with the DTI.</w:t>
      </w:r>
    </w:p>
    <w:p w14:paraId="368C0138" w14:textId="77777777" w:rsidR="00250A3B" w:rsidRPr="00395C05" w:rsidRDefault="00250A3B" w:rsidP="00586CCF">
      <w:pPr>
        <w:spacing w:line="360" w:lineRule="auto"/>
        <w:rPr>
          <w:rFonts w:ascii="Times New Roman" w:hAnsi="Times New Roman" w:cs="Times New Roman"/>
          <w:sz w:val="24"/>
          <w:szCs w:val="24"/>
        </w:rPr>
      </w:pPr>
    </w:p>
    <w:p w14:paraId="34178441" w14:textId="77777777" w:rsidR="00250A3B" w:rsidRPr="00395C05" w:rsidRDefault="00395C05" w:rsidP="00586CCF">
      <w:pPr>
        <w:spacing w:line="360" w:lineRule="auto"/>
        <w:rPr>
          <w:rFonts w:ascii="Times New Roman" w:hAnsi="Times New Roman" w:cs="Times New Roman"/>
          <w:sz w:val="24"/>
          <w:szCs w:val="24"/>
        </w:rPr>
      </w:pPr>
      <w:r w:rsidRPr="00395C05">
        <w:rPr>
          <w:rFonts w:ascii="Times New Roman" w:hAnsi="Times New Roman" w:cs="Times New Roman"/>
          <w:sz w:val="24"/>
          <w:szCs w:val="24"/>
        </w:rPr>
        <w:t>Part B considers the financial and non-financial performance of the four</w:t>
      </w:r>
      <w:r w:rsidR="00250A3B" w:rsidRPr="00395C05">
        <w:rPr>
          <w:rFonts w:ascii="Times New Roman" w:hAnsi="Times New Roman" w:cs="Times New Roman"/>
          <w:sz w:val="24"/>
          <w:szCs w:val="24"/>
        </w:rPr>
        <w:t xml:space="preserve"> entities identified by the </w:t>
      </w:r>
      <w:r w:rsidRPr="00395C05">
        <w:rPr>
          <w:rFonts w:ascii="Times New Roman" w:hAnsi="Times New Roman" w:cs="Times New Roman"/>
          <w:sz w:val="24"/>
          <w:szCs w:val="24"/>
        </w:rPr>
        <w:t xml:space="preserve">Committee </w:t>
      </w:r>
      <w:r w:rsidR="00250A3B" w:rsidRPr="00395C05">
        <w:rPr>
          <w:rFonts w:ascii="Times New Roman" w:hAnsi="Times New Roman" w:cs="Times New Roman"/>
          <w:sz w:val="24"/>
          <w:szCs w:val="24"/>
        </w:rPr>
        <w:t>for oversight during this BRR</w:t>
      </w:r>
      <w:r w:rsidR="000653E9" w:rsidRPr="00395C05">
        <w:rPr>
          <w:rFonts w:ascii="Times New Roman" w:hAnsi="Times New Roman" w:cs="Times New Roman"/>
          <w:sz w:val="24"/>
          <w:szCs w:val="24"/>
        </w:rPr>
        <w:t xml:space="preserve"> reporting </w:t>
      </w:r>
      <w:r w:rsidR="00250A3B" w:rsidRPr="00395C05">
        <w:rPr>
          <w:rFonts w:ascii="Times New Roman" w:hAnsi="Times New Roman" w:cs="Times New Roman"/>
          <w:sz w:val="24"/>
          <w:szCs w:val="24"/>
        </w:rPr>
        <w:t>process in terms of their mandates, strategic objectives and core issues previously identified by the committee. In addition, their financial and non-financial performance and their additional forward-looking budgetary and/or performance requirements are assessed.</w:t>
      </w:r>
      <w:r w:rsidRPr="00395C05">
        <w:rPr>
          <w:rFonts w:ascii="Times New Roman" w:hAnsi="Times New Roman" w:cs="Times New Roman"/>
          <w:sz w:val="24"/>
          <w:szCs w:val="24"/>
        </w:rPr>
        <w:t xml:space="preserve"> This covers Sections 5 to 8.</w:t>
      </w:r>
    </w:p>
    <w:p w14:paraId="05399353" w14:textId="77777777" w:rsidR="00250A3B" w:rsidRPr="00395C05" w:rsidRDefault="00250A3B" w:rsidP="00586CCF">
      <w:pPr>
        <w:spacing w:line="360" w:lineRule="auto"/>
        <w:rPr>
          <w:rFonts w:ascii="Times New Roman" w:hAnsi="Times New Roman" w:cs="Times New Roman"/>
          <w:sz w:val="24"/>
          <w:szCs w:val="24"/>
        </w:rPr>
      </w:pPr>
    </w:p>
    <w:p w14:paraId="0CD5853D" w14:textId="77777777" w:rsidR="00250A3B" w:rsidRPr="00586CCF" w:rsidRDefault="00395C05" w:rsidP="00586CCF">
      <w:pPr>
        <w:spacing w:line="360" w:lineRule="auto"/>
        <w:rPr>
          <w:rFonts w:ascii="Times New Roman" w:hAnsi="Times New Roman" w:cs="Times New Roman"/>
          <w:sz w:val="24"/>
          <w:szCs w:val="24"/>
        </w:rPr>
      </w:pPr>
      <w:r w:rsidRPr="00395C05">
        <w:rPr>
          <w:rFonts w:ascii="Times New Roman" w:hAnsi="Times New Roman" w:cs="Times New Roman"/>
          <w:sz w:val="24"/>
          <w:szCs w:val="24"/>
        </w:rPr>
        <w:t xml:space="preserve">Part C consists of Sections 9 to 11. </w:t>
      </w:r>
      <w:r w:rsidR="00250A3B" w:rsidRPr="00395C05">
        <w:rPr>
          <w:rFonts w:ascii="Times New Roman" w:hAnsi="Times New Roman" w:cs="Times New Roman"/>
          <w:sz w:val="24"/>
          <w:szCs w:val="24"/>
        </w:rPr>
        <w:t xml:space="preserve">Section </w:t>
      </w:r>
      <w:r w:rsidRPr="00395C05">
        <w:rPr>
          <w:rFonts w:ascii="Times New Roman" w:hAnsi="Times New Roman" w:cs="Times New Roman"/>
          <w:sz w:val="24"/>
          <w:szCs w:val="24"/>
        </w:rPr>
        <w:t>9</w:t>
      </w:r>
      <w:r w:rsidR="00250A3B" w:rsidRPr="00395C05">
        <w:rPr>
          <w:rFonts w:ascii="Times New Roman" w:hAnsi="Times New Roman" w:cs="Times New Roman"/>
          <w:sz w:val="24"/>
          <w:szCs w:val="24"/>
        </w:rPr>
        <w:t xml:space="preserve"> provides the </w:t>
      </w:r>
      <w:r w:rsidRPr="00395C05">
        <w:rPr>
          <w:rFonts w:ascii="Times New Roman" w:hAnsi="Times New Roman" w:cs="Times New Roman"/>
          <w:sz w:val="24"/>
          <w:szCs w:val="24"/>
        </w:rPr>
        <w:t xml:space="preserve">Committee’s </w:t>
      </w:r>
      <w:r w:rsidR="00250A3B" w:rsidRPr="00395C05">
        <w:rPr>
          <w:rFonts w:ascii="Times New Roman" w:hAnsi="Times New Roman" w:cs="Times New Roman"/>
          <w:sz w:val="24"/>
          <w:szCs w:val="24"/>
        </w:rPr>
        <w:t xml:space="preserve">concluding remarks followed by </w:t>
      </w:r>
      <w:r w:rsidR="000653E9" w:rsidRPr="00395C05">
        <w:rPr>
          <w:rFonts w:ascii="Times New Roman" w:hAnsi="Times New Roman" w:cs="Times New Roman"/>
          <w:sz w:val="24"/>
          <w:szCs w:val="24"/>
        </w:rPr>
        <w:t xml:space="preserve">a note of </w:t>
      </w:r>
      <w:r w:rsidR="00250A3B" w:rsidRPr="00395C05">
        <w:rPr>
          <w:rFonts w:ascii="Times New Roman" w:hAnsi="Times New Roman" w:cs="Times New Roman"/>
          <w:sz w:val="24"/>
          <w:szCs w:val="24"/>
        </w:rPr>
        <w:t xml:space="preserve">appreciation in Section </w:t>
      </w:r>
      <w:r w:rsidRPr="00395C05">
        <w:rPr>
          <w:rFonts w:ascii="Times New Roman" w:hAnsi="Times New Roman" w:cs="Times New Roman"/>
          <w:sz w:val="24"/>
          <w:szCs w:val="24"/>
        </w:rPr>
        <w:t>10</w:t>
      </w:r>
      <w:r w:rsidR="00250A3B" w:rsidRPr="00395C05">
        <w:rPr>
          <w:rFonts w:ascii="Times New Roman" w:hAnsi="Times New Roman" w:cs="Times New Roman"/>
          <w:sz w:val="24"/>
          <w:szCs w:val="24"/>
        </w:rPr>
        <w:t xml:space="preserve">. The report then closes with the </w:t>
      </w:r>
      <w:r w:rsidRPr="00395C05">
        <w:rPr>
          <w:rFonts w:ascii="Times New Roman" w:hAnsi="Times New Roman" w:cs="Times New Roman"/>
          <w:sz w:val="24"/>
          <w:szCs w:val="24"/>
        </w:rPr>
        <w:t xml:space="preserve">Committee’s </w:t>
      </w:r>
      <w:r w:rsidR="00250A3B" w:rsidRPr="00395C05">
        <w:rPr>
          <w:rFonts w:ascii="Times New Roman" w:hAnsi="Times New Roman" w:cs="Times New Roman"/>
          <w:sz w:val="24"/>
          <w:szCs w:val="24"/>
        </w:rPr>
        <w:t xml:space="preserve">recommendations for the National Assembly’s approval in Section </w:t>
      </w:r>
      <w:r w:rsidRPr="00395C05">
        <w:rPr>
          <w:rFonts w:ascii="Times New Roman" w:hAnsi="Times New Roman" w:cs="Times New Roman"/>
          <w:sz w:val="24"/>
          <w:szCs w:val="24"/>
        </w:rPr>
        <w:t>11</w:t>
      </w:r>
      <w:r w:rsidR="00250A3B" w:rsidRPr="00395C05">
        <w:rPr>
          <w:rFonts w:ascii="Times New Roman" w:hAnsi="Times New Roman" w:cs="Times New Roman"/>
          <w:sz w:val="24"/>
          <w:szCs w:val="24"/>
        </w:rPr>
        <w:t>.</w:t>
      </w:r>
      <w:r w:rsidR="00250A3B" w:rsidRPr="00586CCF">
        <w:rPr>
          <w:rFonts w:ascii="Times New Roman" w:hAnsi="Times New Roman" w:cs="Times New Roman"/>
          <w:sz w:val="24"/>
          <w:szCs w:val="24"/>
        </w:rPr>
        <w:t xml:space="preserve"> </w:t>
      </w:r>
    </w:p>
    <w:p w14:paraId="76651D78" w14:textId="77777777" w:rsidR="00395C05" w:rsidRDefault="00395C05">
      <w:pPr>
        <w:rPr>
          <w:rFonts w:ascii="Times New Roman" w:hAnsi="Times New Roman" w:cs="Times New Roman"/>
          <w:b/>
          <w:sz w:val="24"/>
          <w:szCs w:val="24"/>
        </w:rPr>
      </w:pPr>
      <w:r>
        <w:rPr>
          <w:rFonts w:ascii="Times New Roman" w:hAnsi="Times New Roman" w:cs="Times New Roman"/>
          <w:b/>
          <w:sz w:val="24"/>
          <w:szCs w:val="24"/>
        </w:rPr>
        <w:br w:type="page"/>
      </w:r>
    </w:p>
    <w:p w14:paraId="20287A29" w14:textId="77777777" w:rsidR="00AB63A9" w:rsidRDefault="00AB63A9" w:rsidP="00AB63A9">
      <w:pPr>
        <w:spacing w:line="360" w:lineRule="auto"/>
        <w:jc w:val="center"/>
        <w:rPr>
          <w:rFonts w:ascii="Times New Roman" w:hAnsi="Times New Roman" w:cs="Times New Roman"/>
          <w:b/>
          <w:sz w:val="24"/>
        </w:rPr>
      </w:pPr>
      <w:r w:rsidRPr="00AB63A9">
        <w:rPr>
          <w:rFonts w:ascii="Times New Roman" w:hAnsi="Times New Roman" w:cs="Times New Roman"/>
          <w:b/>
          <w:sz w:val="24"/>
          <w:szCs w:val="24"/>
        </w:rPr>
        <w:t xml:space="preserve">PART A: </w:t>
      </w:r>
      <w:r w:rsidRPr="00AB63A9">
        <w:rPr>
          <w:rFonts w:ascii="Times New Roman" w:hAnsi="Times New Roman" w:cs="Times New Roman"/>
          <w:b/>
          <w:sz w:val="24"/>
        </w:rPr>
        <w:t>FINANCIAL AND NON-FINANCIAL PERFORMANCE OF THE DEPARTMENT OF TRADE AND INDUSTRY</w:t>
      </w:r>
    </w:p>
    <w:p w14:paraId="4BE32A38" w14:textId="77777777" w:rsidR="00AB63A9" w:rsidRPr="00AB63A9" w:rsidRDefault="00AB63A9" w:rsidP="00586CCF">
      <w:pPr>
        <w:spacing w:line="360" w:lineRule="auto"/>
        <w:rPr>
          <w:rFonts w:ascii="Times New Roman" w:hAnsi="Times New Roman" w:cs="Times New Roman"/>
          <w:b/>
          <w:sz w:val="24"/>
          <w:szCs w:val="24"/>
        </w:rPr>
      </w:pPr>
    </w:p>
    <w:p w14:paraId="64D79071" w14:textId="77777777" w:rsidR="00AC0279" w:rsidRPr="00586CCF" w:rsidRDefault="00AC0279" w:rsidP="00586CCF">
      <w:pPr>
        <w:pStyle w:val="Heading11"/>
        <w:spacing w:line="360" w:lineRule="auto"/>
        <w:rPr>
          <w:rFonts w:ascii="Times New Roman" w:hAnsi="Times New Roman" w:cs="Times New Roman"/>
          <w:sz w:val="24"/>
          <w:lang w:val="en-ZA"/>
        </w:rPr>
      </w:pPr>
      <w:bookmarkStart w:id="5" w:name="_Toc370119570"/>
      <w:r w:rsidRPr="00586CCF">
        <w:rPr>
          <w:rFonts w:ascii="Times New Roman" w:hAnsi="Times New Roman" w:cs="Times New Roman"/>
          <w:sz w:val="24"/>
          <w:lang w:val="en-ZA"/>
        </w:rPr>
        <w:t>Overview of the key relevant policy focus areas</w:t>
      </w:r>
      <w:bookmarkEnd w:id="5"/>
      <w:r w:rsidRPr="00586CCF">
        <w:rPr>
          <w:rFonts w:ascii="Times New Roman" w:hAnsi="Times New Roman" w:cs="Times New Roman"/>
          <w:sz w:val="24"/>
          <w:lang w:val="en-ZA"/>
        </w:rPr>
        <w:t xml:space="preserve"> </w:t>
      </w:r>
    </w:p>
    <w:p w14:paraId="3CCD20AF" w14:textId="77777777" w:rsidR="002109D6" w:rsidRPr="00586CCF" w:rsidRDefault="002109D6" w:rsidP="00586CCF">
      <w:pPr>
        <w:pStyle w:val="Heading11"/>
        <w:numPr>
          <w:ilvl w:val="0"/>
          <w:numId w:val="0"/>
        </w:numPr>
        <w:spacing w:line="360" w:lineRule="auto"/>
        <w:ind w:left="360" w:hanging="360"/>
        <w:rPr>
          <w:rFonts w:ascii="Times New Roman" w:hAnsi="Times New Roman" w:cs="Times New Roman"/>
          <w:sz w:val="24"/>
          <w:lang w:val="en-ZA"/>
        </w:rPr>
      </w:pPr>
    </w:p>
    <w:p w14:paraId="246BA70D" w14:textId="77777777" w:rsidR="009C0A02" w:rsidRPr="00586CCF" w:rsidRDefault="0017221E" w:rsidP="00EF0C57">
      <w:pPr>
        <w:pStyle w:val="Heading22"/>
      </w:pPr>
      <w:bookmarkStart w:id="6" w:name="_Toc370119571"/>
      <w:r w:rsidRPr="00586CCF">
        <w:t>Strategic Objectives of the Department</w:t>
      </w:r>
      <w:bookmarkEnd w:id="6"/>
    </w:p>
    <w:p w14:paraId="50F47085" w14:textId="77777777" w:rsidR="003956E3" w:rsidRPr="00586CCF" w:rsidRDefault="003956E3" w:rsidP="00586CCF">
      <w:pPr>
        <w:autoSpaceDE w:val="0"/>
        <w:autoSpaceDN w:val="0"/>
        <w:adjustRightInd w:val="0"/>
        <w:spacing w:line="360" w:lineRule="auto"/>
        <w:rPr>
          <w:rFonts w:ascii="Times New Roman" w:hAnsi="Times New Roman" w:cs="Times New Roman"/>
          <w:b/>
          <w:bCs/>
          <w:sz w:val="24"/>
          <w:szCs w:val="24"/>
        </w:rPr>
      </w:pPr>
    </w:p>
    <w:p w14:paraId="4C8D6D24" w14:textId="77777777" w:rsidR="003956E3" w:rsidRPr="00586CCF" w:rsidRDefault="003956E3" w:rsidP="00586CCF">
      <w:pPr>
        <w:autoSpaceDE w:val="0"/>
        <w:autoSpaceDN w:val="0"/>
        <w:adjustRightInd w:val="0"/>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w:t>
      </w:r>
      <w:r w:rsidR="006521C7" w:rsidRPr="00586CCF">
        <w:rPr>
          <w:rFonts w:ascii="Times New Roman" w:hAnsi="Times New Roman" w:cs="Times New Roman"/>
          <w:sz w:val="24"/>
          <w:szCs w:val="24"/>
        </w:rPr>
        <w:t>D</w:t>
      </w:r>
      <w:r w:rsidR="006521C7">
        <w:rPr>
          <w:rFonts w:ascii="Times New Roman" w:hAnsi="Times New Roman" w:cs="Times New Roman"/>
          <w:sz w:val="24"/>
          <w:szCs w:val="24"/>
        </w:rPr>
        <w:t>TI</w:t>
      </w:r>
      <w:r w:rsidR="006521C7" w:rsidRPr="00586CCF">
        <w:rPr>
          <w:rFonts w:ascii="Times New Roman" w:hAnsi="Times New Roman" w:cs="Times New Roman"/>
          <w:sz w:val="24"/>
          <w:szCs w:val="24"/>
        </w:rPr>
        <w:t xml:space="preserve">’s </w:t>
      </w:r>
      <w:r w:rsidRPr="00586CCF">
        <w:rPr>
          <w:rFonts w:ascii="Times New Roman" w:hAnsi="Times New Roman" w:cs="Times New Roman"/>
          <w:sz w:val="24"/>
          <w:szCs w:val="24"/>
        </w:rPr>
        <w:t xml:space="preserve">performance </w:t>
      </w:r>
      <w:r w:rsidR="00DB49D6" w:rsidRPr="00586CCF">
        <w:rPr>
          <w:rFonts w:ascii="Times New Roman" w:hAnsi="Times New Roman" w:cs="Times New Roman"/>
          <w:sz w:val="24"/>
          <w:szCs w:val="24"/>
        </w:rPr>
        <w:t>is</w:t>
      </w:r>
      <w:r w:rsidRPr="00586CCF">
        <w:rPr>
          <w:rFonts w:ascii="Times New Roman" w:hAnsi="Times New Roman" w:cs="Times New Roman"/>
          <w:sz w:val="24"/>
          <w:szCs w:val="24"/>
        </w:rPr>
        <w:t xml:space="preserve"> in line with its strategic objectives</w:t>
      </w:r>
      <w:r w:rsidR="00E40660">
        <w:rPr>
          <w:rFonts w:ascii="Times New Roman" w:hAnsi="Times New Roman" w:cs="Times New Roman"/>
          <w:sz w:val="24"/>
          <w:szCs w:val="24"/>
        </w:rPr>
        <w:t>, which</w:t>
      </w:r>
      <w:r w:rsidRPr="00586CCF">
        <w:rPr>
          <w:rFonts w:ascii="Times New Roman" w:hAnsi="Times New Roman" w:cs="Times New Roman"/>
          <w:sz w:val="24"/>
          <w:szCs w:val="24"/>
        </w:rPr>
        <w:t xml:space="preserve"> guide </w:t>
      </w:r>
      <w:r w:rsidR="00E40660">
        <w:rPr>
          <w:rFonts w:ascii="Times New Roman" w:hAnsi="Times New Roman" w:cs="Times New Roman"/>
          <w:sz w:val="24"/>
          <w:szCs w:val="24"/>
        </w:rPr>
        <w:t>its</w:t>
      </w:r>
      <w:r w:rsidRPr="00586CCF">
        <w:rPr>
          <w:rFonts w:ascii="Times New Roman" w:hAnsi="Times New Roman" w:cs="Times New Roman"/>
          <w:sz w:val="24"/>
          <w:szCs w:val="24"/>
        </w:rPr>
        <w:t xml:space="preserve"> work </w:t>
      </w:r>
      <w:r w:rsidR="00E40660">
        <w:rPr>
          <w:rFonts w:ascii="Times New Roman" w:hAnsi="Times New Roman" w:cs="Times New Roman"/>
          <w:sz w:val="24"/>
          <w:szCs w:val="24"/>
        </w:rPr>
        <w:t>and</w:t>
      </w:r>
      <w:r w:rsidRPr="00586CCF">
        <w:rPr>
          <w:rFonts w:ascii="Times New Roman" w:hAnsi="Times New Roman" w:cs="Times New Roman"/>
          <w:sz w:val="24"/>
          <w:szCs w:val="24"/>
        </w:rPr>
        <w:t xml:space="preserve"> are aligned to </w:t>
      </w:r>
      <w:r w:rsidR="00E40660">
        <w:rPr>
          <w:rFonts w:ascii="Times New Roman" w:hAnsi="Times New Roman" w:cs="Times New Roman"/>
          <w:sz w:val="24"/>
          <w:szCs w:val="24"/>
        </w:rPr>
        <w:t>its</w:t>
      </w:r>
      <w:r w:rsidRPr="00586CCF">
        <w:rPr>
          <w:rFonts w:ascii="Times New Roman" w:hAnsi="Times New Roman" w:cs="Times New Roman"/>
          <w:sz w:val="24"/>
          <w:szCs w:val="24"/>
        </w:rPr>
        <w:t xml:space="preserve"> programmes. </w:t>
      </w:r>
      <w:r w:rsidR="00243AEB" w:rsidRPr="00586CCF">
        <w:rPr>
          <w:rFonts w:ascii="Times New Roman" w:hAnsi="Times New Roman" w:cs="Times New Roman"/>
          <w:sz w:val="24"/>
          <w:szCs w:val="24"/>
        </w:rPr>
        <w:t>T</w:t>
      </w:r>
      <w:r w:rsidRPr="00586CCF">
        <w:rPr>
          <w:rFonts w:ascii="Times New Roman" w:hAnsi="Times New Roman" w:cs="Times New Roman"/>
          <w:sz w:val="24"/>
          <w:szCs w:val="24"/>
        </w:rPr>
        <w:t>he strategic objective</w:t>
      </w:r>
      <w:r w:rsidR="00243AEB" w:rsidRPr="00586CCF">
        <w:rPr>
          <w:rFonts w:ascii="Times New Roman" w:hAnsi="Times New Roman" w:cs="Times New Roman"/>
          <w:sz w:val="24"/>
          <w:szCs w:val="24"/>
        </w:rPr>
        <w:t>s</w:t>
      </w:r>
      <w:r w:rsidRPr="00586CCF">
        <w:rPr>
          <w:rFonts w:ascii="Times New Roman" w:hAnsi="Times New Roman" w:cs="Times New Roman"/>
          <w:sz w:val="24"/>
          <w:szCs w:val="24"/>
        </w:rPr>
        <w:t xml:space="preserve"> </w:t>
      </w:r>
      <w:r w:rsidR="00243AEB" w:rsidRPr="00586CCF">
        <w:rPr>
          <w:rFonts w:ascii="Times New Roman" w:hAnsi="Times New Roman" w:cs="Times New Roman"/>
          <w:sz w:val="24"/>
          <w:szCs w:val="24"/>
        </w:rPr>
        <w:t xml:space="preserve">are as follows: </w:t>
      </w:r>
    </w:p>
    <w:p w14:paraId="68A0DB36" w14:textId="77777777" w:rsidR="003956E3" w:rsidRPr="00586CCF" w:rsidRDefault="003956E3" w:rsidP="00586CCF">
      <w:pPr>
        <w:spacing w:line="360" w:lineRule="auto"/>
        <w:rPr>
          <w:rFonts w:ascii="Times New Roman" w:hAnsi="Times New Roman" w:cs="Times New Roman"/>
          <w:sz w:val="24"/>
          <w:szCs w:val="24"/>
        </w:rPr>
      </w:pPr>
    </w:p>
    <w:p w14:paraId="7E069E59" w14:textId="77777777" w:rsidR="00DB49D6" w:rsidRPr="00586CCF" w:rsidRDefault="00243AEB" w:rsidP="009D5D24">
      <w:pPr>
        <w:pStyle w:val="ListParagraph"/>
        <w:numPr>
          <w:ilvl w:val="0"/>
          <w:numId w:val="7"/>
        </w:numPr>
        <w:spacing w:line="360" w:lineRule="auto"/>
        <w:rPr>
          <w:rFonts w:ascii="Times New Roman" w:hAnsi="Times New Roman" w:cs="Times New Roman"/>
          <w:sz w:val="24"/>
          <w:szCs w:val="24"/>
        </w:rPr>
      </w:pPr>
      <w:r w:rsidRPr="00586CCF">
        <w:rPr>
          <w:rFonts w:ascii="Times New Roman" w:hAnsi="Times New Roman" w:cs="Times New Roman"/>
          <w:sz w:val="24"/>
          <w:szCs w:val="24"/>
        </w:rPr>
        <w:t>Promoting</w:t>
      </w:r>
      <w:r w:rsidR="00DB49D6" w:rsidRPr="00586CCF">
        <w:rPr>
          <w:rFonts w:ascii="Times New Roman" w:hAnsi="Times New Roman" w:cs="Times New Roman"/>
          <w:sz w:val="24"/>
          <w:szCs w:val="24"/>
        </w:rPr>
        <w:t xml:space="preserve"> a professional, ethical, dynamic, competitive and customer-focused working environment that ensures effective and efficient service delivery.</w:t>
      </w:r>
    </w:p>
    <w:p w14:paraId="5EF5C693" w14:textId="77777777" w:rsidR="00DB49D6" w:rsidRPr="00586CCF" w:rsidRDefault="00DB49D6" w:rsidP="009D5D24">
      <w:pPr>
        <w:pStyle w:val="ListParagraph"/>
        <w:numPr>
          <w:ilvl w:val="0"/>
          <w:numId w:val="7"/>
        </w:numPr>
        <w:spacing w:line="360" w:lineRule="auto"/>
        <w:rPr>
          <w:rFonts w:ascii="Times New Roman" w:hAnsi="Times New Roman" w:cs="Times New Roman"/>
          <w:sz w:val="24"/>
          <w:szCs w:val="24"/>
        </w:rPr>
      </w:pPr>
      <w:r w:rsidRPr="00586CCF">
        <w:rPr>
          <w:rFonts w:ascii="Times New Roman" w:hAnsi="Times New Roman" w:cs="Times New Roman"/>
          <w:sz w:val="24"/>
          <w:szCs w:val="24"/>
        </w:rPr>
        <w:t>Build</w:t>
      </w:r>
      <w:r w:rsidR="00243AEB" w:rsidRPr="00586CCF">
        <w:rPr>
          <w:rFonts w:ascii="Times New Roman" w:hAnsi="Times New Roman" w:cs="Times New Roman"/>
          <w:sz w:val="24"/>
          <w:szCs w:val="24"/>
        </w:rPr>
        <w:t>ing</w:t>
      </w:r>
      <w:r w:rsidRPr="00586CCF">
        <w:rPr>
          <w:rFonts w:ascii="Times New Roman" w:hAnsi="Times New Roman" w:cs="Times New Roman"/>
          <w:sz w:val="24"/>
          <w:szCs w:val="24"/>
        </w:rPr>
        <w:t xml:space="preserve"> mutually beneficial regional and global relations to advance South Africa’s trade, industrial policy and economic development objectives</w:t>
      </w:r>
      <w:r w:rsidR="00586CCF">
        <w:rPr>
          <w:rFonts w:ascii="Times New Roman" w:hAnsi="Times New Roman" w:cs="Times New Roman"/>
          <w:sz w:val="24"/>
          <w:szCs w:val="24"/>
        </w:rPr>
        <w:t>.</w:t>
      </w:r>
    </w:p>
    <w:p w14:paraId="15CFD431" w14:textId="77777777" w:rsidR="00DB49D6" w:rsidRPr="00586CCF" w:rsidRDefault="00243AEB" w:rsidP="009D5D24">
      <w:pPr>
        <w:pStyle w:val="ListParagraph"/>
        <w:numPr>
          <w:ilvl w:val="0"/>
          <w:numId w:val="7"/>
        </w:numPr>
        <w:spacing w:line="360" w:lineRule="auto"/>
        <w:rPr>
          <w:rFonts w:ascii="Times New Roman" w:hAnsi="Times New Roman" w:cs="Times New Roman"/>
          <w:sz w:val="24"/>
          <w:szCs w:val="24"/>
        </w:rPr>
      </w:pPr>
      <w:r w:rsidRPr="00586CCF">
        <w:rPr>
          <w:rFonts w:ascii="Times New Roman" w:hAnsi="Times New Roman" w:cs="Times New Roman"/>
          <w:sz w:val="24"/>
          <w:szCs w:val="24"/>
        </w:rPr>
        <w:t>Facilitating</w:t>
      </w:r>
      <w:r w:rsidR="00DB49D6" w:rsidRPr="00586CCF">
        <w:rPr>
          <w:rFonts w:ascii="Times New Roman" w:hAnsi="Times New Roman" w:cs="Times New Roman"/>
          <w:sz w:val="24"/>
          <w:szCs w:val="24"/>
        </w:rPr>
        <w:t xml:space="preserve"> broad-based economic participation through targeted interventions to achieve more inclusive growth.</w:t>
      </w:r>
    </w:p>
    <w:p w14:paraId="610C06A8" w14:textId="77777777" w:rsidR="00DB49D6" w:rsidRPr="00586CCF" w:rsidRDefault="00DB49D6" w:rsidP="009D5D24">
      <w:pPr>
        <w:pStyle w:val="ListParagraph"/>
        <w:numPr>
          <w:ilvl w:val="0"/>
          <w:numId w:val="7"/>
        </w:numPr>
        <w:spacing w:line="360" w:lineRule="auto"/>
        <w:rPr>
          <w:rFonts w:ascii="Times New Roman" w:hAnsi="Times New Roman" w:cs="Times New Roman"/>
          <w:sz w:val="24"/>
          <w:szCs w:val="24"/>
        </w:rPr>
      </w:pPr>
      <w:r w:rsidRPr="00586CCF">
        <w:rPr>
          <w:rFonts w:ascii="Times New Roman" w:hAnsi="Times New Roman" w:cs="Times New Roman"/>
          <w:sz w:val="24"/>
          <w:szCs w:val="24"/>
        </w:rPr>
        <w:t>Fa</w:t>
      </w:r>
      <w:r w:rsidR="00243AEB" w:rsidRPr="00586CCF">
        <w:rPr>
          <w:rFonts w:ascii="Times New Roman" w:hAnsi="Times New Roman" w:cs="Times New Roman"/>
          <w:sz w:val="24"/>
          <w:szCs w:val="24"/>
        </w:rPr>
        <w:t>cilitating</w:t>
      </w:r>
      <w:r w:rsidRPr="00586CCF">
        <w:rPr>
          <w:rFonts w:ascii="Times New Roman" w:hAnsi="Times New Roman" w:cs="Times New Roman"/>
          <w:sz w:val="24"/>
          <w:szCs w:val="24"/>
        </w:rPr>
        <w:t xml:space="preserve"> transformation of the economy to promote industrial development, investment, competitiveness and employment creation.</w:t>
      </w:r>
    </w:p>
    <w:p w14:paraId="25685757" w14:textId="77777777" w:rsidR="00DB49D6" w:rsidRPr="00586CCF" w:rsidRDefault="00243AEB" w:rsidP="009D5D24">
      <w:pPr>
        <w:pStyle w:val="ListParagraph"/>
        <w:numPr>
          <w:ilvl w:val="0"/>
          <w:numId w:val="7"/>
        </w:numPr>
        <w:spacing w:line="360" w:lineRule="auto"/>
        <w:rPr>
          <w:rFonts w:ascii="Times New Roman" w:hAnsi="Times New Roman" w:cs="Times New Roman"/>
          <w:sz w:val="24"/>
          <w:szCs w:val="24"/>
        </w:rPr>
      </w:pPr>
      <w:r w:rsidRPr="00586CCF">
        <w:rPr>
          <w:rFonts w:ascii="Times New Roman" w:hAnsi="Times New Roman" w:cs="Times New Roman"/>
          <w:sz w:val="24"/>
          <w:szCs w:val="24"/>
        </w:rPr>
        <w:t>Creating</w:t>
      </w:r>
      <w:r w:rsidR="00DB49D6" w:rsidRPr="00586CCF">
        <w:rPr>
          <w:rFonts w:ascii="Times New Roman" w:hAnsi="Times New Roman" w:cs="Times New Roman"/>
          <w:sz w:val="24"/>
          <w:szCs w:val="24"/>
        </w:rPr>
        <w:t xml:space="preserve"> a fair regulatory environment that enables investment, trade and enterprise development in an equitable and socially responsible manner.</w:t>
      </w:r>
    </w:p>
    <w:p w14:paraId="2EEB6532" w14:textId="77777777" w:rsidR="000012D3" w:rsidRPr="00586CCF" w:rsidRDefault="000012D3" w:rsidP="00586CCF">
      <w:pPr>
        <w:pStyle w:val="ListParagraph"/>
        <w:spacing w:line="360" w:lineRule="auto"/>
        <w:ind w:left="0"/>
        <w:rPr>
          <w:rFonts w:ascii="Times New Roman" w:hAnsi="Times New Roman" w:cs="Times New Roman"/>
          <w:sz w:val="24"/>
          <w:szCs w:val="24"/>
        </w:rPr>
      </w:pPr>
    </w:p>
    <w:p w14:paraId="1795F8AC" w14:textId="77777777" w:rsidR="00964B85" w:rsidRPr="00586CCF" w:rsidRDefault="00964B85" w:rsidP="00586CCF">
      <w:pPr>
        <w:tabs>
          <w:tab w:val="left" w:pos="284"/>
        </w:tabs>
        <w:autoSpaceDE w:val="0"/>
        <w:autoSpaceDN w:val="0"/>
        <w:adjustRightInd w:val="0"/>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In terms of its core functions, the DTI </w:t>
      </w:r>
      <w:r w:rsidR="0055458E">
        <w:rPr>
          <w:rFonts w:ascii="Times New Roman" w:hAnsi="Times New Roman" w:cs="Times New Roman"/>
          <w:sz w:val="24"/>
          <w:szCs w:val="24"/>
        </w:rPr>
        <w:t>is responsible for overseeing 14</w:t>
      </w:r>
      <w:r w:rsidRPr="00586CCF">
        <w:rPr>
          <w:rFonts w:ascii="Times New Roman" w:hAnsi="Times New Roman" w:cs="Times New Roman"/>
          <w:sz w:val="24"/>
          <w:szCs w:val="24"/>
        </w:rPr>
        <w:t xml:space="preserve"> entities and administering 42 Acts</w:t>
      </w:r>
      <w:r w:rsidRPr="00586CCF">
        <w:rPr>
          <w:rStyle w:val="FootnoteReference"/>
          <w:rFonts w:ascii="Times New Roman" w:hAnsi="Times New Roman" w:cs="Times New Roman"/>
          <w:sz w:val="24"/>
          <w:szCs w:val="24"/>
        </w:rPr>
        <w:footnoteReference w:id="1"/>
      </w:r>
      <w:r w:rsidRPr="00586CCF">
        <w:rPr>
          <w:rFonts w:ascii="Times New Roman" w:hAnsi="Times New Roman" w:cs="Times New Roman"/>
          <w:sz w:val="24"/>
          <w:szCs w:val="24"/>
        </w:rPr>
        <w:t>. These entities can be divided into three categories according to the type of work they perform, namely the financ</w:t>
      </w:r>
      <w:r w:rsidR="00E40660">
        <w:rPr>
          <w:rFonts w:ascii="Times New Roman" w:hAnsi="Times New Roman" w:cs="Times New Roman"/>
          <w:sz w:val="24"/>
          <w:szCs w:val="24"/>
        </w:rPr>
        <w:t>ial</w:t>
      </w:r>
      <w:r w:rsidRPr="00586CCF">
        <w:rPr>
          <w:rFonts w:ascii="Times New Roman" w:hAnsi="Times New Roman" w:cs="Times New Roman"/>
          <w:sz w:val="24"/>
          <w:szCs w:val="24"/>
        </w:rPr>
        <w:t xml:space="preserve"> agencies, the regulatory agencies, and the </w:t>
      </w:r>
      <w:r w:rsidR="00E40660">
        <w:rPr>
          <w:rFonts w:ascii="Times New Roman" w:hAnsi="Times New Roman" w:cs="Times New Roman"/>
          <w:sz w:val="24"/>
          <w:szCs w:val="24"/>
        </w:rPr>
        <w:t>technical institutions</w:t>
      </w:r>
      <w:r w:rsidRPr="00586CCF">
        <w:rPr>
          <w:rFonts w:ascii="Times New Roman" w:hAnsi="Times New Roman" w:cs="Times New Roman"/>
          <w:sz w:val="24"/>
          <w:szCs w:val="24"/>
        </w:rPr>
        <w:t xml:space="preserve"> (see table</w:t>
      </w:r>
      <w:r w:rsidR="00586CCF" w:rsidRPr="00586CCF">
        <w:rPr>
          <w:rFonts w:ascii="Times New Roman" w:hAnsi="Times New Roman" w:cs="Times New Roman"/>
          <w:sz w:val="24"/>
          <w:szCs w:val="24"/>
        </w:rPr>
        <w:t xml:space="preserve"> 1</w:t>
      </w:r>
      <w:r w:rsidRPr="00586CCF">
        <w:rPr>
          <w:rFonts w:ascii="Times New Roman" w:hAnsi="Times New Roman" w:cs="Times New Roman"/>
          <w:sz w:val="24"/>
          <w:szCs w:val="24"/>
        </w:rPr>
        <w:t xml:space="preserve">). </w:t>
      </w:r>
    </w:p>
    <w:p w14:paraId="6F71993A" w14:textId="77777777" w:rsidR="003073E4" w:rsidRPr="00586CCF" w:rsidRDefault="003073E4" w:rsidP="00586CCF">
      <w:pPr>
        <w:spacing w:line="360" w:lineRule="auto"/>
        <w:rPr>
          <w:rFonts w:ascii="Times New Roman" w:hAnsi="Times New Roman" w:cs="Times New Roman"/>
          <w:sz w:val="24"/>
          <w:szCs w:val="24"/>
        </w:rPr>
      </w:pPr>
    </w:p>
    <w:p w14:paraId="74102F7E" w14:textId="77777777" w:rsidR="0055458E" w:rsidRDefault="0055458E" w:rsidP="0055458E">
      <w:pPr>
        <w:pStyle w:val="Heading11"/>
        <w:numPr>
          <w:ilvl w:val="0"/>
          <w:numId w:val="0"/>
        </w:numPr>
        <w:spacing w:line="360" w:lineRule="auto"/>
        <w:rPr>
          <w:rFonts w:ascii="Times New Roman" w:hAnsi="Times New Roman" w:cs="Times New Roman"/>
          <w:b w:val="0"/>
          <w:caps w:val="0"/>
          <w:sz w:val="24"/>
          <w:lang w:val="en-ZA"/>
        </w:rPr>
      </w:pPr>
      <w:r w:rsidRPr="00586CCF">
        <w:rPr>
          <w:rFonts w:ascii="Times New Roman" w:hAnsi="Times New Roman" w:cs="Times New Roman"/>
          <w:b w:val="0"/>
          <w:sz w:val="24"/>
          <w:lang w:val="en-ZA"/>
        </w:rPr>
        <w:t>i</w:t>
      </w:r>
      <w:r w:rsidRPr="00586CCF">
        <w:rPr>
          <w:rFonts w:ascii="Times New Roman" w:hAnsi="Times New Roman" w:cs="Times New Roman"/>
          <w:b w:val="0"/>
          <w:caps w:val="0"/>
          <w:sz w:val="24"/>
          <w:lang w:val="en-ZA"/>
        </w:rPr>
        <w:t xml:space="preserve">n addition to overseeing the </w:t>
      </w:r>
      <w:r>
        <w:rPr>
          <w:rFonts w:ascii="Times New Roman" w:hAnsi="Times New Roman" w:cs="Times New Roman"/>
          <w:b w:val="0"/>
          <w:caps w:val="0"/>
          <w:sz w:val="24"/>
          <w:lang w:val="en-ZA"/>
        </w:rPr>
        <w:t>DTI</w:t>
      </w:r>
      <w:r w:rsidRPr="00586CCF">
        <w:rPr>
          <w:rFonts w:ascii="Times New Roman" w:hAnsi="Times New Roman" w:cs="Times New Roman"/>
          <w:b w:val="0"/>
          <w:caps w:val="0"/>
          <w:sz w:val="24"/>
          <w:lang w:val="en-ZA"/>
        </w:rPr>
        <w:t>, the Committee oversees these entities. Mainly because a number of the DTI’s strategic objectives are implemented through these entities.</w:t>
      </w:r>
    </w:p>
    <w:p w14:paraId="2BFAE47E" w14:textId="77777777" w:rsidR="00AB63A9" w:rsidRPr="0055458E" w:rsidRDefault="00AB63A9" w:rsidP="0055458E">
      <w:pPr>
        <w:pStyle w:val="Heading11"/>
        <w:numPr>
          <w:ilvl w:val="0"/>
          <w:numId w:val="0"/>
        </w:numPr>
        <w:spacing w:line="360" w:lineRule="auto"/>
        <w:rPr>
          <w:rFonts w:ascii="Times New Roman" w:hAnsi="Times New Roman" w:cs="Times New Roman"/>
          <w:b w:val="0"/>
          <w:sz w:val="24"/>
          <w:lang w:val="en-ZA"/>
        </w:rPr>
      </w:pPr>
      <w:r>
        <w:rPr>
          <w:rFonts w:ascii="Times New Roman" w:hAnsi="Times New Roman" w:cs="Times New Roman"/>
          <w:b w:val="0"/>
          <w:sz w:val="24"/>
        </w:rPr>
        <w:br w:type="page"/>
      </w:r>
    </w:p>
    <w:p w14:paraId="531C8905" w14:textId="77777777" w:rsidR="00964B85" w:rsidRPr="00586CCF" w:rsidRDefault="00964B85" w:rsidP="00586CCF">
      <w:pPr>
        <w:tabs>
          <w:tab w:val="left" w:pos="284"/>
        </w:tabs>
        <w:autoSpaceDE w:val="0"/>
        <w:autoSpaceDN w:val="0"/>
        <w:adjustRightInd w:val="0"/>
        <w:spacing w:line="360" w:lineRule="auto"/>
        <w:rPr>
          <w:rFonts w:ascii="Times New Roman" w:hAnsi="Times New Roman" w:cs="Times New Roman"/>
          <w:b/>
          <w:noProof/>
          <w:sz w:val="24"/>
          <w:szCs w:val="24"/>
          <w:lang w:eastAsia="en-ZA"/>
        </w:rPr>
      </w:pPr>
      <w:r w:rsidRPr="00586CCF">
        <w:rPr>
          <w:rFonts w:ascii="Times New Roman" w:hAnsi="Times New Roman" w:cs="Times New Roman"/>
          <w:b/>
          <w:sz w:val="24"/>
          <w:szCs w:val="24"/>
        </w:rPr>
        <w:t xml:space="preserve">Table </w:t>
      </w:r>
      <w:r w:rsidRPr="00586CCF">
        <w:rPr>
          <w:rFonts w:ascii="Times New Roman" w:hAnsi="Times New Roman" w:cs="Times New Roman"/>
          <w:b/>
          <w:sz w:val="24"/>
          <w:szCs w:val="24"/>
        </w:rPr>
        <w:fldChar w:fldCharType="begin"/>
      </w:r>
      <w:r w:rsidRPr="00586CCF">
        <w:rPr>
          <w:rFonts w:ascii="Times New Roman" w:hAnsi="Times New Roman" w:cs="Times New Roman"/>
          <w:b/>
          <w:sz w:val="24"/>
          <w:szCs w:val="24"/>
        </w:rPr>
        <w:instrText xml:space="preserve"> SEQ Table \* ARABIC </w:instrText>
      </w:r>
      <w:r w:rsidRPr="00586CCF">
        <w:rPr>
          <w:rFonts w:ascii="Times New Roman" w:hAnsi="Times New Roman" w:cs="Times New Roman"/>
          <w:b/>
          <w:sz w:val="24"/>
          <w:szCs w:val="24"/>
        </w:rPr>
        <w:fldChar w:fldCharType="separate"/>
      </w:r>
      <w:r w:rsidR="003100D1">
        <w:rPr>
          <w:rFonts w:ascii="Times New Roman" w:hAnsi="Times New Roman" w:cs="Times New Roman"/>
          <w:b/>
          <w:noProof/>
          <w:sz w:val="24"/>
          <w:szCs w:val="24"/>
        </w:rPr>
        <w:t>1</w:t>
      </w:r>
      <w:r w:rsidRPr="00586CCF">
        <w:rPr>
          <w:rFonts w:ascii="Times New Roman" w:hAnsi="Times New Roman" w:cs="Times New Roman"/>
          <w:b/>
          <w:sz w:val="24"/>
          <w:szCs w:val="24"/>
        </w:rPr>
        <w:fldChar w:fldCharType="end"/>
      </w:r>
      <w:r w:rsidRPr="00586CCF">
        <w:rPr>
          <w:rFonts w:ascii="Times New Roman" w:hAnsi="Times New Roman" w:cs="Times New Roman"/>
          <w:b/>
          <w:sz w:val="24"/>
          <w:szCs w:val="24"/>
        </w:rPr>
        <w:t xml:space="preserve">: List of entities reporting to the DTI </w:t>
      </w:r>
    </w:p>
    <w:tbl>
      <w:tblPr>
        <w:tblW w:w="8931" w:type="dxa"/>
        <w:tblInd w:w="-5" w:type="dxa"/>
        <w:tblLook w:val="04A0" w:firstRow="1" w:lastRow="0" w:firstColumn="1" w:lastColumn="0" w:noHBand="0" w:noVBand="1"/>
      </w:tblPr>
      <w:tblGrid>
        <w:gridCol w:w="2410"/>
        <w:gridCol w:w="284"/>
        <w:gridCol w:w="3543"/>
        <w:gridCol w:w="284"/>
        <w:gridCol w:w="2410"/>
      </w:tblGrid>
      <w:tr w:rsidR="00964B85" w:rsidRPr="00586CCF" w14:paraId="67BB90FC" w14:textId="77777777" w:rsidTr="00964B85">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15717" w14:textId="77777777" w:rsidR="00964B85" w:rsidRPr="00586CCF" w:rsidRDefault="00964B85" w:rsidP="00586CCF">
            <w:pPr>
              <w:spacing w:line="360" w:lineRule="auto"/>
              <w:jc w:val="center"/>
              <w:rPr>
                <w:rFonts w:ascii="Times New Roman" w:hAnsi="Times New Roman" w:cs="Times New Roman"/>
                <w:b/>
                <w:bCs/>
                <w:color w:val="FFFFFF" w:themeColor="background1"/>
                <w:sz w:val="24"/>
                <w:szCs w:val="24"/>
                <w:lang w:eastAsia="en-ZA"/>
              </w:rPr>
            </w:pPr>
            <w:r w:rsidRPr="00586CCF">
              <w:rPr>
                <w:rFonts w:ascii="Times New Roman" w:hAnsi="Times New Roman" w:cs="Times New Roman"/>
                <w:b/>
                <w:bCs/>
                <w:sz w:val="24"/>
                <w:szCs w:val="24"/>
                <w:lang w:eastAsia="en-ZA"/>
              </w:rPr>
              <w:t>FINANC</w:t>
            </w:r>
            <w:r w:rsidR="00E40660">
              <w:rPr>
                <w:rFonts w:ascii="Times New Roman" w:hAnsi="Times New Roman" w:cs="Times New Roman"/>
                <w:b/>
                <w:bCs/>
                <w:sz w:val="24"/>
                <w:szCs w:val="24"/>
                <w:lang w:eastAsia="en-ZA"/>
              </w:rPr>
              <w:t>IAL</w:t>
            </w:r>
            <w:r w:rsidRPr="00586CCF">
              <w:rPr>
                <w:rFonts w:ascii="Times New Roman" w:hAnsi="Times New Roman" w:cs="Times New Roman"/>
                <w:b/>
                <w:bCs/>
                <w:sz w:val="24"/>
                <w:szCs w:val="24"/>
                <w:lang w:eastAsia="en-ZA"/>
              </w:rPr>
              <w:t xml:space="preserve"> AGENCIES</w:t>
            </w:r>
          </w:p>
        </w:tc>
        <w:tc>
          <w:tcPr>
            <w:tcW w:w="284" w:type="dxa"/>
            <w:tcBorders>
              <w:top w:val="nil"/>
              <w:left w:val="nil"/>
              <w:bottom w:val="nil"/>
              <w:right w:val="nil"/>
            </w:tcBorders>
            <w:shd w:val="clear" w:color="auto" w:fill="auto"/>
            <w:noWrap/>
            <w:vAlign w:val="center"/>
            <w:hideMark/>
          </w:tcPr>
          <w:p w14:paraId="7C36D1C3" w14:textId="77777777" w:rsidR="00964B85" w:rsidRPr="00586CCF" w:rsidRDefault="00964B85" w:rsidP="00586CCF">
            <w:pPr>
              <w:spacing w:line="360" w:lineRule="auto"/>
              <w:jc w:val="center"/>
              <w:rPr>
                <w:rFonts w:ascii="Times New Roman" w:hAnsi="Times New Roman" w:cs="Times New Roman"/>
                <w:b/>
                <w:bCs/>
                <w:color w:val="FFFFFF" w:themeColor="background1"/>
                <w:sz w:val="24"/>
                <w:szCs w:val="24"/>
                <w:lang w:eastAsia="en-ZA"/>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1A1FD2" w14:textId="77777777" w:rsidR="00964B85" w:rsidRPr="00586CCF" w:rsidRDefault="00964B85">
            <w:pPr>
              <w:spacing w:line="360" w:lineRule="auto"/>
              <w:jc w:val="center"/>
              <w:rPr>
                <w:rFonts w:ascii="Times New Roman" w:hAnsi="Times New Roman" w:cs="Times New Roman"/>
                <w:b/>
                <w:bCs/>
                <w:color w:val="FFFFFF" w:themeColor="background1"/>
                <w:sz w:val="24"/>
                <w:szCs w:val="24"/>
                <w:lang w:eastAsia="en-ZA"/>
              </w:rPr>
            </w:pPr>
            <w:r w:rsidRPr="00586CCF">
              <w:rPr>
                <w:rFonts w:ascii="Times New Roman" w:hAnsi="Times New Roman" w:cs="Times New Roman"/>
                <w:b/>
                <w:bCs/>
                <w:sz w:val="24"/>
                <w:szCs w:val="24"/>
                <w:lang w:eastAsia="en-ZA"/>
              </w:rPr>
              <w:t xml:space="preserve">REGULATORY </w:t>
            </w:r>
            <w:r w:rsidR="00E40660">
              <w:rPr>
                <w:rFonts w:ascii="Times New Roman" w:hAnsi="Times New Roman" w:cs="Times New Roman"/>
                <w:b/>
                <w:bCs/>
                <w:sz w:val="24"/>
                <w:szCs w:val="24"/>
                <w:lang w:eastAsia="en-ZA"/>
              </w:rPr>
              <w:t>AGENCIES</w:t>
            </w:r>
          </w:p>
        </w:tc>
        <w:tc>
          <w:tcPr>
            <w:tcW w:w="284" w:type="dxa"/>
            <w:tcBorders>
              <w:top w:val="nil"/>
              <w:left w:val="nil"/>
              <w:bottom w:val="nil"/>
              <w:right w:val="nil"/>
            </w:tcBorders>
            <w:shd w:val="clear" w:color="auto" w:fill="auto"/>
            <w:noWrap/>
            <w:vAlign w:val="center"/>
            <w:hideMark/>
          </w:tcPr>
          <w:p w14:paraId="2B43B067" w14:textId="77777777" w:rsidR="00964B85" w:rsidRPr="00586CCF" w:rsidRDefault="00964B85" w:rsidP="00586CCF">
            <w:pPr>
              <w:spacing w:line="360" w:lineRule="auto"/>
              <w:jc w:val="center"/>
              <w:rPr>
                <w:rFonts w:ascii="Times New Roman" w:hAnsi="Times New Roman" w:cs="Times New Roman"/>
                <w:b/>
                <w:bCs/>
                <w:color w:val="FFFFFF" w:themeColor="background1"/>
                <w:sz w:val="24"/>
                <w:szCs w:val="24"/>
                <w:lang w:eastAsia="en-ZA"/>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D33595" w14:textId="77777777" w:rsidR="00964B85" w:rsidRPr="00586CCF" w:rsidRDefault="00964B85" w:rsidP="00586CCF">
            <w:pPr>
              <w:pStyle w:val="Heading7"/>
              <w:spacing w:before="0" w:line="360" w:lineRule="auto"/>
              <w:jc w:val="center"/>
              <w:rPr>
                <w:rFonts w:ascii="Times New Roman" w:hAnsi="Times New Roman" w:cs="Times New Roman"/>
                <w:b/>
                <w:i w:val="0"/>
                <w:color w:val="FFFFFF" w:themeColor="background1"/>
                <w:sz w:val="24"/>
                <w:szCs w:val="24"/>
              </w:rPr>
            </w:pPr>
            <w:r w:rsidRPr="00586CCF">
              <w:rPr>
                <w:rFonts w:ascii="Times New Roman" w:hAnsi="Times New Roman" w:cs="Times New Roman"/>
                <w:b/>
                <w:i w:val="0"/>
                <w:color w:val="auto"/>
                <w:sz w:val="24"/>
                <w:szCs w:val="24"/>
              </w:rPr>
              <w:t>TECHNICAL INSTITUTIONS</w:t>
            </w:r>
          </w:p>
        </w:tc>
      </w:tr>
      <w:tr w:rsidR="00964B85" w:rsidRPr="00586CCF" w14:paraId="4923ABA7" w14:textId="77777777" w:rsidTr="00964B85">
        <w:trPr>
          <w:trHeight w:val="255"/>
        </w:trPr>
        <w:tc>
          <w:tcPr>
            <w:tcW w:w="2410" w:type="dxa"/>
            <w:tcBorders>
              <w:top w:val="nil"/>
              <w:left w:val="single" w:sz="4" w:space="0" w:color="auto"/>
              <w:bottom w:val="single" w:sz="4" w:space="0" w:color="auto"/>
              <w:right w:val="single" w:sz="4" w:space="0" w:color="auto"/>
            </w:tcBorders>
            <w:shd w:val="clear" w:color="auto" w:fill="auto"/>
            <w:hideMark/>
          </w:tcPr>
          <w:p w14:paraId="21B5F70E" w14:textId="77777777" w:rsidR="00964B85" w:rsidRPr="00586CCF" w:rsidRDefault="00964B85" w:rsidP="009D5D24">
            <w:pPr>
              <w:pStyle w:val="ListParagraph"/>
              <w:numPr>
                <w:ilvl w:val="0"/>
                <w:numId w:val="2"/>
              </w:numPr>
              <w:spacing w:line="360" w:lineRule="auto"/>
              <w:ind w:left="20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Export Credit Insurance Corporation of South Africa (ECIC)</w:t>
            </w:r>
          </w:p>
          <w:p w14:paraId="5CD38FF4" w14:textId="77777777" w:rsidR="00964B85" w:rsidRPr="0055458E" w:rsidRDefault="00964B85" w:rsidP="0055458E">
            <w:pPr>
              <w:pStyle w:val="ListParagraph"/>
              <w:numPr>
                <w:ilvl w:val="0"/>
                <w:numId w:val="2"/>
              </w:numPr>
              <w:spacing w:line="360" w:lineRule="auto"/>
              <w:ind w:left="20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National Empowerment Fund (NEF)</w:t>
            </w:r>
          </w:p>
        </w:tc>
        <w:tc>
          <w:tcPr>
            <w:tcW w:w="284" w:type="dxa"/>
            <w:tcBorders>
              <w:top w:val="nil"/>
              <w:left w:val="nil"/>
              <w:bottom w:val="nil"/>
              <w:right w:val="nil"/>
            </w:tcBorders>
            <w:shd w:val="clear" w:color="auto" w:fill="auto"/>
            <w:noWrap/>
            <w:vAlign w:val="bottom"/>
            <w:hideMark/>
          </w:tcPr>
          <w:p w14:paraId="3B466280" w14:textId="77777777" w:rsidR="00964B85" w:rsidRPr="00586CCF" w:rsidRDefault="00964B85" w:rsidP="00586CCF">
            <w:pPr>
              <w:spacing w:line="360" w:lineRule="auto"/>
              <w:rPr>
                <w:rFonts w:ascii="Times New Roman" w:hAnsi="Times New Roman" w:cs="Times New Roman"/>
                <w:sz w:val="24"/>
                <w:szCs w:val="24"/>
                <w:lang w:eastAsia="en-ZA"/>
              </w:rPr>
            </w:pPr>
          </w:p>
        </w:tc>
        <w:tc>
          <w:tcPr>
            <w:tcW w:w="3543" w:type="dxa"/>
            <w:tcBorders>
              <w:top w:val="nil"/>
              <w:left w:val="single" w:sz="4" w:space="0" w:color="auto"/>
              <w:bottom w:val="single" w:sz="4" w:space="0" w:color="auto"/>
              <w:right w:val="single" w:sz="4" w:space="0" w:color="auto"/>
            </w:tcBorders>
            <w:shd w:val="clear" w:color="auto" w:fill="auto"/>
            <w:hideMark/>
          </w:tcPr>
          <w:p w14:paraId="163DA0B2" w14:textId="77777777" w:rsidR="00395C05" w:rsidRDefault="00395C05" w:rsidP="009D5D24">
            <w:pPr>
              <w:pStyle w:val="BodyText3"/>
              <w:numPr>
                <w:ilvl w:val="0"/>
                <w:numId w:val="2"/>
              </w:numPr>
              <w:spacing w:after="0" w:line="360" w:lineRule="auto"/>
              <w:ind w:left="175" w:hanging="142"/>
              <w:jc w:val="left"/>
              <w:rPr>
                <w:rFonts w:ascii="Times New Roman" w:hAnsi="Times New Roman" w:cs="Times New Roman"/>
                <w:sz w:val="24"/>
                <w:szCs w:val="24"/>
              </w:rPr>
            </w:pPr>
            <w:r>
              <w:rPr>
                <w:rFonts w:ascii="Times New Roman" w:hAnsi="Times New Roman" w:cs="Times New Roman"/>
                <w:sz w:val="24"/>
                <w:szCs w:val="24"/>
              </w:rPr>
              <w:t>Broad-Based Black Economic Empowerment Commission</w:t>
            </w:r>
          </w:p>
          <w:p w14:paraId="554A781F" w14:textId="77777777" w:rsidR="00964B85" w:rsidRPr="00586CCF" w:rsidRDefault="00964B85" w:rsidP="009D5D24">
            <w:pPr>
              <w:pStyle w:val="BodyText3"/>
              <w:numPr>
                <w:ilvl w:val="0"/>
                <w:numId w:val="2"/>
              </w:numPr>
              <w:spacing w:after="0" w:line="360" w:lineRule="auto"/>
              <w:ind w:left="175" w:hanging="142"/>
              <w:jc w:val="left"/>
              <w:rPr>
                <w:rFonts w:ascii="Times New Roman" w:hAnsi="Times New Roman" w:cs="Times New Roman"/>
                <w:sz w:val="24"/>
                <w:szCs w:val="24"/>
              </w:rPr>
            </w:pPr>
            <w:r w:rsidRPr="00586CCF">
              <w:rPr>
                <w:rFonts w:ascii="Times New Roman" w:hAnsi="Times New Roman" w:cs="Times New Roman"/>
                <w:sz w:val="24"/>
                <w:szCs w:val="24"/>
              </w:rPr>
              <w:t>Company and Intellectual Property Commission (CIPC)</w:t>
            </w:r>
          </w:p>
          <w:p w14:paraId="24EF2497" w14:textId="77777777" w:rsidR="00964B85" w:rsidRPr="00586CCF" w:rsidRDefault="00964B85" w:rsidP="009D5D24">
            <w:pPr>
              <w:pStyle w:val="ListParagraph"/>
              <w:numPr>
                <w:ilvl w:val="0"/>
                <w:numId w:val="2"/>
              </w:numPr>
              <w:spacing w:line="360" w:lineRule="auto"/>
              <w:ind w:left="17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Companies Tribunal (CT)</w:t>
            </w:r>
          </w:p>
          <w:p w14:paraId="055B7AD8" w14:textId="77777777" w:rsidR="00964B85" w:rsidRPr="00586CCF" w:rsidRDefault="00964B85" w:rsidP="009D5D24">
            <w:pPr>
              <w:pStyle w:val="ListParagraph"/>
              <w:numPr>
                <w:ilvl w:val="0"/>
                <w:numId w:val="2"/>
              </w:numPr>
              <w:spacing w:line="360" w:lineRule="auto"/>
              <w:ind w:left="17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National Consumer Commission (NCC)</w:t>
            </w:r>
          </w:p>
          <w:p w14:paraId="2184569C" w14:textId="77777777" w:rsidR="00964B85" w:rsidRPr="00586CCF" w:rsidRDefault="00964B85" w:rsidP="009D5D24">
            <w:pPr>
              <w:pStyle w:val="ListParagraph"/>
              <w:numPr>
                <w:ilvl w:val="0"/>
                <w:numId w:val="2"/>
              </w:numPr>
              <w:spacing w:line="360" w:lineRule="auto"/>
              <w:ind w:left="17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 xml:space="preserve">National Credit Regulator (NCR)  </w:t>
            </w:r>
          </w:p>
          <w:p w14:paraId="6CFB639A" w14:textId="77777777" w:rsidR="00964B85" w:rsidRPr="00586CCF" w:rsidRDefault="00964B85" w:rsidP="009D5D24">
            <w:pPr>
              <w:pStyle w:val="ListParagraph"/>
              <w:numPr>
                <w:ilvl w:val="0"/>
                <w:numId w:val="2"/>
              </w:numPr>
              <w:spacing w:line="360" w:lineRule="auto"/>
              <w:ind w:left="17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 xml:space="preserve">National Consumer Tribunal (NCT) </w:t>
            </w:r>
          </w:p>
          <w:p w14:paraId="03290F59" w14:textId="77777777" w:rsidR="00964B85" w:rsidRPr="00586CCF" w:rsidRDefault="00964B85" w:rsidP="009D5D24">
            <w:pPr>
              <w:pStyle w:val="ListParagraph"/>
              <w:numPr>
                <w:ilvl w:val="0"/>
                <w:numId w:val="2"/>
              </w:numPr>
              <w:spacing w:line="360" w:lineRule="auto"/>
              <w:ind w:left="17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 xml:space="preserve"> National Gambling Board of South Africa (NGB) </w:t>
            </w:r>
          </w:p>
          <w:p w14:paraId="593E7B4F" w14:textId="77777777" w:rsidR="00964B85" w:rsidRPr="00586CCF" w:rsidRDefault="00964B85" w:rsidP="009D5D24">
            <w:pPr>
              <w:pStyle w:val="ListParagraph"/>
              <w:numPr>
                <w:ilvl w:val="0"/>
                <w:numId w:val="2"/>
              </w:numPr>
              <w:spacing w:line="360" w:lineRule="auto"/>
              <w:ind w:left="17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National Lotteries Commission (NLC)</w:t>
            </w:r>
          </w:p>
        </w:tc>
        <w:tc>
          <w:tcPr>
            <w:tcW w:w="284" w:type="dxa"/>
            <w:tcBorders>
              <w:top w:val="nil"/>
              <w:left w:val="nil"/>
              <w:bottom w:val="nil"/>
              <w:right w:val="nil"/>
            </w:tcBorders>
            <w:shd w:val="clear" w:color="000000" w:fill="FFFFFF"/>
            <w:noWrap/>
            <w:vAlign w:val="center"/>
            <w:hideMark/>
          </w:tcPr>
          <w:p w14:paraId="4D0D6576" w14:textId="77777777" w:rsidR="00964B85" w:rsidRPr="00586CCF" w:rsidRDefault="00964B85" w:rsidP="00586CCF">
            <w:pPr>
              <w:spacing w:line="360" w:lineRule="auto"/>
              <w:rPr>
                <w:rFonts w:ascii="Times New Roman" w:hAnsi="Times New Roman" w:cs="Times New Roman"/>
                <w:sz w:val="24"/>
                <w:szCs w:val="24"/>
                <w:lang w:eastAsia="en-ZA"/>
              </w:rPr>
            </w:pPr>
            <w:r w:rsidRPr="00586CCF">
              <w:rPr>
                <w:rFonts w:ascii="Times New Roman" w:hAnsi="Times New Roman" w:cs="Times New Roman"/>
                <w:sz w:val="24"/>
                <w:szCs w:val="24"/>
                <w:lang w:eastAsia="en-ZA"/>
              </w:rPr>
              <w:t> </w:t>
            </w:r>
          </w:p>
        </w:tc>
        <w:tc>
          <w:tcPr>
            <w:tcW w:w="2410" w:type="dxa"/>
            <w:tcBorders>
              <w:top w:val="nil"/>
              <w:left w:val="single" w:sz="4" w:space="0" w:color="auto"/>
              <w:bottom w:val="single" w:sz="4" w:space="0" w:color="auto"/>
              <w:right w:val="single" w:sz="4" w:space="0" w:color="auto"/>
            </w:tcBorders>
            <w:shd w:val="clear" w:color="auto" w:fill="auto"/>
            <w:hideMark/>
          </w:tcPr>
          <w:p w14:paraId="15FA2F98" w14:textId="77777777" w:rsidR="00964B85" w:rsidRPr="00586CCF" w:rsidRDefault="00964B85" w:rsidP="009D5D24">
            <w:pPr>
              <w:pStyle w:val="ListParagraph"/>
              <w:numPr>
                <w:ilvl w:val="0"/>
                <w:numId w:val="2"/>
              </w:numPr>
              <w:spacing w:line="360" w:lineRule="auto"/>
              <w:ind w:left="17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National Metrology Institute of South Africa (NMISA)</w:t>
            </w:r>
          </w:p>
          <w:p w14:paraId="3A0097E3" w14:textId="77777777" w:rsidR="00964B85" w:rsidRPr="00586CCF" w:rsidRDefault="00964B85" w:rsidP="009D5D24">
            <w:pPr>
              <w:pStyle w:val="ListParagraph"/>
              <w:numPr>
                <w:ilvl w:val="0"/>
                <w:numId w:val="2"/>
              </w:numPr>
              <w:spacing w:line="360" w:lineRule="auto"/>
              <w:ind w:left="17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National Regulator for Compulsory Specifications (NRCS)</w:t>
            </w:r>
          </w:p>
          <w:p w14:paraId="43CFA5BF" w14:textId="77777777" w:rsidR="00964B85" w:rsidRPr="00586CCF" w:rsidRDefault="00964B85" w:rsidP="009D5D24">
            <w:pPr>
              <w:pStyle w:val="ListParagraph"/>
              <w:numPr>
                <w:ilvl w:val="0"/>
                <w:numId w:val="2"/>
              </w:numPr>
              <w:spacing w:line="360" w:lineRule="auto"/>
              <w:ind w:left="17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 xml:space="preserve">South African Bureau of Standards (SABS) </w:t>
            </w:r>
          </w:p>
          <w:p w14:paraId="101678C4" w14:textId="77777777" w:rsidR="00964B85" w:rsidRPr="00586CCF" w:rsidRDefault="00964B85" w:rsidP="009D5D24">
            <w:pPr>
              <w:pStyle w:val="ListParagraph"/>
              <w:numPr>
                <w:ilvl w:val="0"/>
                <w:numId w:val="2"/>
              </w:numPr>
              <w:spacing w:line="360" w:lineRule="auto"/>
              <w:ind w:left="175" w:hanging="142"/>
              <w:contextualSpacing w:val="0"/>
              <w:jc w:val="left"/>
              <w:rPr>
                <w:rFonts w:ascii="Times New Roman" w:hAnsi="Times New Roman" w:cs="Times New Roman"/>
                <w:sz w:val="24"/>
                <w:szCs w:val="24"/>
                <w:lang w:eastAsia="en-ZA"/>
              </w:rPr>
            </w:pPr>
            <w:r w:rsidRPr="00586CCF">
              <w:rPr>
                <w:rFonts w:ascii="Times New Roman" w:hAnsi="Times New Roman" w:cs="Times New Roman"/>
                <w:sz w:val="24"/>
                <w:szCs w:val="24"/>
                <w:lang w:eastAsia="en-ZA"/>
              </w:rPr>
              <w:t>South African National Accreditation System (SANAS)</w:t>
            </w:r>
          </w:p>
        </w:tc>
      </w:tr>
    </w:tbl>
    <w:p w14:paraId="787D0533" w14:textId="77777777" w:rsidR="00964B85" w:rsidRDefault="00964B85" w:rsidP="00586CCF">
      <w:pPr>
        <w:pStyle w:val="Heading11"/>
        <w:numPr>
          <w:ilvl w:val="0"/>
          <w:numId w:val="0"/>
        </w:numPr>
        <w:spacing w:line="360" w:lineRule="auto"/>
        <w:ind w:left="360" w:hanging="360"/>
        <w:rPr>
          <w:rFonts w:ascii="Times New Roman" w:hAnsi="Times New Roman" w:cs="Times New Roman"/>
          <w:sz w:val="24"/>
          <w:lang w:val="en-ZA"/>
        </w:rPr>
      </w:pPr>
    </w:p>
    <w:p w14:paraId="6F3D6611" w14:textId="77777777" w:rsidR="0055458E" w:rsidRPr="00586CCF" w:rsidRDefault="0055458E" w:rsidP="00586CCF">
      <w:pPr>
        <w:pStyle w:val="Heading11"/>
        <w:numPr>
          <w:ilvl w:val="0"/>
          <w:numId w:val="0"/>
        </w:numPr>
        <w:spacing w:line="360" w:lineRule="auto"/>
        <w:ind w:left="360" w:hanging="360"/>
        <w:rPr>
          <w:rFonts w:ascii="Times New Roman" w:hAnsi="Times New Roman" w:cs="Times New Roman"/>
          <w:sz w:val="24"/>
          <w:lang w:val="en-ZA"/>
        </w:rPr>
      </w:pPr>
    </w:p>
    <w:p w14:paraId="218193C9" w14:textId="77777777" w:rsidR="00AC0279" w:rsidRPr="00586CCF" w:rsidRDefault="008317FC" w:rsidP="00586CCF">
      <w:pPr>
        <w:pStyle w:val="Heading11"/>
        <w:spacing w:line="360" w:lineRule="auto"/>
        <w:rPr>
          <w:rFonts w:ascii="Times New Roman" w:hAnsi="Times New Roman" w:cs="Times New Roman"/>
          <w:sz w:val="24"/>
          <w:lang w:val="en-ZA"/>
        </w:rPr>
      </w:pPr>
      <w:bookmarkStart w:id="7" w:name="_Toc370119573"/>
      <w:r w:rsidRPr="00586CCF">
        <w:rPr>
          <w:rFonts w:ascii="Times New Roman" w:hAnsi="Times New Roman" w:cs="Times New Roman"/>
          <w:caps w:val="0"/>
          <w:sz w:val="24"/>
          <w:lang w:val="en-ZA"/>
        </w:rPr>
        <w:t xml:space="preserve">SUMMARY OF PREVIOUS KEY FINANCIAL AND PERFORMANCE RECOMMENDATIONS OF </w:t>
      </w:r>
      <w:r>
        <w:rPr>
          <w:rFonts w:ascii="Times New Roman" w:hAnsi="Times New Roman" w:cs="Times New Roman"/>
          <w:caps w:val="0"/>
          <w:sz w:val="24"/>
          <w:lang w:val="en-ZA"/>
        </w:rPr>
        <w:t xml:space="preserve">THE </w:t>
      </w:r>
      <w:r w:rsidRPr="00586CCF">
        <w:rPr>
          <w:rFonts w:ascii="Times New Roman" w:hAnsi="Times New Roman" w:cs="Times New Roman"/>
          <w:caps w:val="0"/>
          <w:sz w:val="24"/>
          <w:lang w:val="en-ZA"/>
        </w:rPr>
        <w:t>COMMITTEE</w:t>
      </w:r>
      <w:bookmarkEnd w:id="7"/>
      <w:r w:rsidRPr="00586CCF">
        <w:rPr>
          <w:rFonts w:ascii="Times New Roman" w:hAnsi="Times New Roman" w:cs="Times New Roman"/>
          <w:caps w:val="0"/>
          <w:sz w:val="24"/>
          <w:lang w:val="en-ZA"/>
        </w:rPr>
        <w:t xml:space="preserve"> </w:t>
      </w:r>
    </w:p>
    <w:p w14:paraId="030F585F" w14:textId="77777777" w:rsidR="00AC0279" w:rsidRPr="00586CCF" w:rsidRDefault="00AC0279" w:rsidP="00586CCF">
      <w:pPr>
        <w:spacing w:line="360" w:lineRule="auto"/>
        <w:ind w:left="360"/>
        <w:rPr>
          <w:rFonts w:ascii="Times New Roman" w:hAnsi="Times New Roman" w:cs="Times New Roman"/>
          <w:b/>
          <w:sz w:val="24"/>
          <w:szCs w:val="24"/>
        </w:rPr>
      </w:pPr>
    </w:p>
    <w:p w14:paraId="7EBDD986" w14:textId="77777777" w:rsidR="00AC0279" w:rsidRPr="00586CCF" w:rsidRDefault="008F45B7" w:rsidP="00EF0C57">
      <w:pPr>
        <w:pStyle w:val="Heading22"/>
      </w:pPr>
      <w:bookmarkStart w:id="8" w:name="_Toc370119574"/>
      <w:r w:rsidRPr="00586CCF">
        <w:t>2016</w:t>
      </w:r>
      <w:r w:rsidR="00F11EF3" w:rsidRPr="00586CCF">
        <w:t>/1</w:t>
      </w:r>
      <w:r w:rsidRPr="00586CCF">
        <w:t>7</w:t>
      </w:r>
      <w:r w:rsidR="00AC0279" w:rsidRPr="00586CCF">
        <w:t xml:space="preserve"> BRRR recommendations</w:t>
      </w:r>
      <w:r w:rsidR="006E2730" w:rsidRPr="00586CCF">
        <w:rPr>
          <w:rStyle w:val="FootnoteReference"/>
          <w:rFonts w:ascii="Times New Roman" w:hAnsi="Times New Roman"/>
          <w:sz w:val="24"/>
        </w:rPr>
        <w:footnoteReference w:id="2"/>
      </w:r>
      <w:bookmarkEnd w:id="8"/>
    </w:p>
    <w:p w14:paraId="544EDF8B" w14:textId="77777777" w:rsidR="00586CCF" w:rsidRPr="00586CCF" w:rsidRDefault="00586CCF" w:rsidP="00586CCF">
      <w:pPr>
        <w:spacing w:line="360" w:lineRule="auto"/>
        <w:rPr>
          <w:rFonts w:ascii="Times New Roman" w:hAnsi="Times New Roman" w:cs="Times New Roman"/>
          <w:sz w:val="24"/>
          <w:szCs w:val="24"/>
        </w:rPr>
      </w:pPr>
    </w:p>
    <w:p w14:paraId="70E2BD9F" w14:textId="77777777" w:rsidR="00E176D3" w:rsidRPr="00586CCF" w:rsidRDefault="00084049"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The Committee recommended that the Minister should consider:</w:t>
      </w:r>
    </w:p>
    <w:p w14:paraId="45916CB4" w14:textId="77777777" w:rsidR="00084049" w:rsidRPr="00586CCF" w:rsidRDefault="00084049" w:rsidP="00586CCF">
      <w:pPr>
        <w:spacing w:line="360" w:lineRule="auto"/>
        <w:ind w:left="720"/>
        <w:rPr>
          <w:rFonts w:ascii="Times New Roman" w:hAnsi="Times New Roman" w:cs="Times New Roman"/>
          <w:sz w:val="24"/>
          <w:szCs w:val="24"/>
        </w:rPr>
      </w:pPr>
    </w:p>
    <w:p w14:paraId="77041D9D" w14:textId="77777777" w:rsidR="008B1D51" w:rsidRDefault="00084049" w:rsidP="008B1D51">
      <w:pPr>
        <w:pStyle w:val="Listparagraph3"/>
        <w:numPr>
          <w:ilvl w:val="2"/>
          <w:numId w:val="34"/>
        </w:numPr>
      </w:pPr>
      <w:r w:rsidRPr="000665EA">
        <w:t>R</w:t>
      </w:r>
      <w:r w:rsidR="008F45B7" w:rsidRPr="000665EA">
        <w:t>eviewing the effectiveness of the Department and its entities</w:t>
      </w:r>
      <w:r w:rsidR="00E40660" w:rsidRPr="000665EA">
        <w:t>’</w:t>
      </w:r>
      <w:r w:rsidR="008F45B7" w:rsidRPr="000665EA">
        <w:t xml:space="preserve"> plans and programmes to ensure the acceleration of industrialisation and job creation.</w:t>
      </w:r>
    </w:p>
    <w:p w14:paraId="73F10346" w14:textId="77777777" w:rsidR="008F45B7" w:rsidRPr="00586CCF" w:rsidRDefault="00084049" w:rsidP="008B1D51">
      <w:pPr>
        <w:pStyle w:val="Listparagraph3"/>
        <w:numPr>
          <w:ilvl w:val="2"/>
          <w:numId w:val="34"/>
        </w:numPr>
      </w:pPr>
      <w:r w:rsidRPr="00586CCF">
        <w:t>A</w:t>
      </w:r>
      <w:r w:rsidR="008F45B7" w:rsidRPr="00586CCF">
        <w:t>dditional funding for the NCC in the outer of years of the Medium Term Expenditure Framework to address its capacity constraints.</w:t>
      </w:r>
    </w:p>
    <w:p w14:paraId="00177C5C" w14:textId="77777777" w:rsidR="00496461" w:rsidRPr="00586CCF" w:rsidRDefault="00496461" w:rsidP="00586CCF">
      <w:pPr>
        <w:spacing w:line="360" w:lineRule="auto"/>
        <w:rPr>
          <w:rFonts w:ascii="Times New Roman" w:hAnsi="Times New Roman" w:cs="Times New Roman"/>
          <w:color w:val="000000"/>
          <w:sz w:val="24"/>
          <w:szCs w:val="24"/>
        </w:rPr>
      </w:pPr>
    </w:p>
    <w:p w14:paraId="200A8681" w14:textId="77777777" w:rsidR="00AC0279" w:rsidRPr="00586CCF" w:rsidRDefault="00E80D3C" w:rsidP="00EF0C57">
      <w:pPr>
        <w:pStyle w:val="Heading22"/>
      </w:pPr>
      <w:bookmarkStart w:id="9" w:name="_Toc370119575"/>
      <w:r w:rsidRPr="00586CCF">
        <w:t>201</w:t>
      </w:r>
      <w:r w:rsidR="008F45B7" w:rsidRPr="00586CCF">
        <w:t>7</w:t>
      </w:r>
      <w:r w:rsidR="00AC0279" w:rsidRPr="00586CCF">
        <w:t>/1</w:t>
      </w:r>
      <w:r w:rsidR="008F45B7" w:rsidRPr="00586CCF">
        <w:t>8</w:t>
      </w:r>
      <w:r w:rsidR="00AC0279" w:rsidRPr="00586CCF">
        <w:t xml:space="preserve"> Committee Budget Report</w:t>
      </w:r>
      <w:r w:rsidR="006E2730" w:rsidRPr="00586CCF">
        <w:rPr>
          <w:rStyle w:val="FootnoteReference"/>
          <w:rFonts w:ascii="Times New Roman" w:hAnsi="Times New Roman"/>
          <w:sz w:val="24"/>
        </w:rPr>
        <w:footnoteReference w:id="3"/>
      </w:r>
      <w:bookmarkEnd w:id="9"/>
      <w:r w:rsidR="00AC0279" w:rsidRPr="00586CCF">
        <w:t xml:space="preserve"> </w:t>
      </w:r>
    </w:p>
    <w:p w14:paraId="4ED6B55E" w14:textId="77777777" w:rsidR="00586CCF" w:rsidRPr="00586CCF" w:rsidRDefault="00586CCF" w:rsidP="00586CCF">
      <w:pPr>
        <w:pStyle w:val="Heading33"/>
        <w:numPr>
          <w:ilvl w:val="0"/>
          <w:numId w:val="0"/>
        </w:numPr>
        <w:ind w:left="720"/>
        <w:rPr>
          <w:rFonts w:ascii="Times New Roman" w:hAnsi="Times New Roman" w:cs="Times New Roman"/>
          <w:b w:val="0"/>
          <w:sz w:val="24"/>
        </w:rPr>
      </w:pPr>
    </w:p>
    <w:p w14:paraId="1DF8A899" w14:textId="77777777" w:rsidR="00AC0279" w:rsidRPr="00586CCF" w:rsidRDefault="008F45B7" w:rsidP="00586CCF">
      <w:pPr>
        <w:pStyle w:val="Heading33"/>
        <w:numPr>
          <w:ilvl w:val="0"/>
          <w:numId w:val="0"/>
        </w:numPr>
        <w:rPr>
          <w:rFonts w:ascii="Times New Roman" w:hAnsi="Times New Roman" w:cs="Times New Roman"/>
          <w:b w:val="0"/>
          <w:sz w:val="24"/>
        </w:rPr>
      </w:pPr>
      <w:r w:rsidRPr="00586CCF">
        <w:rPr>
          <w:rFonts w:ascii="Times New Roman" w:hAnsi="Times New Roman" w:cs="Times New Roman"/>
          <w:b w:val="0"/>
          <w:sz w:val="24"/>
        </w:rPr>
        <w:t>The Committee recommended that the Minister should consider:</w:t>
      </w:r>
    </w:p>
    <w:p w14:paraId="6768BA10" w14:textId="77777777" w:rsidR="008F45B7" w:rsidRPr="00586CCF" w:rsidRDefault="008F45B7" w:rsidP="00586CCF">
      <w:pPr>
        <w:pStyle w:val="Heading33"/>
        <w:numPr>
          <w:ilvl w:val="0"/>
          <w:numId w:val="0"/>
        </w:numPr>
        <w:ind w:left="720"/>
        <w:rPr>
          <w:rFonts w:ascii="Times New Roman" w:hAnsi="Times New Roman" w:cs="Times New Roman"/>
          <w:b w:val="0"/>
          <w:sz w:val="24"/>
        </w:rPr>
      </w:pPr>
    </w:p>
    <w:p w14:paraId="37B6F8C4" w14:textId="77777777" w:rsidR="008B1D51" w:rsidRDefault="008F45B7" w:rsidP="008B1D51">
      <w:pPr>
        <w:pStyle w:val="Listparagraph3"/>
        <w:numPr>
          <w:ilvl w:val="2"/>
          <w:numId w:val="33"/>
        </w:numPr>
      </w:pPr>
      <w:r w:rsidRPr="00586CCF">
        <w:t>In conjunction with the relevant Minister(s), developing stronger enforcement measures that would ensure that local procurement policies as reflected in the Preferential Procurement Framework and the Broad-Based Black Economic Empowerment legislation are implemented by all government departments, provincial and local government spheres, as well as State-Owned Enterprises as these are instruments to facilitate economic development, localisation and employment creation.</w:t>
      </w:r>
    </w:p>
    <w:p w14:paraId="017241D6" w14:textId="77777777" w:rsidR="008B1D51" w:rsidRDefault="008F45B7" w:rsidP="008B1D51">
      <w:pPr>
        <w:pStyle w:val="Listparagraph3"/>
        <w:numPr>
          <w:ilvl w:val="2"/>
          <w:numId w:val="33"/>
        </w:numPr>
      </w:pPr>
      <w:r w:rsidRPr="00586CCF">
        <w:t>Engaging National Treasury to ensure that National Metrology Institute of South Africa receives the necessary funding for its recapitalisation programme due to its strategic importance to the economy, as well as the health and safety of South Africans.</w:t>
      </w:r>
    </w:p>
    <w:p w14:paraId="17545EED" w14:textId="77777777" w:rsidR="008B1D51" w:rsidRDefault="008F45B7" w:rsidP="008B1D51">
      <w:pPr>
        <w:pStyle w:val="Listparagraph3"/>
        <w:numPr>
          <w:ilvl w:val="2"/>
          <w:numId w:val="33"/>
        </w:numPr>
      </w:pPr>
      <w:r w:rsidRPr="00586CCF">
        <w:t xml:space="preserve">Engaging National Treasury to ensure that the Broad-Based Black Economic Empowerment Commission receives the appropriate funding to ensure that it is able to fulfil its mandate. </w:t>
      </w:r>
    </w:p>
    <w:p w14:paraId="1ACA55B6" w14:textId="77777777" w:rsidR="008F45B7" w:rsidRPr="00586CCF" w:rsidRDefault="008F45B7" w:rsidP="008B1D51">
      <w:pPr>
        <w:pStyle w:val="Listparagraph3"/>
        <w:numPr>
          <w:ilvl w:val="2"/>
          <w:numId w:val="33"/>
        </w:numPr>
      </w:pPr>
      <w:r w:rsidRPr="00586CCF">
        <w:t xml:space="preserve">In consultation with the Minister of Finance, securing additional funds to continue with the Manufacturing Competiveness Enhancement Programme over the Medium Term Expenditure Framework.  </w:t>
      </w:r>
    </w:p>
    <w:p w14:paraId="5F46DB27" w14:textId="77777777" w:rsidR="00084049" w:rsidRPr="00586CCF" w:rsidRDefault="00084049" w:rsidP="00586CCF">
      <w:pPr>
        <w:spacing w:line="360" w:lineRule="auto"/>
        <w:rPr>
          <w:rFonts w:ascii="Times New Roman" w:hAnsi="Times New Roman" w:cs="Times New Roman"/>
          <w:sz w:val="24"/>
          <w:szCs w:val="24"/>
        </w:rPr>
      </w:pPr>
    </w:p>
    <w:p w14:paraId="3C5259EC" w14:textId="77777777" w:rsidR="00864198" w:rsidRPr="00586CCF" w:rsidRDefault="00771448" w:rsidP="00586CCF">
      <w:pPr>
        <w:pStyle w:val="Heading11"/>
        <w:spacing w:line="360" w:lineRule="auto"/>
        <w:rPr>
          <w:rFonts w:ascii="Times New Roman" w:hAnsi="Times New Roman" w:cs="Times New Roman"/>
          <w:sz w:val="24"/>
          <w:lang w:val="en-ZA"/>
        </w:rPr>
      </w:pPr>
      <w:bookmarkStart w:id="10" w:name="_Toc370119576"/>
      <w:r w:rsidRPr="00586CCF">
        <w:rPr>
          <w:rFonts w:ascii="Times New Roman" w:hAnsi="Times New Roman" w:cs="Times New Roman"/>
          <w:caps w:val="0"/>
          <w:sz w:val="24"/>
          <w:lang w:val="en-ZA"/>
        </w:rPr>
        <w:t>OVERVIEW AND ASSESSMENT OF THE DEPARTMENT’S FINANCIAL AND NON-FINANCIAL PERFORMANCE</w:t>
      </w:r>
      <w:bookmarkEnd w:id="10"/>
      <w:r w:rsidRPr="00586CCF">
        <w:rPr>
          <w:rFonts w:ascii="Times New Roman" w:hAnsi="Times New Roman" w:cs="Times New Roman"/>
          <w:caps w:val="0"/>
          <w:sz w:val="24"/>
          <w:lang w:val="en-ZA"/>
        </w:rPr>
        <w:t xml:space="preserve"> </w:t>
      </w:r>
      <w:r>
        <w:rPr>
          <w:rFonts w:ascii="Times New Roman" w:hAnsi="Times New Roman" w:cs="Times New Roman"/>
          <w:caps w:val="0"/>
          <w:sz w:val="24"/>
          <w:lang w:val="en-ZA"/>
        </w:rPr>
        <w:t xml:space="preserve">FOR THE PERIOD 1 APRIL </w:t>
      </w:r>
      <w:r w:rsidRPr="00586CCF">
        <w:rPr>
          <w:rFonts w:ascii="Times New Roman" w:hAnsi="Times New Roman" w:cs="Times New Roman"/>
          <w:caps w:val="0"/>
          <w:sz w:val="24"/>
          <w:lang w:val="en-ZA"/>
        </w:rPr>
        <w:t>201</w:t>
      </w:r>
      <w:r>
        <w:rPr>
          <w:rFonts w:ascii="Times New Roman" w:hAnsi="Times New Roman" w:cs="Times New Roman"/>
          <w:caps w:val="0"/>
          <w:sz w:val="24"/>
          <w:lang w:val="en-ZA"/>
        </w:rPr>
        <w:t>6 TO 30 JUNE 2017</w:t>
      </w:r>
    </w:p>
    <w:p w14:paraId="3E50805C" w14:textId="77777777" w:rsidR="00A41195" w:rsidRDefault="00A41195" w:rsidP="00586CCF">
      <w:pPr>
        <w:spacing w:line="360" w:lineRule="auto"/>
        <w:rPr>
          <w:rFonts w:ascii="Times New Roman" w:hAnsi="Times New Roman" w:cs="Times New Roman"/>
          <w:noProof/>
          <w:sz w:val="24"/>
          <w:szCs w:val="24"/>
        </w:rPr>
      </w:pPr>
    </w:p>
    <w:p w14:paraId="31592A28" w14:textId="77777777" w:rsidR="008317FC" w:rsidRPr="006D18C5" w:rsidRDefault="008317FC" w:rsidP="0055458E">
      <w:pPr>
        <w:pStyle w:val="Heading22"/>
        <w:jc w:val="left"/>
      </w:pPr>
      <w:r w:rsidRPr="006D18C5">
        <w:t>Overview and Assessment of the Department</w:t>
      </w:r>
      <w:r w:rsidR="0055458E">
        <w:t>’s</w:t>
      </w:r>
      <w:r w:rsidRPr="006D18C5">
        <w:t xml:space="preserve"> Financial and Non-financial Performance for the 2016/17 Financial Year</w:t>
      </w:r>
      <w:r w:rsidR="0055458E">
        <w:rPr>
          <w:rStyle w:val="FootnoteReference"/>
        </w:rPr>
        <w:footnoteReference w:id="4"/>
      </w:r>
    </w:p>
    <w:p w14:paraId="44B3071D" w14:textId="77777777" w:rsidR="008317FC" w:rsidRPr="00586CCF" w:rsidRDefault="008317FC" w:rsidP="00586CCF">
      <w:pPr>
        <w:spacing w:line="360" w:lineRule="auto"/>
        <w:rPr>
          <w:rFonts w:ascii="Times New Roman" w:hAnsi="Times New Roman" w:cs="Times New Roman"/>
          <w:noProof/>
          <w:sz w:val="24"/>
          <w:szCs w:val="24"/>
        </w:rPr>
      </w:pPr>
    </w:p>
    <w:p w14:paraId="2324C16C" w14:textId="77777777" w:rsidR="00A41195" w:rsidRDefault="00A41195" w:rsidP="00E532B5">
      <w:pPr>
        <w:pStyle w:val="BodyText2"/>
        <w:spacing w:after="0" w:line="360" w:lineRule="auto"/>
        <w:rPr>
          <w:rFonts w:ascii="Times New Roman" w:hAnsi="Times New Roman" w:cs="Times New Roman"/>
          <w:sz w:val="24"/>
          <w:szCs w:val="24"/>
        </w:rPr>
      </w:pPr>
      <w:r w:rsidRPr="00586CCF">
        <w:rPr>
          <w:rFonts w:ascii="Times New Roman" w:hAnsi="Times New Roman" w:cs="Times New Roman"/>
          <w:sz w:val="24"/>
          <w:szCs w:val="24"/>
        </w:rPr>
        <w:t>Th</w:t>
      </w:r>
      <w:r w:rsidR="00E532B5">
        <w:rPr>
          <w:rFonts w:ascii="Times New Roman" w:hAnsi="Times New Roman" w:cs="Times New Roman"/>
          <w:sz w:val="24"/>
          <w:szCs w:val="24"/>
        </w:rPr>
        <w:t xml:space="preserve">is section provides a </w:t>
      </w:r>
      <w:r w:rsidRPr="00586CCF">
        <w:rPr>
          <w:rFonts w:ascii="Times New Roman" w:hAnsi="Times New Roman" w:cs="Times New Roman"/>
          <w:sz w:val="24"/>
          <w:szCs w:val="24"/>
        </w:rPr>
        <w:t>compari</w:t>
      </w:r>
      <w:r w:rsidR="00E532B5">
        <w:rPr>
          <w:rFonts w:ascii="Times New Roman" w:hAnsi="Times New Roman" w:cs="Times New Roman"/>
          <w:sz w:val="24"/>
          <w:szCs w:val="24"/>
        </w:rPr>
        <w:t>son between</w:t>
      </w:r>
      <w:r w:rsidRPr="00586CCF">
        <w:rPr>
          <w:rFonts w:ascii="Times New Roman" w:hAnsi="Times New Roman" w:cs="Times New Roman"/>
          <w:sz w:val="24"/>
          <w:szCs w:val="24"/>
        </w:rPr>
        <w:t xml:space="preserve"> what the D</w:t>
      </w:r>
      <w:r w:rsidR="00E532B5">
        <w:rPr>
          <w:rFonts w:ascii="Times New Roman" w:hAnsi="Times New Roman" w:cs="Times New Roman"/>
          <w:sz w:val="24"/>
          <w:szCs w:val="24"/>
        </w:rPr>
        <w:t>TI</w:t>
      </w:r>
      <w:r w:rsidRPr="00586CCF">
        <w:rPr>
          <w:rFonts w:ascii="Times New Roman" w:hAnsi="Times New Roman" w:cs="Times New Roman"/>
          <w:sz w:val="24"/>
          <w:szCs w:val="24"/>
        </w:rPr>
        <w:t xml:space="preserve"> </w:t>
      </w:r>
      <w:r w:rsidR="009E4457">
        <w:rPr>
          <w:rFonts w:ascii="Times New Roman" w:hAnsi="Times New Roman" w:cs="Times New Roman"/>
          <w:sz w:val="24"/>
          <w:szCs w:val="24"/>
        </w:rPr>
        <w:t>targeted</w:t>
      </w:r>
      <w:r w:rsidRPr="00586CCF">
        <w:rPr>
          <w:rFonts w:ascii="Times New Roman" w:hAnsi="Times New Roman" w:cs="Times New Roman"/>
          <w:sz w:val="24"/>
          <w:szCs w:val="24"/>
        </w:rPr>
        <w:t xml:space="preserve"> </w:t>
      </w:r>
      <w:r w:rsidR="009E4457">
        <w:rPr>
          <w:rFonts w:ascii="Times New Roman" w:hAnsi="Times New Roman" w:cs="Times New Roman"/>
          <w:sz w:val="24"/>
          <w:szCs w:val="24"/>
        </w:rPr>
        <w:t xml:space="preserve">in </w:t>
      </w:r>
      <w:r w:rsidR="00E532B5">
        <w:rPr>
          <w:rFonts w:ascii="Times New Roman" w:hAnsi="Times New Roman" w:cs="Times New Roman"/>
          <w:sz w:val="24"/>
          <w:szCs w:val="24"/>
        </w:rPr>
        <w:t>its</w:t>
      </w:r>
      <w:r w:rsidR="00E532B5" w:rsidRPr="00586CCF">
        <w:rPr>
          <w:rFonts w:ascii="Times New Roman" w:hAnsi="Times New Roman" w:cs="Times New Roman"/>
          <w:sz w:val="24"/>
          <w:szCs w:val="24"/>
        </w:rPr>
        <w:t xml:space="preserve"> </w:t>
      </w:r>
      <w:r w:rsidRPr="00586CCF">
        <w:rPr>
          <w:rFonts w:ascii="Times New Roman" w:hAnsi="Times New Roman" w:cs="Times New Roman"/>
          <w:sz w:val="24"/>
          <w:szCs w:val="24"/>
        </w:rPr>
        <w:t>Annual Performance Plan</w:t>
      </w:r>
      <w:r w:rsidR="00E532B5">
        <w:rPr>
          <w:rFonts w:ascii="Times New Roman" w:hAnsi="Times New Roman" w:cs="Times New Roman"/>
          <w:sz w:val="24"/>
          <w:szCs w:val="24"/>
        </w:rPr>
        <w:t xml:space="preserve"> (APP) against</w:t>
      </w:r>
      <w:r w:rsidRPr="00586CCF">
        <w:rPr>
          <w:rFonts w:ascii="Times New Roman" w:hAnsi="Times New Roman" w:cs="Times New Roman"/>
          <w:sz w:val="24"/>
          <w:szCs w:val="24"/>
        </w:rPr>
        <w:t xml:space="preserve"> the Annual Report</w:t>
      </w:r>
      <w:r w:rsidR="00E532B5" w:rsidRPr="00E532B5">
        <w:rPr>
          <w:rFonts w:ascii="Times New Roman" w:hAnsi="Times New Roman" w:cs="Times New Roman"/>
          <w:sz w:val="24"/>
          <w:szCs w:val="24"/>
        </w:rPr>
        <w:t xml:space="preserve"> </w:t>
      </w:r>
      <w:r w:rsidR="00E532B5" w:rsidRPr="00586CCF">
        <w:rPr>
          <w:rFonts w:ascii="Times New Roman" w:hAnsi="Times New Roman" w:cs="Times New Roman"/>
          <w:sz w:val="24"/>
          <w:szCs w:val="24"/>
        </w:rPr>
        <w:t>for the 2016/17 financial</w:t>
      </w:r>
      <w:r w:rsidR="00E532B5">
        <w:rPr>
          <w:rFonts w:ascii="Times New Roman" w:hAnsi="Times New Roman" w:cs="Times New Roman"/>
          <w:sz w:val="24"/>
          <w:szCs w:val="24"/>
        </w:rPr>
        <w:t xml:space="preserve"> year</w:t>
      </w:r>
      <w:r w:rsidRPr="00586CCF">
        <w:rPr>
          <w:rFonts w:ascii="Times New Roman" w:hAnsi="Times New Roman" w:cs="Times New Roman"/>
          <w:sz w:val="24"/>
          <w:szCs w:val="24"/>
        </w:rPr>
        <w:t xml:space="preserve">. Furthermore, </w:t>
      </w:r>
      <w:r w:rsidR="00E532B5">
        <w:rPr>
          <w:rFonts w:ascii="Times New Roman" w:hAnsi="Times New Roman" w:cs="Times New Roman"/>
          <w:sz w:val="24"/>
          <w:szCs w:val="24"/>
        </w:rPr>
        <w:t>it</w:t>
      </w:r>
      <w:r w:rsidRPr="00586CCF">
        <w:rPr>
          <w:rFonts w:ascii="Times New Roman" w:hAnsi="Times New Roman" w:cs="Times New Roman"/>
          <w:sz w:val="24"/>
          <w:szCs w:val="24"/>
        </w:rPr>
        <w:t xml:space="preserve"> outlines other areas of performance, mainly internal administrative areas that the </w:t>
      </w:r>
      <w:r w:rsidR="00E532B5" w:rsidRPr="00586CCF">
        <w:rPr>
          <w:rFonts w:ascii="Times New Roman" w:hAnsi="Times New Roman" w:cs="Times New Roman"/>
          <w:sz w:val="24"/>
          <w:szCs w:val="24"/>
        </w:rPr>
        <w:t>D</w:t>
      </w:r>
      <w:r w:rsidR="00E532B5">
        <w:rPr>
          <w:rFonts w:ascii="Times New Roman" w:hAnsi="Times New Roman" w:cs="Times New Roman"/>
          <w:sz w:val="24"/>
          <w:szCs w:val="24"/>
        </w:rPr>
        <w:t>TI</w:t>
      </w:r>
      <w:r w:rsidR="00E532B5" w:rsidRPr="00586CCF">
        <w:rPr>
          <w:rFonts w:ascii="Times New Roman" w:hAnsi="Times New Roman" w:cs="Times New Roman"/>
          <w:sz w:val="24"/>
          <w:szCs w:val="24"/>
        </w:rPr>
        <w:t xml:space="preserve"> </w:t>
      </w:r>
      <w:r w:rsidRPr="00586CCF">
        <w:rPr>
          <w:rFonts w:ascii="Times New Roman" w:hAnsi="Times New Roman" w:cs="Times New Roman"/>
          <w:sz w:val="24"/>
          <w:szCs w:val="24"/>
        </w:rPr>
        <w:t xml:space="preserve">is required to report on. </w:t>
      </w:r>
      <w:r w:rsidR="00E532B5">
        <w:rPr>
          <w:rFonts w:ascii="Times New Roman" w:hAnsi="Times New Roman" w:cs="Times New Roman"/>
          <w:sz w:val="24"/>
          <w:szCs w:val="24"/>
        </w:rPr>
        <w:t xml:space="preserve">It then </w:t>
      </w:r>
      <w:r w:rsidRPr="00586CCF">
        <w:rPr>
          <w:rFonts w:ascii="Times New Roman" w:hAnsi="Times New Roman" w:cs="Times New Roman"/>
          <w:sz w:val="24"/>
          <w:szCs w:val="24"/>
        </w:rPr>
        <w:t xml:space="preserve">provides an overview of the Auditor General’s audit outcomes. </w:t>
      </w:r>
      <w:r w:rsidR="00E532B5" w:rsidRPr="00586CCF">
        <w:rPr>
          <w:rFonts w:ascii="Times New Roman" w:hAnsi="Times New Roman" w:cs="Times New Roman"/>
          <w:sz w:val="24"/>
          <w:szCs w:val="24"/>
        </w:rPr>
        <w:t>Lastly,</w:t>
      </w:r>
      <w:r w:rsidR="00E532B5">
        <w:rPr>
          <w:rFonts w:ascii="Times New Roman" w:hAnsi="Times New Roman" w:cs="Times New Roman"/>
          <w:sz w:val="24"/>
          <w:szCs w:val="24"/>
        </w:rPr>
        <w:t xml:space="preserve"> it highlights the key issues raised during the Committee’s deliberations.</w:t>
      </w:r>
    </w:p>
    <w:p w14:paraId="541D1690" w14:textId="77777777" w:rsidR="00586CCF" w:rsidRPr="00586CCF" w:rsidRDefault="00586CCF" w:rsidP="00586CCF">
      <w:pPr>
        <w:pStyle w:val="BodyText2"/>
        <w:spacing w:after="0" w:line="360" w:lineRule="auto"/>
        <w:rPr>
          <w:rFonts w:ascii="Times New Roman" w:hAnsi="Times New Roman" w:cs="Times New Roman"/>
          <w:sz w:val="24"/>
          <w:szCs w:val="24"/>
        </w:rPr>
      </w:pPr>
    </w:p>
    <w:p w14:paraId="7AF77357" w14:textId="77777777" w:rsidR="00A41195" w:rsidRPr="00586CCF" w:rsidRDefault="00A41195" w:rsidP="009D5D24">
      <w:pPr>
        <w:pStyle w:val="Heading1"/>
        <w:numPr>
          <w:ilvl w:val="2"/>
          <w:numId w:val="22"/>
        </w:numPr>
        <w:spacing w:before="0" w:line="360" w:lineRule="auto"/>
        <w:rPr>
          <w:rFonts w:ascii="Times New Roman" w:hAnsi="Times New Roman" w:cs="Times New Roman"/>
          <w:color w:val="auto"/>
          <w:sz w:val="24"/>
          <w:szCs w:val="24"/>
        </w:rPr>
      </w:pPr>
      <w:r w:rsidRPr="00586CCF">
        <w:rPr>
          <w:rFonts w:ascii="Times New Roman" w:hAnsi="Times New Roman" w:cs="Times New Roman"/>
          <w:color w:val="auto"/>
          <w:sz w:val="24"/>
          <w:szCs w:val="24"/>
        </w:rPr>
        <w:t xml:space="preserve">Non-Financial Performance </w:t>
      </w:r>
    </w:p>
    <w:p w14:paraId="0210D96E" w14:textId="77777777" w:rsidR="00A41195" w:rsidRPr="00586CCF" w:rsidRDefault="00A41195" w:rsidP="00586CCF">
      <w:pPr>
        <w:spacing w:line="360" w:lineRule="auto"/>
        <w:rPr>
          <w:rFonts w:ascii="Times New Roman" w:hAnsi="Times New Roman" w:cs="Times New Roman"/>
          <w:sz w:val="24"/>
          <w:szCs w:val="24"/>
        </w:rPr>
      </w:pPr>
    </w:p>
    <w:p w14:paraId="5B71F826" w14:textId="77777777" w:rsidR="00A41195" w:rsidRPr="00586CCF" w:rsidRDefault="00A41195"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For the </w:t>
      </w:r>
      <w:r w:rsidR="00E532B5" w:rsidRPr="00586CCF">
        <w:rPr>
          <w:rFonts w:ascii="Times New Roman" w:hAnsi="Times New Roman" w:cs="Times New Roman"/>
          <w:sz w:val="24"/>
          <w:szCs w:val="24"/>
        </w:rPr>
        <w:t>2016/17</w:t>
      </w:r>
      <w:r w:rsidR="00E532B5">
        <w:rPr>
          <w:rFonts w:ascii="Times New Roman" w:hAnsi="Times New Roman" w:cs="Times New Roman"/>
          <w:sz w:val="24"/>
          <w:szCs w:val="24"/>
        </w:rPr>
        <w:t xml:space="preserve"> </w:t>
      </w:r>
      <w:r w:rsidRPr="00586CCF">
        <w:rPr>
          <w:rFonts w:ascii="Times New Roman" w:hAnsi="Times New Roman" w:cs="Times New Roman"/>
          <w:sz w:val="24"/>
          <w:szCs w:val="24"/>
        </w:rPr>
        <w:t>financial year, the D</w:t>
      </w:r>
      <w:r w:rsidR="00E532B5">
        <w:rPr>
          <w:rFonts w:ascii="Times New Roman" w:hAnsi="Times New Roman" w:cs="Times New Roman"/>
          <w:sz w:val="24"/>
          <w:szCs w:val="24"/>
        </w:rPr>
        <w:t>TI</w:t>
      </w:r>
      <w:r w:rsidRPr="00586CCF">
        <w:rPr>
          <w:rFonts w:ascii="Times New Roman" w:hAnsi="Times New Roman" w:cs="Times New Roman"/>
          <w:sz w:val="24"/>
          <w:szCs w:val="24"/>
        </w:rPr>
        <w:t xml:space="preserve"> had 35 performance targets </w:t>
      </w:r>
      <w:r w:rsidR="00E532B5">
        <w:rPr>
          <w:rFonts w:ascii="Times New Roman" w:hAnsi="Times New Roman" w:cs="Times New Roman"/>
          <w:sz w:val="24"/>
          <w:szCs w:val="24"/>
        </w:rPr>
        <w:t xml:space="preserve">according to </w:t>
      </w:r>
      <w:r w:rsidRPr="00586CCF">
        <w:rPr>
          <w:rFonts w:ascii="Times New Roman" w:hAnsi="Times New Roman" w:cs="Times New Roman"/>
          <w:sz w:val="24"/>
          <w:szCs w:val="24"/>
        </w:rPr>
        <w:t>the APP. However, the Annual Report reports on 33 performance targets,</w:t>
      </w:r>
      <w:r w:rsidR="00E532B5">
        <w:rPr>
          <w:rFonts w:ascii="Times New Roman" w:hAnsi="Times New Roman" w:cs="Times New Roman"/>
          <w:sz w:val="24"/>
          <w:szCs w:val="24"/>
        </w:rPr>
        <w:t xml:space="preserve"> as two</w:t>
      </w:r>
      <w:r w:rsidRPr="00586CCF">
        <w:rPr>
          <w:rFonts w:ascii="Times New Roman" w:hAnsi="Times New Roman" w:cs="Times New Roman"/>
          <w:sz w:val="24"/>
          <w:szCs w:val="24"/>
        </w:rPr>
        <w:t xml:space="preserve"> of the targets were removed during the financial year. These targets </w:t>
      </w:r>
      <w:r w:rsidR="00E532B5">
        <w:rPr>
          <w:rFonts w:ascii="Times New Roman" w:hAnsi="Times New Roman" w:cs="Times New Roman"/>
          <w:sz w:val="24"/>
          <w:szCs w:val="24"/>
        </w:rPr>
        <w:t>were in</w:t>
      </w:r>
      <w:r w:rsidRPr="00586CCF">
        <w:rPr>
          <w:rFonts w:ascii="Times New Roman" w:hAnsi="Times New Roman" w:cs="Times New Roman"/>
          <w:sz w:val="24"/>
          <w:szCs w:val="24"/>
        </w:rPr>
        <w:t xml:space="preserve"> the Consumer and Corporate Regulation Programme, </w:t>
      </w:r>
      <w:r w:rsidR="00E532B5">
        <w:rPr>
          <w:rFonts w:ascii="Times New Roman" w:hAnsi="Times New Roman" w:cs="Times New Roman"/>
          <w:sz w:val="24"/>
          <w:szCs w:val="24"/>
        </w:rPr>
        <w:t>namely</w:t>
      </w:r>
      <w:r w:rsidRPr="00586CCF">
        <w:rPr>
          <w:rFonts w:ascii="Times New Roman" w:hAnsi="Times New Roman" w:cs="Times New Roman"/>
          <w:sz w:val="24"/>
          <w:szCs w:val="24"/>
        </w:rPr>
        <w:t xml:space="preserve">: </w:t>
      </w:r>
    </w:p>
    <w:p w14:paraId="3E49A392" w14:textId="77777777" w:rsidR="00A41195" w:rsidRPr="00586CCF" w:rsidRDefault="00A41195" w:rsidP="00586CCF">
      <w:pPr>
        <w:spacing w:line="360" w:lineRule="auto"/>
        <w:rPr>
          <w:rFonts w:ascii="Times New Roman" w:hAnsi="Times New Roman" w:cs="Times New Roman"/>
          <w:sz w:val="24"/>
          <w:szCs w:val="24"/>
        </w:rPr>
      </w:pPr>
    </w:p>
    <w:p w14:paraId="2A14F9BF" w14:textId="77777777" w:rsidR="00A41195" w:rsidRPr="00586CCF" w:rsidRDefault="00A41195" w:rsidP="009D5D24">
      <w:pPr>
        <w:pStyle w:val="ListParagraph"/>
        <w:numPr>
          <w:ilvl w:val="0"/>
          <w:numId w:val="11"/>
        </w:numPr>
        <w:spacing w:line="360" w:lineRule="auto"/>
        <w:contextualSpacing w:val="0"/>
        <w:rPr>
          <w:rFonts w:ascii="Times New Roman" w:hAnsi="Times New Roman" w:cs="Times New Roman"/>
          <w:sz w:val="24"/>
          <w:szCs w:val="24"/>
        </w:rPr>
      </w:pPr>
      <w:r w:rsidRPr="00586CCF">
        <w:rPr>
          <w:rFonts w:ascii="Times New Roman" w:hAnsi="Times New Roman" w:cs="Times New Roman"/>
          <w:sz w:val="24"/>
          <w:szCs w:val="24"/>
        </w:rPr>
        <w:t>Four regulations on Liquor, Companies, Gambling and Copyright developed for Minister’s approval and published</w:t>
      </w:r>
      <w:r w:rsidR="00E532B5">
        <w:rPr>
          <w:rFonts w:ascii="Times New Roman" w:hAnsi="Times New Roman" w:cs="Times New Roman"/>
          <w:sz w:val="24"/>
          <w:szCs w:val="24"/>
        </w:rPr>
        <w:t>.</w:t>
      </w:r>
    </w:p>
    <w:p w14:paraId="01BDE8D6" w14:textId="77777777" w:rsidR="00A41195" w:rsidRPr="00586CCF" w:rsidRDefault="00A41195" w:rsidP="009D5D24">
      <w:pPr>
        <w:pStyle w:val="ListParagraph"/>
        <w:numPr>
          <w:ilvl w:val="0"/>
          <w:numId w:val="11"/>
        </w:numPr>
        <w:spacing w:line="360" w:lineRule="auto"/>
        <w:contextualSpacing w:val="0"/>
        <w:rPr>
          <w:rFonts w:ascii="Times New Roman" w:hAnsi="Times New Roman" w:cs="Times New Roman"/>
          <w:sz w:val="24"/>
          <w:szCs w:val="24"/>
        </w:rPr>
      </w:pPr>
      <w:r w:rsidRPr="00586CCF">
        <w:rPr>
          <w:rFonts w:ascii="Times New Roman" w:hAnsi="Times New Roman" w:cs="Times New Roman"/>
          <w:sz w:val="24"/>
          <w:szCs w:val="24"/>
        </w:rPr>
        <w:t>One Policy Framework on legislative audit report developed for Minister’s approval (policy position on policies to retain or migrate)</w:t>
      </w:r>
      <w:r w:rsidR="00E532B5">
        <w:rPr>
          <w:rFonts w:ascii="Times New Roman" w:hAnsi="Times New Roman" w:cs="Times New Roman"/>
          <w:sz w:val="24"/>
          <w:szCs w:val="24"/>
        </w:rPr>
        <w:t>.</w:t>
      </w:r>
    </w:p>
    <w:p w14:paraId="6D9A020D" w14:textId="77777777" w:rsidR="00A41195" w:rsidRPr="00586CCF" w:rsidRDefault="00A41195" w:rsidP="00586CCF">
      <w:pPr>
        <w:spacing w:line="360" w:lineRule="auto"/>
        <w:rPr>
          <w:rFonts w:ascii="Times New Roman" w:hAnsi="Times New Roman" w:cs="Times New Roman"/>
          <w:sz w:val="24"/>
          <w:szCs w:val="24"/>
        </w:rPr>
      </w:pPr>
    </w:p>
    <w:p w14:paraId="484DA24A" w14:textId="77777777" w:rsidR="00A41195" w:rsidRPr="00586CCF" w:rsidRDefault="00A41195"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Of the 33 targets that the </w:t>
      </w:r>
      <w:r w:rsidR="00AB63A9">
        <w:rPr>
          <w:rFonts w:ascii="Times New Roman" w:hAnsi="Times New Roman" w:cs="Times New Roman"/>
          <w:sz w:val="24"/>
          <w:szCs w:val="24"/>
        </w:rPr>
        <w:t>DTI</w:t>
      </w:r>
      <w:r w:rsidRPr="00586CCF">
        <w:rPr>
          <w:rFonts w:ascii="Times New Roman" w:hAnsi="Times New Roman" w:cs="Times New Roman"/>
          <w:sz w:val="24"/>
          <w:szCs w:val="24"/>
        </w:rPr>
        <w:t xml:space="preserve"> reported on, 27 targets were achieved while </w:t>
      </w:r>
      <w:r w:rsidR="00E532B5">
        <w:rPr>
          <w:rFonts w:ascii="Times New Roman" w:hAnsi="Times New Roman" w:cs="Times New Roman"/>
          <w:sz w:val="24"/>
          <w:szCs w:val="24"/>
        </w:rPr>
        <w:t>six</w:t>
      </w:r>
      <w:r w:rsidRPr="00586CCF">
        <w:rPr>
          <w:rFonts w:ascii="Times New Roman" w:hAnsi="Times New Roman" w:cs="Times New Roman"/>
          <w:sz w:val="24"/>
          <w:szCs w:val="24"/>
        </w:rPr>
        <w:t xml:space="preserve"> were not achieved. This translates to 82</w:t>
      </w:r>
      <w:r w:rsidR="00E532B5">
        <w:rPr>
          <w:rFonts w:ascii="Times New Roman" w:hAnsi="Times New Roman" w:cs="Times New Roman"/>
          <w:sz w:val="24"/>
          <w:szCs w:val="24"/>
        </w:rPr>
        <w:t>%</w:t>
      </w:r>
      <w:r w:rsidRPr="00586CCF">
        <w:rPr>
          <w:rFonts w:ascii="Times New Roman" w:hAnsi="Times New Roman" w:cs="Times New Roman"/>
          <w:sz w:val="24"/>
          <w:szCs w:val="24"/>
        </w:rPr>
        <w:t xml:space="preserve"> achievement of </w:t>
      </w:r>
      <w:r w:rsidR="00E532B5">
        <w:rPr>
          <w:rFonts w:ascii="Times New Roman" w:hAnsi="Times New Roman" w:cs="Times New Roman"/>
          <w:sz w:val="24"/>
          <w:szCs w:val="24"/>
        </w:rPr>
        <w:t xml:space="preserve">its </w:t>
      </w:r>
      <w:r w:rsidRPr="00586CCF">
        <w:rPr>
          <w:rFonts w:ascii="Times New Roman" w:hAnsi="Times New Roman" w:cs="Times New Roman"/>
          <w:sz w:val="24"/>
          <w:szCs w:val="24"/>
        </w:rPr>
        <w:t xml:space="preserve">targets. The table below provides a breakdown of achievement of targets by programme and an overview of the targets that were not met. </w:t>
      </w:r>
    </w:p>
    <w:p w14:paraId="6557BB23" w14:textId="77777777" w:rsidR="00A41195" w:rsidRPr="00586CCF" w:rsidRDefault="00A41195" w:rsidP="00586CCF">
      <w:pPr>
        <w:spacing w:line="360" w:lineRule="auto"/>
        <w:rPr>
          <w:rFonts w:ascii="Times New Roman" w:hAnsi="Times New Roman" w:cs="Times New Roman"/>
          <w:sz w:val="24"/>
          <w:szCs w:val="24"/>
        </w:rPr>
      </w:pPr>
    </w:p>
    <w:p w14:paraId="71B307C7" w14:textId="77777777" w:rsidR="00A41195" w:rsidRPr="004265FC" w:rsidRDefault="00586CCF" w:rsidP="00586CCF">
      <w:pPr>
        <w:spacing w:line="360" w:lineRule="auto"/>
        <w:rPr>
          <w:rFonts w:ascii="Times New Roman" w:hAnsi="Times New Roman" w:cs="Times New Roman"/>
          <w:b/>
          <w:sz w:val="24"/>
          <w:szCs w:val="24"/>
        </w:rPr>
      </w:pPr>
      <w:r w:rsidRPr="004265FC">
        <w:rPr>
          <w:rFonts w:ascii="Times New Roman" w:hAnsi="Times New Roman" w:cs="Times New Roman"/>
          <w:b/>
          <w:sz w:val="24"/>
          <w:szCs w:val="24"/>
        </w:rPr>
        <w:t>Table 2</w:t>
      </w:r>
      <w:r w:rsidR="00A41195" w:rsidRPr="004265FC">
        <w:rPr>
          <w:rFonts w:ascii="Times New Roman" w:hAnsi="Times New Roman" w:cs="Times New Roman"/>
          <w:b/>
          <w:sz w:val="24"/>
          <w:szCs w:val="24"/>
        </w:rPr>
        <w:t>: Performance by Programme</w:t>
      </w:r>
    </w:p>
    <w:tbl>
      <w:tblPr>
        <w:tblStyle w:val="TableGrid"/>
        <w:tblW w:w="0" w:type="auto"/>
        <w:tblLayout w:type="fixed"/>
        <w:tblLook w:val="04A0" w:firstRow="1" w:lastRow="0" w:firstColumn="1" w:lastColumn="0" w:noHBand="0" w:noVBand="1"/>
      </w:tblPr>
      <w:tblGrid>
        <w:gridCol w:w="2689"/>
        <w:gridCol w:w="1842"/>
        <w:gridCol w:w="4303"/>
      </w:tblGrid>
      <w:tr w:rsidR="00E532B5" w:rsidRPr="008B3829" w14:paraId="588521ED" w14:textId="77777777" w:rsidTr="006D18C5">
        <w:trPr>
          <w:tblHeader/>
        </w:trPr>
        <w:tc>
          <w:tcPr>
            <w:tcW w:w="2689" w:type="dxa"/>
            <w:vMerge w:val="restart"/>
            <w:shd w:val="clear" w:color="auto" w:fill="BFBFBF" w:themeFill="background1" w:themeFillShade="BF"/>
            <w:vAlign w:val="center"/>
          </w:tcPr>
          <w:p w14:paraId="7C3E43DE" w14:textId="77777777" w:rsidR="00E532B5" w:rsidRPr="006D18C5" w:rsidRDefault="00E532B5">
            <w:pPr>
              <w:spacing w:after="0" w:line="360" w:lineRule="auto"/>
              <w:jc w:val="center"/>
              <w:rPr>
                <w:rFonts w:ascii="Times New Roman" w:hAnsi="Times New Roman"/>
                <w:b/>
                <w:sz w:val="22"/>
                <w:szCs w:val="24"/>
              </w:rPr>
            </w:pPr>
            <w:r w:rsidRPr="006D18C5">
              <w:rPr>
                <w:rFonts w:ascii="Times New Roman" w:hAnsi="Times New Roman"/>
                <w:b/>
                <w:sz w:val="22"/>
                <w:szCs w:val="24"/>
              </w:rPr>
              <w:t>Programme</w:t>
            </w:r>
          </w:p>
        </w:tc>
        <w:tc>
          <w:tcPr>
            <w:tcW w:w="6145" w:type="dxa"/>
            <w:gridSpan w:val="2"/>
            <w:shd w:val="clear" w:color="auto" w:fill="BFBFBF" w:themeFill="background1" w:themeFillShade="BF"/>
            <w:vAlign w:val="center"/>
          </w:tcPr>
          <w:p w14:paraId="7BBE8F1C" w14:textId="77777777" w:rsidR="00E532B5" w:rsidRPr="006D18C5" w:rsidRDefault="00E532B5">
            <w:pPr>
              <w:spacing w:after="0" w:line="360" w:lineRule="auto"/>
              <w:jc w:val="center"/>
              <w:rPr>
                <w:rFonts w:ascii="Times New Roman" w:hAnsi="Times New Roman"/>
                <w:b/>
                <w:sz w:val="22"/>
                <w:szCs w:val="24"/>
              </w:rPr>
            </w:pPr>
            <w:r w:rsidRPr="006D18C5">
              <w:rPr>
                <w:rFonts w:ascii="Times New Roman" w:hAnsi="Times New Roman"/>
                <w:b/>
                <w:sz w:val="22"/>
                <w:szCs w:val="24"/>
              </w:rPr>
              <w:t>Performance Indicators/Targets</w:t>
            </w:r>
          </w:p>
        </w:tc>
      </w:tr>
      <w:tr w:rsidR="007070BF" w:rsidRPr="008B3829" w14:paraId="25770F4E" w14:textId="77777777" w:rsidTr="006D18C5">
        <w:trPr>
          <w:tblHeader/>
        </w:trPr>
        <w:tc>
          <w:tcPr>
            <w:tcW w:w="2689" w:type="dxa"/>
            <w:vMerge/>
            <w:shd w:val="clear" w:color="auto" w:fill="BFBFBF" w:themeFill="background1" w:themeFillShade="BF"/>
            <w:vAlign w:val="center"/>
          </w:tcPr>
          <w:p w14:paraId="06736B93" w14:textId="77777777" w:rsidR="00E532B5" w:rsidRPr="006D18C5" w:rsidRDefault="00E532B5" w:rsidP="006D18C5">
            <w:pPr>
              <w:spacing w:after="0" w:line="360" w:lineRule="auto"/>
              <w:jc w:val="center"/>
              <w:rPr>
                <w:rFonts w:ascii="Times New Roman" w:hAnsi="Times New Roman"/>
                <w:b/>
                <w:sz w:val="22"/>
                <w:szCs w:val="24"/>
              </w:rPr>
            </w:pPr>
          </w:p>
        </w:tc>
        <w:tc>
          <w:tcPr>
            <w:tcW w:w="1842" w:type="dxa"/>
            <w:shd w:val="clear" w:color="auto" w:fill="BFBFBF" w:themeFill="background1" w:themeFillShade="BF"/>
            <w:vAlign w:val="center"/>
          </w:tcPr>
          <w:p w14:paraId="14F29E27" w14:textId="77777777" w:rsidR="00E532B5" w:rsidRPr="006D18C5" w:rsidRDefault="00E532B5" w:rsidP="006D18C5">
            <w:pPr>
              <w:spacing w:after="0" w:line="360" w:lineRule="auto"/>
              <w:jc w:val="center"/>
              <w:rPr>
                <w:rFonts w:ascii="Times New Roman" w:hAnsi="Times New Roman"/>
                <w:b/>
                <w:sz w:val="22"/>
                <w:szCs w:val="24"/>
              </w:rPr>
            </w:pPr>
            <w:r w:rsidRPr="006D18C5">
              <w:rPr>
                <w:rFonts w:ascii="Times New Roman" w:hAnsi="Times New Roman"/>
                <w:b/>
                <w:sz w:val="22"/>
                <w:szCs w:val="24"/>
              </w:rPr>
              <w:t>Number</w:t>
            </w:r>
          </w:p>
        </w:tc>
        <w:tc>
          <w:tcPr>
            <w:tcW w:w="4303" w:type="dxa"/>
            <w:shd w:val="clear" w:color="auto" w:fill="BFBFBF" w:themeFill="background1" w:themeFillShade="BF"/>
            <w:vAlign w:val="center"/>
          </w:tcPr>
          <w:p w14:paraId="3AA9F70A" w14:textId="77777777" w:rsidR="00E532B5" w:rsidRPr="006D18C5" w:rsidRDefault="00E532B5" w:rsidP="006D18C5">
            <w:pPr>
              <w:spacing w:after="0" w:line="360" w:lineRule="auto"/>
              <w:jc w:val="center"/>
              <w:rPr>
                <w:rFonts w:ascii="Times New Roman" w:hAnsi="Times New Roman"/>
                <w:b/>
                <w:sz w:val="22"/>
                <w:szCs w:val="24"/>
              </w:rPr>
            </w:pPr>
            <w:r w:rsidRPr="006D18C5">
              <w:rPr>
                <w:rFonts w:ascii="Times New Roman" w:hAnsi="Times New Roman"/>
                <w:b/>
                <w:sz w:val="22"/>
                <w:szCs w:val="24"/>
              </w:rPr>
              <w:t>Description of unachieved targets</w:t>
            </w:r>
          </w:p>
        </w:tc>
      </w:tr>
      <w:tr w:rsidR="007070BF" w:rsidRPr="008B3829" w14:paraId="775B8D7A" w14:textId="77777777" w:rsidTr="006D18C5">
        <w:tc>
          <w:tcPr>
            <w:tcW w:w="2689" w:type="dxa"/>
          </w:tcPr>
          <w:p w14:paraId="6392E08D" w14:textId="77777777" w:rsidR="00A41195" w:rsidRPr="006D18C5" w:rsidRDefault="00A41195">
            <w:pPr>
              <w:spacing w:after="0" w:line="360" w:lineRule="auto"/>
              <w:rPr>
                <w:rFonts w:ascii="Times New Roman" w:hAnsi="Times New Roman"/>
                <w:sz w:val="22"/>
                <w:szCs w:val="24"/>
              </w:rPr>
            </w:pPr>
            <w:r w:rsidRPr="006D18C5">
              <w:rPr>
                <w:rFonts w:ascii="Times New Roman" w:hAnsi="Times New Roman"/>
                <w:sz w:val="22"/>
                <w:szCs w:val="24"/>
                <w:lang w:eastAsia="en-ZA"/>
              </w:rPr>
              <w:t>Administration</w:t>
            </w:r>
          </w:p>
        </w:tc>
        <w:tc>
          <w:tcPr>
            <w:tcW w:w="1842" w:type="dxa"/>
          </w:tcPr>
          <w:p w14:paraId="14BD6A6D" w14:textId="77777777" w:rsidR="00E532B5" w:rsidRPr="006D18C5" w:rsidRDefault="00E532B5">
            <w:pPr>
              <w:spacing w:after="0" w:line="360" w:lineRule="auto"/>
              <w:rPr>
                <w:rFonts w:ascii="Times New Roman" w:hAnsi="Times New Roman"/>
                <w:sz w:val="22"/>
                <w:szCs w:val="24"/>
              </w:rPr>
            </w:pPr>
            <w:r w:rsidRPr="006D18C5">
              <w:rPr>
                <w:rFonts w:ascii="Times New Roman" w:hAnsi="Times New Roman"/>
                <w:sz w:val="22"/>
                <w:szCs w:val="24"/>
              </w:rPr>
              <w:t>Achieved</w:t>
            </w:r>
            <w:r w:rsidR="00A41195" w:rsidRPr="006D18C5">
              <w:rPr>
                <w:rFonts w:ascii="Times New Roman" w:hAnsi="Times New Roman"/>
                <w:sz w:val="22"/>
                <w:szCs w:val="24"/>
              </w:rPr>
              <w:t>: 7</w:t>
            </w:r>
          </w:p>
          <w:p w14:paraId="41A88BF9" w14:textId="77777777" w:rsidR="00A41195" w:rsidRPr="006D18C5" w:rsidRDefault="00E532B5">
            <w:pPr>
              <w:spacing w:after="0" w:line="360" w:lineRule="auto"/>
              <w:rPr>
                <w:rFonts w:ascii="Times New Roman" w:hAnsi="Times New Roman"/>
                <w:sz w:val="22"/>
                <w:szCs w:val="24"/>
              </w:rPr>
            </w:pPr>
            <w:r w:rsidRPr="006D18C5">
              <w:rPr>
                <w:rFonts w:ascii="Times New Roman" w:hAnsi="Times New Roman"/>
                <w:sz w:val="22"/>
                <w:szCs w:val="24"/>
              </w:rPr>
              <w:t>Not achieved:</w:t>
            </w:r>
            <w:r w:rsidR="00A41195" w:rsidRPr="006D18C5">
              <w:rPr>
                <w:rFonts w:ascii="Times New Roman" w:hAnsi="Times New Roman"/>
                <w:sz w:val="22"/>
                <w:szCs w:val="24"/>
              </w:rPr>
              <w:t xml:space="preserve"> 2</w:t>
            </w:r>
          </w:p>
        </w:tc>
        <w:tc>
          <w:tcPr>
            <w:tcW w:w="4303" w:type="dxa"/>
          </w:tcPr>
          <w:p w14:paraId="7A0EA805" w14:textId="77777777" w:rsidR="00A41195" w:rsidRPr="006D18C5" w:rsidRDefault="00A41195" w:rsidP="009D5D24">
            <w:pPr>
              <w:pStyle w:val="ListParagraph"/>
              <w:numPr>
                <w:ilvl w:val="0"/>
                <w:numId w:val="13"/>
              </w:numPr>
              <w:spacing w:after="0" w:line="360" w:lineRule="auto"/>
              <w:ind w:left="313"/>
              <w:contextualSpacing w:val="0"/>
              <w:rPr>
                <w:rFonts w:ascii="Times New Roman" w:hAnsi="Times New Roman"/>
                <w:sz w:val="22"/>
                <w:szCs w:val="24"/>
              </w:rPr>
            </w:pPr>
            <w:r w:rsidRPr="006D18C5">
              <w:rPr>
                <w:rFonts w:ascii="Times New Roman" w:hAnsi="Times New Roman"/>
                <w:sz w:val="22"/>
                <w:szCs w:val="24"/>
              </w:rPr>
              <w:t>Vacancy rate averaged 7</w:t>
            </w:r>
            <w:r w:rsidR="007070BF" w:rsidRPr="006D18C5">
              <w:rPr>
                <w:rFonts w:ascii="Times New Roman" w:hAnsi="Times New Roman"/>
                <w:sz w:val="22"/>
                <w:szCs w:val="24"/>
              </w:rPr>
              <w:t>%</w:t>
            </w:r>
            <w:r w:rsidRPr="006D18C5">
              <w:rPr>
                <w:rFonts w:ascii="Times New Roman" w:hAnsi="Times New Roman"/>
                <w:sz w:val="22"/>
                <w:szCs w:val="24"/>
              </w:rPr>
              <w:t xml:space="preserve"> against a target of 5</w:t>
            </w:r>
            <w:r w:rsidR="007070BF" w:rsidRPr="006D18C5">
              <w:rPr>
                <w:rFonts w:ascii="Times New Roman" w:hAnsi="Times New Roman"/>
                <w:sz w:val="22"/>
                <w:szCs w:val="24"/>
              </w:rPr>
              <w:t>%</w:t>
            </w:r>
            <w:r w:rsidR="00443C0F">
              <w:rPr>
                <w:rFonts w:ascii="Times New Roman" w:hAnsi="Times New Roman"/>
                <w:sz w:val="22"/>
                <w:szCs w:val="24"/>
              </w:rPr>
              <w:t>.</w:t>
            </w:r>
          </w:p>
          <w:p w14:paraId="1F50BC7B" w14:textId="77777777" w:rsidR="00A41195" w:rsidRPr="006D18C5" w:rsidRDefault="00A41195" w:rsidP="009D5D24">
            <w:pPr>
              <w:pStyle w:val="ListParagraph"/>
              <w:numPr>
                <w:ilvl w:val="0"/>
                <w:numId w:val="13"/>
              </w:numPr>
              <w:spacing w:after="0" w:line="360" w:lineRule="auto"/>
              <w:ind w:left="313"/>
              <w:contextualSpacing w:val="0"/>
              <w:rPr>
                <w:rFonts w:ascii="Times New Roman" w:hAnsi="Times New Roman"/>
                <w:sz w:val="22"/>
                <w:szCs w:val="24"/>
              </w:rPr>
            </w:pPr>
            <w:r w:rsidRPr="006D18C5">
              <w:rPr>
                <w:rFonts w:ascii="Times New Roman" w:hAnsi="Times New Roman"/>
                <w:sz w:val="22"/>
                <w:szCs w:val="24"/>
              </w:rPr>
              <w:t xml:space="preserve">18 Media awareness campaigns against a target of 22. </w:t>
            </w:r>
          </w:p>
        </w:tc>
      </w:tr>
      <w:tr w:rsidR="007070BF" w:rsidRPr="008B3829" w14:paraId="5F8B6569" w14:textId="77777777" w:rsidTr="006D18C5">
        <w:tc>
          <w:tcPr>
            <w:tcW w:w="2689" w:type="dxa"/>
          </w:tcPr>
          <w:p w14:paraId="0E4F7683" w14:textId="77777777" w:rsidR="00A41195" w:rsidRPr="006D18C5" w:rsidRDefault="00A41195" w:rsidP="00586CCF">
            <w:pPr>
              <w:spacing w:after="0" w:line="360" w:lineRule="auto"/>
              <w:rPr>
                <w:rFonts w:ascii="Times New Roman" w:hAnsi="Times New Roman"/>
                <w:sz w:val="22"/>
                <w:szCs w:val="24"/>
              </w:rPr>
            </w:pPr>
            <w:r w:rsidRPr="006D18C5">
              <w:rPr>
                <w:rFonts w:ascii="Times New Roman" w:hAnsi="Times New Roman"/>
                <w:sz w:val="22"/>
                <w:szCs w:val="24"/>
                <w:lang w:eastAsia="en-ZA"/>
              </w:rPr>
              <w:t>International Trade and Economic Development</w:t>
            </w:r>
          </w:p>
        </w:tc>
        <w:tc>
          <w:tcPr>
            <w:tcW w:w="1842" w:type="dxa"/>
          </w:tcPr>
          <w:p w14:paraId="1982365D" w14:textId="77777777" w:rsidR="00A41195" w:rsidRPr="006D18C5" w:rsidRDefault="007070BF">
            <w:pPr>
              <w:spacing w:after="0" w:line="360" w:lineRule="auto"/>
              <w:rPr>
                <w:rFonts w:ascii="Times New Roman" w:hAnsi="Times New Roman"/>
                <w:sz w:val="22"/>
                <w:szCs w:val="24"/>
              </w:rPr>
            </w:pPr>
            <w:r w:rsidRPr="006D18C5">
              <w:rPr>
                <w:rFonts w:ascii="Times New Roman" w:hAnsi="Times New Roman"/>
                <w:sz w:val="22"/>
                <w:szCs w:val="24"/>
              </w:rPr>
              <w:t xml:space="preserve">Achieved: </w:t>
            </w:r>
            <w:r w:rsidR="00A41195" w:rsidRPr="006D18C5">
              <w:rPr>
                <w:rFonts w:ascii="Times New Roman" w:hAnsi="Times New Roman"/>
                <w:sz w:val="22"/>
                <w:szCs w:val="24"/>
              </w:rPr>
              <w:t xml:space="preserve">4 </w:t>
            </w:r>
          </w:p>
        </w:tc>
        <w:tc>
          <w:tcPr>
            <w:tcW w:w="4303" w:type="dxa"/>
          </w:tcPr>
          <w:p w14:paraId="336C5F29" w14:textId="77777777" w:rsidR="00A41195" w:rsidRPr="006D18C5" w:rsidRDefault="00A41195" w:rsidP="00586CCF">
            <w:pPr>
              <w:spacing w:after="0" w:line="360" w:lineRule="auto"/>
              <w:rPr>
                <w:rFonts w:ascii="Times New Roman" w:hAnsi="Times New Roman"/>
                <w:sz w:val="22"/>
                <w:szCs w:val="24"/>
              </w:rPr>
            </w:pPr>
          </w:p>
        </w:tc>
      </w:tr>
      <w:tr w:rsidR="007070BF" w:rsidRPr="008B3829" w14:paraId="009B1F8C" w14:textId="77777777" w:rsidTr="006D18C5">
        <w:tc>
          <w:tcPr>
            <w:tcW w:w="2689" w:type="dxa"/>
          </w:tcPr>
          <w:p w14:paraId="01BE4BDC" w14:textId="77777777" w:rsidR="00A41195" w:rsidRDefault="00A41195" w:rsidP="00586CCF">
            <w:pPr>
              <w:spacing w:after="0" w:line="360" w:lineRule="auto"/>
              <w:rPr>
                <w:rFonts w:ascii="Times New Roman" w:hAnsi="Times New Roman"/>
                <w:sz w:val="22"/>
                <w:szCs w:val="24"/>
                <w:lang w:eastAsia="en-ZA"/>
              </w:rPr>
            </w:pPr>
            <w:r w:rsidRPr="006D18C5">
              <w:rPr>
                <w:rFonts w:ascii="Times New Roman" w:hAnsi="Times New Roman"/>
                <w:sz w:val="22"/>
                <w:szCs w:val="24"/>
                <w:lang w:eastAsia="en-ZA"/>
              </w:rPr>
              <w:t>Special Economic Zones and Economic Transformation</w:t>
            </w:r>
          </w:p>
          <w:p w14:paraId="7C70DACF" w14:textId="77777777" w:rsidR="0055458E" w:rsidRDefault="0055458E" w:rsidP="00586CCF">
            <w:pPr>
              <w:spacing w:after="0" w:line="360" w:lineRule="auto"/>
              <w:rPr>
                <w:rFonts w:ascii="Times New Roman" w:hAnsi="Times New Roman"/>
                <w:sz w:val="22"/>
                <w:szCs w:val="24"/>
                <w:lang w:eastAsia="en-ZA"/>
              </w:rPr>
            </w:pPr>
          </w:p>
          <w:p w14:paraId="108737A2" w14:textId="77777777" w:rsidR="0055458E" w:rsidRPr="006D18C5" w:rsidRDefault="0055458E" w:rsidP="00586CCF">
            <w:pPr>
              <w:spacing w:after="0" w:line="360" w:lineRule="auto"/>
              <w:rPr>
                <w:rFonts w:ascii="Times New Roman" w:hAnsi="Times New Roman"/>
                <w:sz w:val="22"/>
                <w:szCs w:val="24"/>
              </w:rPr>
            </w:pPr>
          </w:p>
        </w:tc>
        <w:tc>
          <w:tcPr>
            <w:tcW w:w="1842" w:type="dxa"/>
          </w:tcPr>
          <w:p w14:paraId="2E6DF2C8" w14:textId="77777777" w:rsidR="00A41195" w:rsidRPr="006D18C5" w:rsidRDefault="007070BF">
            <w:pPr>
              <w:spacing w:after="0" w:line="360" w:lineRule="auto"/>
              <w:rPr>
                <w:rFonts w:ascii="Times New Roman" w:hAnsi="Times New Roman"/>
                <w:sz w:val="22"/>
                <w:szCs w:val="24"/>
              </w:rPr>
            </w:pPr>
            <w:r w:rsidRPr="006D18C5">
              <w:rPr>
                <w:rFonts w:ascii="Times New Roman" w:hAnsi="Times New Roman"/>
                <w:sz w:val="22"/>
                <w:szCs w:val="24"/>
              </w:rPr>
              <w:t xml:space="preserve">Achieved: 4 </w:t>
            </w:r>
          </w:p>
        </w:tc>
        <w:tc>
          <w:tcPr>
            <w:tcW w:w="4303" w:type="dxa"/>
          </w:tcPr>
          <w:p w14:paraId="4B07AD96" w14:textId="77777777" w:rsidR="00A41195" w:rsidRPr="006D18C5" w:rsidRDefault="00A41195" w:rsidP="00586CCF">
            <w:pPr>
              <w:spacing w:after="0" w:line="360" w:lineRule="auto"/>
              <w:rPr>
                <w:rFonts w:ascii="Times New Roman" w:hAnsi="Times New Roman"/>
                <w:sz w:val="22"/>
                <w:szCs w:val="24"/>
              </w:rPr>
            </w:pPr>
          </w:p>
        </w:tc>
      </w:tr>
      <w:tr w:rsidR="007070BF" w:rsidRPr="008B3829" w14:paraId="14048DFD" w14:textId="77777777" w:rsidTr="006D18C5">
        <w:tc>
          <w:tcPr>
            <w:tcW w:w="2689" w:type="dxa"/>
          </w:tcPr>
          <w:p w14:paraId="5A15FF58" w14:textId="77777777" w:rsidR="00A41195" w:rsidRPr="006D18C5" w:rsidRDefault="00A41195" w:rsidP="00586CCF">
            <w:pPr>
              <w:spacing w:after="0" w:line="360" w:lineRule="auto"/>
              <w:rPr>
                <w:rFonts w:ascii="Times New Roman" w:hAnsi="Times New Roman"/>
                <w:sz w:val="22"/>
                <w:szCs w:val="24"/>
              </w:rPr>
            </w:pPr>
            <w:r w:rsidRPr="006D18C5">
              <w:rPr>
                <w:rFonts w:ascii="Times New Roman" w:hAnsi="Times New Roman"/>
                <w:sz w:val="22"/>
                <w:szCs w:val="24"/>
                <w:lang w:eastAsia="en-ZA"/>
              </w:rPr>
              <w:t>Industrial Development</w:t>
            </w:r>
          </w:p>
        </w:tc>
        <w:tc>
          <w:tcPr>
            <w:tcW w:w="1842" w:type="dxa"/>
          </w:tcPr>
          <w:p w14:paraId="18F1C9BC" w14:textId="77777777" w:rsidR="007070BF" w:rsidRPr="006D18C5" w:rsidRDefault="007070BF">
            <w:pPr>
              <w:spacing w:after="0" w:line="360" w:lineRule="auto"/>
              <w:rPr>
                <w:rFonts w:ascii="Times New Roman" w:hAnsi="Times New Roman"/>
                <w:sz w:val="22"/>
                <w:szCs w:val="24"/>
              </w:rPr>
            </w:pPr>
            <w:r w:rsidRPr="006D18C5">
              <w:rPr>
                <w:rFonts w:ascii="Times New Roman" w:hAnsi="Times New Roman"/>
                <w:sz w:val="22"/>
                <w:szCs w:val="24"/>
              </w:rPr>
              <w:t xml:space="preserve">Achieved: 2 </w:t>
            </w:r>
          </w:p>
          <w:p w14:paraId="0ED4EC6B" w14:textId="77777777" w:rsidR="00A41195" w:rsidRPr="006D18C5" w:rsidRDefault="007070BF">
            <w:pPr>
              <w:spacing w:after="0" w:line="360" w:lineRule="auto"/>
              <w:rPr>
                <w:rFonts w:ascii="Times New Roman" w:hAnsi="Times New Roman"/>
                <w:sz w:val="22"/>
                <w:szCs w:val="24"/>
              </w:rPr>
            </w:pPr>
            <w:r w:rsidRPr="006D18C5">
              <w:rPr>
                <w:rFonts w:ascii="Times New Roman" w:hAnsi="Times New Roman"/>
                <w:sz w:val="22"/>
                <w:szCs w:val="24"/>
              </w:rPr>
              <w:t xml:space="preserve">Not </w:t>
            </w:r>
            <w:r w:rsidR="00A41195" w:rsidRPr="006D18C5">
              <w:rPr>
                <w:rFonts w:ascii="Times New Roman" w:hAnsi="Times New Roman"/>
                <w:sz w:val="22"/>
                <w:szCs w:val="24"/>
              </w:rPr>
              <w:t>achieved</w:t>
            </w:r>
            <w:r w:rsidRPr="006D18C5">
              <w:rPr>
                <w:rFonts w:ascii="Times New Roman" w:hAnsi="Times New Roman"/>
                <w:sz w:val="22"/>
                <w:szCs w:val="24"/>
              </w:rPr>
              <w:t>: 1</w:t>
            </w:r>
          </w:p>
        </w:tc>
        <w:tc>
          <w:tcPr>
            <w:tcW w:w="4303" w:type="dxa"/>
          </w:tcPr>
          <w:p w14:paraId="197E846A" w14:textId="77777777" w:rsidR="00A41195" w:rsidRPr="006D18C5" w:rsidRDefault="00A41195" w:rsidP="00586CCF">
            <w:pPr>
              <w:spacing w:after="0" w:line="360" w:lineRule="auto"/>
              <w:rPr>
                <w:rFonts w:ascii="Times New Roman" w:hAnsi="Times New Roman"/>
                <w:sz w:val="22"/>
                <w:szCs w:val="24"/>
              </w:rPr>
            </w:pPr>
            <w:r w:rsidRPr="006D18C5">
              <w:rPr>
                <w:rFonts w:ascii="Times New Roman" w:hAnsi="Times New Roman"/>
                <w:sz w:val="22"/>
                <w:szCs w:val="24"/>
              </w:rPr>
              <w:t>The report on the implementation of the Industrial Policy Action Plan (IPAP) was not produced as planned.</w:t>
            </w:r>
          </w:p>
          <w:p w14:paraId="25AA8B2F" w14:textId="77777777" w:rsidR="00A41195" w:rsidRPr="006D18C5" w:rsidRDefault="00A41195" w:rsidP="00586CCF">
            <w:pPr>
              <w:spacing w:after="0" w:line="360" w:lineRule="auto"/>
              <w:rPr>
                <w:rFonts w:ascii="Times New Roman" w:hAnsi="Times New Roman"/>
                <w:sz w:val="22"/>
                <w:szCs w:val="24"/>
              </w:rPr>
            </w:pPr>
          </w:p>
          <w:p w14:paraId="1AAA5827" w14:textId="77777777" w:rsidR="00A41195" w:rsidRPr="006D18C5" w:rsidRDefault="007070BF">
            <w:pPr>
              <w:spacing w:after="0" w:line="360" w:lineRule="auto"/>
              <w:rPr>
                <w:rFonts w:ascii="Times New Roman" w:hAnsi="Times New Roman"/>
                <w:sz w:val="22"/>
                <w:szCs w:val="24"/>
              </w:rPr>
            </w:pPr>
            <w:r w:rsidRPr="006D18C5">
              <w:rPr>
                <w:rFonts w:ascii="Times New Roman" w:hAnsi="Times New Roman"/>
                <w:sz w:val="22"/>
                <w:szCs w:val="24"/>
              </w:rPr>
              <w:t>This</w:t>
            </w:r>
            <w:r w:rsidR="00A41195" w:rsidRPr="006D18C5">
              <w:rPr>
                <w:rFonts w:ascii="Times New Roman" w:hAnsi="Times New Roman"/>
                <w:sz w:val="22"/>
                <w:szCs w:val="24"/>
              </w:rPr>
              <w:t xml:space="preserve"> was due to the IPAP meeting not taking place as a result of the preparations for the next financial year’s IPAP.</w:t>
            </w:r>
          </w:p>
        </w:tc>
      </w:tr>
      <w:tr w:rsidR="007070BF" w:rsidRPr="008B3829" w14:paraId="18E21C55" w14:textId="77777777" w:rsidTr="006D18C5">
        <w:tc>
          <w:tcPr>
            <w:tcW w:w="2689" w:type="dxa"/>
          </w:tcPr>
          <w:p w14:paraId="0DC7D0C5" w14:textId="77777777" w:rsidR="00A41195" w:rsidRPr="006D18C5" w:rsidRDefault="00A41195" w:rsidP="00586CCF">
            <w:pPr>
              <w:spacing w:after="0" w:line="360" w:lineRule="auto"/>
              <w:rPr>
                <w:rFonts w:ascii="Times New Roman" w:hAnsi="Times New Roman"/>
                <w:sz w:val="22"/>
                <w:szCs w:val="24"/>
                <w:lang w:eastAsia="en-ZA"/>
              </w:rPr>
            </w:pPr>
            <w:r w:rsidRPr="006D18C5">
              <w:rPr>
                <w:rFonts w:ascii="Times New Roman" w:hAnsi="Times New Roman"/>
                <w:sz w:val="22"/>
                <w:szCs w:val="24"/>
                <w:lang w:eastAsia="en-ZA"/>
              </w:rPr>
              <w:t>Consumer and Corporate Regulation</w:t>
            </w:r>
          </w:p>
        </w:tc>
        <w:tc>
          <w:tcPr>
            <w:tcW w:w="1842" w:type="dxa"/>
          </w:tcPr>
          <w:p w14:paraId="45A0CF56" w14:textId="77777777" w:rsidR="007070BF" w:rsidRPr="006D18C5" w:rsidRDefault="007070BF" w:rsidP="00586CCF">
            <w:pPr>
              <w:spacing w:after="0" w:line="360" w:lineRule="auto"/>
              <w:rPr>
                <w:rFonts w:ascii="Times New Roman" w:hAnsi="Times New Roman"/>
                <w:sz w:val="22"/>
                <w:szCs w:val="24"/>
              </w:rPr>
            </w:pPr>
            <w:r w:rsidRPr="006D18C5">
              <w:rPr>
                <w:rFonts w:ascii="Times New Roman" w:hAnsi="Times New Roman"/>
                <w:sz w:val="22"/>
                <w:szCs w:val="24"/>
              </w:rPr>
              <w:t>Achieved: 3</w:t>
            </w:r>
          </w:p>
          <w:p w14:paraId="453EF1CE" w14:textId="77777777" w:rsidR="00A41195" w:rsidRPr="006D18C5" w:rsidRDefault="007070BF" w:rsidP="00586CCF">
            <w:pPr>
              <w:spacing w:after="0" w:line="360" w:lineRule="auto"/>
              <w:rPr>
                <w:rFonts w:ascii="Times New Roman" w:hAnsi="Times New Roman"/>
                <w:sz w:val="22"/>
                <w:szCs w:val="24"/>
              </w:rPr>
            </w:pPr>
            <w:r w:rsidRPr="006D18C5">
              <w:rPr>
                <w:rFonts w:ascii="Times New Roman" w:hAnsi="Times New Roman"/>
                <w:sz w:val="22"/>
                <w:szCs w:val="24"/>
              </w:rPr>
              <w:t>Not achieved: 3</w:t>
            </w:r>
          </w:p>
        </w:tc>
        <w:tc>
          <w:tcPr>
            <w:tcW w:w="4303" w:type="dxa"/>
          </w:tcPr>
          <w:p w14:paraId="1ACF4454" w14:textId="77777777" w:rsidR="00A41195" w:rsidRPr="006D18C5" w:rsidRDefault="00A41195" w:rsidP="009D5D24">
            <w:pPr>
              <w:pStyle w:val="ListParagraph"/>
              <w:numPr>
                <w:ilvl w:val="0"/>
                <w:numId w:val="12"/>
              </w:numPr>
              <w:spacing w:after="0" w:line="360" w:lineRule="auto"/>
              <w:ind w:left="313"/>
              <w:contextualSpacing w:val="0"/>
              <w:jc w:val="both"/>
              <w:rPr>
                <w:rFonts w:ascii="Times New Roman" w:hAnsi="Times New Roman"/>
                <w:sz w:val="22"/>
                <w:szCs w:val="24"/>
              </w:rPr>
            </w:pPr>
            <w:r w:rsidRPr="006D18C5">
              <w:rPr>
                <w:rFonts w:ascii="Times New Roman" w:hAnsi="Times New Roman"/>
                <w:sz w:val="22"/>
                <w:szCs w:val="24"/>
              </w:rPr>
              <w:t xml:space="preserve">The </w:t>
            </w:r>
            <w:r w:rsidR="00AB63A9">
              <w:rPr>
                <w:rFonts w:ascii="Times New Roman" w:hAnsi="Times New Roman"/>
                <w:sz w:val="22"/>
                <w:szCs w:val="24"/>
              </w:rPr>
              <w:t>DTI ha</w:t>
            </w:r>
            <w:r w:rsidRPr="006D18C5">
              <w:rPr>
                <w:rFonts w:ascii="Times New Roman" w:hAnsi="Times New Roman"/>
                <w:sz w:val="22"/>
                <w:szCs w:val="24"/>
              </w:rPr>
              <w:t>d not develop</w:t>
            </w:r>
            <w:r w:rsidR="00AB63A9">
              <w:rPr>
                <w:rFonts w:ascii="Times New Roman" w:hAnsi="Times New Roman"/>
                <w:sz w:val="22"/>
                <w:szCs w:val="24"/>
              </w:rPr>
              <w:t>ed</w:t>
            </w:r>
            <w:r w:rsidRPr="006D18C5">
              <w:rPr>
                <w:rFonts w:ascii="Times New Roman" w:hAnsi="Times New Roman"/>
                <w:sz w:val="22"/>
                <w:szCs w:val="24"/>
              </w:rPr>
              <w:t xml:space="preserve"> </w:t>
            </w:r>
            <w:r w:rsidR="007070BF" w:rsidRPr="006D18C5">
              <w:rPr>
                <w:rFonts w:ascii="Times New Roman" w:hAnsi="Times New Roman"/>
                <w:sz w:val="22"/>
                <w:szCs w:val="24"/>
              </w:rPr>
              <w:t>two</w:t>
            </w:r>
            <w:r w:rsidRPr="006D18C5">
              <w:rPr>
                <w:rFonts w:ascii="Times New Roman" w:hAnsi="Times New Roman"/>
                <w:sz w:val="22"/>
                <w:szCs w:val="24"/>
              </w:rPr>
              <w:t xml:space="preserve"> evaluation reports on</w:t>
            </w:r>
            <w:r w:rsidR="007070BF" w:rsidRPr="006D18C5">
              <w:rPr>
                <w:rFonts w:ascii="Times New Roman" w:hAnsi="Times New Roman"/>
                <w:sz w:val="22"/>
                <w:szCs w:val="24"/>
              </w:rPr>
              <w:t xml:space="preserve"> the</w:t>
            </w:r>
            <w:r w:rsidRPr="006D18C5">
              <w:rPr>
                <w:rFonts w:ascii="Times New Roman" w:hAnsi="Times New Roman"/>
                <w:sz w:val="22"/>
                <w:szCs w:val="24"/>
              </w:rPr>
              <w:t xml:space="preserve"> Consumer Protection Act (exemptions and industry codes) and Companies Act (cost of doing business) for Minister’s approval as planned.</w:t>
            </w:r>
          </w:p>
          <w:p w14:paraId="1C7D11DA" w14:textId="77777777" w:rsidR="00A41195" w:rsidRPr="006D18C5" w:rsidRDefault="00A41195" w:rsidP="009D5D24">
            <w:pPr>
              <w:pStyle w:val="ListParagraph"/>
              <w:numPr>
                <w:ilvl w:val="0"/>
                <w:numId w:val="12"/>
              </w:numPr>
              <w:spacing w:after="0" w:line="360" w:lineRule="auto"/>
              <w:ind w:left="313"/>
              <w:contextualSpacing w:val="0"/>
              <w:jc w:val="both"/>
              <w:rPr>
                <w:rFonts w:ascii="Times New Roman" w:hAnsi="Times New Roman"/>
                <w:sz w:val="22"/>
                <w:szCs w:val="24"/>
              </w:rPr>
            </w:pPr>
            <w:r w:rsidRPr="006D18C5">
              <w:rPr>
                <w:rFonts w:ascii="Times New Roman" w:hAnsi="Times New Roman"/>
                <w:sz w:val="22"/>
                <w:szCs w:val="24"/>
              </w:rPr>
              <w:t xml:space="preserve">The business cases (National Liquor and Gambling Trading Entities) were developed but not sent to </w:t>
            </w:r>
            <w:r w:rsidR="007070BF" w:rsidRPr="006D18C5">
              <w:rPr>
                <w:rFonts w:ascii="Times New Roman" w:hAnsi="Times New Roman"/>
                <w:sz w:val="22"/>
                <w:szCs w:val="24"/>
              </w:rPr>
              <w:t xml:space="preserve">the </w:t>
            </w:r>
            <w:r w:rsidRPr="006D18C5">
              <w:rPr>
                <w:rFonts w:ascii="Times New Roman" w:hAnsi="Times New Roman"/>
                <w:sz w:val="22"/>
                <w:szCs w:val="24"/>
              </w:rPr>
              <w:t>Minister for approval.</w:t>
            </w:r>
          </w:p>
          <w:p w14:paraId="052288AE" w14:textId="77777777" w:rsidR="00A41195" w:rsidRPr="006D18C5" w:rsidRDefault="00A41195" w:rsidP="009D5D24">
            <w:pPr>
              <w:pStyle w:val="ListParagraph"/>
              <w:numPr>
                <w:ilvl w:val="0"/>
                <w:numId w:val="12"/>
              </w:numPr>
              <w:spacing w:line="360" w:lineRule="auto"/>
              <w:ind w:left="313"/>
              <w:contextualSpacing w:val="0"/>
              <w:rPr>
                <w:rFonts w:ascii="Times New Roman" w:hAnsi="Times New Roman"/>
                <w:sz w:val="22"/>
                <w:szCs w:val="24"/>
              </w:rPr>
            </w:pPr>
            <w:r w:rsidRPr="006D18C5">
              <w:rPr>
                <w:rFonts w:ascii="Times New Roman" w:hAnsi="Times New Roman"/>
                <w:sz w:val="22"/>
                <w:szCs w:val="24"/>
              </w:rPr>
              <w:t xml:space="preserve">The </w:t>
            </w:r>
            <w:r w:rsidR="00AB63A9">
              <w:rPr>
                <w:rFonts w:ascii="Times New Roman" w:hAnsi="Times New Roman"/>
                <w:sz w:val="22"/>
                <w:szCs w:val="24"/>
              </w:rPr>
              <w:t>DTI ha</w:t>
            </w:r>
            <w:r w:rsidRPr="006D18C5">
              <w:rPr>
                <w:rFonts w:ascii="Times New Roman" w:hAnsi="Times New Roman"/>
                <w:sz w:val="22"/>
                <w:szCs w:val="24"/>
              </w:rPr>
              <w:t>d not reposition</w:t>
            </w:r>
            <w:r w:rsidR="00AB63A9">
              <w:rPr>
                <w:rFonts w:ascii="Times New Roman" w:hAnsi="Times New Roman"/>
                <w:sz w:val="22"/>
                <w:szCs w:val="24"/>
              </w:rPr>
              <w:t>ed</w:t>
            </w:r>
            <w:r w:rsidRPr="006D18C5">
              <w:rPr>
                <w:rFonts w:ascii="Times New Roman" w:hAnsi="Times New Roman"/>
                <w:sz w:val="22"/>
                <w:szCs w:val="24"/>
              </w:rPr>
              <w:t xml:space="preserve"> or establish</w:t>
            </w:r>
            <w:r w:rsidR="00AB63A9">
              <w:rPr>
                <w:rFonts w:ascii="Times New Roman" w:hAnsi="Times New Roman"/>
                <w:sz w:val="22"/>
                <w:szCs w:val="24"/>
              </w:rPr>
              <w:t>ed</w:t>
            </w:r>
            <w:r w:rsidRPr="006D18C5">
              <w:rPr>
                <w:rFonts w:ascii="Times New Roman" w:hAnsi="Times New Roman"/>
                <w:sz w:val="22"/>
                <w:szCs w:val="24"/>
              </w:rPr>
              <w:t xml:space="preserve"> </w:t>
            </w:r>
            <w:r w:rsidR="007070BF" w:rsidRPr="006D18C5">
              <w:rPr>
                <w:rFonts w:ascii="Times New Roman" w:hAnsi="Times New Roman"/>
                <w:sz w:val="22"/>
                <w:szCs w:val="24"/>
              </w:rPr>
              <w:t>two</w:t>
            </w:r>
            <w:r w:rsidRPr="006D18C5">
              <w:rPr>
                <w:rFonts w:ascii="Times New Roman" w:hAnsi="Times New Roman"/>
                <w:sz w:val="22"/>
                <w:szCs w:val="24"/>
              </w:rPr>
              <w:t xml:space="preserve"> institutions/entities (National Liquor and Gambling Trading Entities) as had been planned.</w:t>
            </w:r>
          </w:p>
        </w:tc>
      </w:tr>
      <w:tr w:rsidR="007070BF" w:rsidRPr="008B3829" w14:paraId="47D71EFB" w14:textId="77777777" w:rsidTr="006D18C5">
        <w:tc>
          <w:tcPr>
            <w:tcW w:w="2689" w:type="dxa"/>
          </w:tcPr>
          <w:p w14:paraId="3565A74C" w14:textId="77777777" w:rsidR="00A41195" w:rsidRPr="006D18C5" w:rsidRDefault="00A41195" w:rsidP="00586CCF">
            <w:pPr>
              <w:spacing w:after="0" w:line="360" w:lineRule="auto"/>
              <w:rPr>
                <w:rFonts w:ascii="Times New Roman" w:hAnsi="Times New Roman"/>
                <w:sz w:val="22"/>
                <w:szCs w:val="24"/>
                <w:lang w:eastAsia="en-ZA"/>
              </w:rPr>
            </w:pPr>
            <w:r w:rsidRPr="006D18C5">
              <w:rPr>
                <w:rFonts w:ascii="Times New Roman" w:hAnsi="Times New Roman"/>
                <w:sz w:val="22"/>
                <w:szCs w:val="24"/>
                <w:lang w:eastAsia="en-ZA"/>
              </w:rPr>
              <w:t>Incentive Development and Administration</w:t>
            </w:r>
          </w:p>
        </w:tc>
        <w:tc>
          <w:tcPr>
            <w:tcW w:w="1842" w:type="dxa"/>
          </w:tcPr>
          <w:p w14:paraId="17CFCDDA" w14:textId="77777777" w:rsidR="00A41195" w:rsidRPr="006D18C5" w:rsidRDefault="007070BF" w:rsidP="00586CCF">
            <w:pPr>
              <w:spacing w:after="0" w:line="360" w:lineRule="auto"/>
              <w:rPr>
                <w:rFonts w:ascii="Times New Roman" w:hAnsi="Times New Roman"/>
                <w:sz w:val="22"/>
                <w:szCs w:val="24"/>
              </w:rPr>
            </w:pPr>
            <w:r w:rsidRPr="006D18C5">
              <w:rPr>
                <w:rFonts w:ascii="Times New Roman" w:hAnsi="Times New Roman"/>
                <w:sz w:val="22"/>
                <w:szCs w:val="24"/>
              </w:rPr>
              <w:t>Achieved: 8</w:t>
            </w:r>
          </w:p>
        </w:tc>
        <w:tc>
          <w:tcPr>
            <w:tcW w:w="4303" w:type="dxa"/>
          </w:tcPr>
          <w:p w14:paraId="1A18E35D" w14:textId="77777777" w:rsidR="00A41195" w:rsidRPr="006D18C5" w:rsidRDefault="00A41195" w:rsidP="00586CCF">
            <w:pPr>
              <w:spacing w:after="0" w:line="360" w:lineRule="auto"/>
              <w:rPr>
                <w:rFonts w:ascii="Times New Roman" w:hAnsi="Times New Roman"/>
                <w:sz w:val="22"/>
                <w:szCs w:val="24"/>
              </w:rPr>
            </w:pPr>
          </w:p>
        </w:tc>
      </w:tr>
      <w:tr w:rsidR="007070BF" w:rsidRPr="008B3829" w14:paraId="25F6B4A5" w14:textId="77777777" w:rsidTr="006D18C5">
        <w:tc>
          <w:tcPr>
            <w:tcW w:w="2689" w:type="dxa"/>
          </w:tcPr>
          <w:p w14:paraId="22CC65DE" w14:textId="77777777" w:rsidR="00A41195" w:rsidRPr="006D18C5" w:rsidRDefault="00A41195" w:rsidP="00586CCF">
            <w:pPr>
              <w:spacing w:after="0" w:line="360" w:lineRule="auto"/>
              <w:rPr>
                <w:rFonts w:ascii="Times New Roman" w:hAnsi="Times New Roman"/>
                <w:sz w:val="22"/>
                <w:szCs w:val="24"/>
                <w:lang w:eastAsia="en-ZA"/>
              </w:rPr>
            </w:pPr>
            <w:r w:rsidRPr="006D18C5">
              <w:rPr>
                <w:rFonts w:ascii="Times New Roman" w:hAnsi="Times New Roman"/>
                <w:sz w:val="22"/>
                <w:szCs w:val="24"/>
                <w:lang w:eastAsia="en-ZA"/>
              </w:rPr>
              <w:t>Trade Export South Africa</w:t>
            </w:r>
          </w:p>
        </w:tc>
        <w:tc>
          <w:tcPr>
            <w:tcW w:w="1842" w:type="dxa"/>
          </w:tcPr>
          <w:p w14:paraId="166CB198" w14:textId="77777777" w:rsidR="00A41195" w:rsidRPr="006D18C5" w:rsidRDefault="007070BF" w:rsidP="00586CCF">
            <w:pPr>
              <w:spacing w:after="0" w:line="360" w:lineRule="auto"/>
              <w:rPr>
                <w:rFonts w:ascii="Times New Roman" w:hAnsi="Times New Roman"/>
                <w:sz w:val="22"/>
                <w:szCs w:val="24"/>
              </w:rPr>
            </w:pPr>
            <w:r w:rsidRPr="006D18C5">
              <w:rPr>
                <w:rFonts w:ascii="Times New Roman" w:hAnsi="Times New Roman"/>
                <w:sz w:val="22"/>
                <w:szCs w:val="24"/>
              </w:rPr>
              <w:t>Achieved: 1</w:t>
            </w:r>
          </w:p>
        </w:tc>
        <w:tc>
          <w:tcPr>
            <w:tcW w:w="4303" w:type="dxa"/>
          </w:tcPr>
          <w:p w14:paraId="62E5D3AE" w14:textId="77777777" w:rsidR="00A41195" w:rsidRPr="006D18C5" w:rsidRDefault="00A41195" w:rsidP="00586CCF">
            <w:pPr>
              <w:spacing w:after="0" w:line="360" w:lineRule="auto"/>
              <w:rPr>
                <w:rFonts w:ascii="Times New Roman" w:hAnsi="Times New Roman"/>
                <w:sz w:val="22"/>
                <w:szCs w:val="24"/>
              </w:rPr>
            </w:pPr>
          </w:p>
        </w:tc>
      </w:tr>
      <w:tr w:rsidR="007070BF" w:rsidRPr="008B3829" w14:paraId="57A25DD3" w14:textId="77777777" w:rsidTr="006D18C5">
        <w:tc>
          <w:tcPr>
            <w:tcW w:w="2689" w:type="dxa"/>
          </w:tcPr>
          <w:p w14:paraId="047CF024" w14:textId="77777777" w:rsidR="00A41195" w:rsidRPr="006D18C5" w:rsidRDefault="00A41195" w:rsidP="00586CCF">
            <w:pPr>
              <w:spacing w:after="0" w:line="360" w:lineRule="auto"/>
              <w:rPr>
                <w:rFonts w:ascii="Times New Roman" w:hAnsi="Times New Roman"/>
                <w:sz w:val="22"/>
                <w:szCs w:val="24"/>
                <w:lang w:eastAsia="en-ZA"/>
              </w:rPr>
            </w:pPr>
            <w:r w:rsidRPr="006D18C5">
              <w:rPr>
                <w:rFonts w:ascii="Times New Roman" w:hAnsi="Times New Roman"/>
                <w:sz w:val="22"/>
                <w:szCs w:val="24"/>
                <w:lang w:eastAsia="en-ZA"/>
              </w:rPr>
              <w:t>Investment South Africa</w:t>
            </w:r>
          </w:p>
        </w:tc>
        <w:tc>
          <w:tcPr>
            <w:tcW w:w="1842" w:type="dxa"/>
          </w:tcPr>
          <w:p w14:paraId="48155285" w14:textId="77777777" w:rsidR="00A41195" w:rsidRPr="006D18C5" w:rsidRDefault="007070BF" w:rsidP="00586CCF">
            <w:pPr>
              <w:spacing w:after="0" w:line="360" w:lineRule="auto"/>
              <w:rPr>
                <w:rFonts w:ascii="Times New Roman" w:hAnsi="Times New Roman"/>
                <w:sz w:val="22"/>
                <w:szCs w:val="24"/>
              </w:rPr>
            </w:pPr>
            <w:r w:rsidRPr="006D18C5">
              <w:rPr>
                <w:rFonts w:ascii="Times New Roman" w:hAnsi="Times New Roman"/>
                <w:sz w:val="22"/>
                <w:szCs w:val="24"/>
              </w:rPr>
              <w:t>Achieved: 1</w:t>
            </w:r>
          </w:p>
        </w:tc>
        <w:tc>
          <w:tcPr>
            <w:tcW w:w="4303" w:type="dxa"/>
          </w:tcPr>
          <w:p w14:paraId="750B900E" w14:textId="77777777" w:rsidR="00A41195" w:rsidRPr="006D18C5" w:rsidRDefault="00A41195" w:rsidP="00586CCF">
            <w:pPr>
              <w:spacing w:after="0" w:line="360" w:lineRule="auto"/>
              <w:rPr>
                <w:rFonts w:ascii="Times New Roman" w:hAnsi="Times New Roman"/>
                <w:sz w:val="22"/>
                <w:szCs w:val="24"/>
              </w:rPr>
            </w:pPr>
          </w:p>
        </w:tc>
      </w:tr>
    </w:tbl>
    <w:p w14:paraId="0AF6417F" w14:textId="77777777" w:rsidR="00A41195" w:rsidRPr="00586CCF" w:rsidRDefault="00A41195" w:rsidP="00586CCF">
      <w:pPr>
        <w:spacing w:line="360" w:lineRule="auto"/>
        <w:rPr>
          <w:rFonts w:ascii="Times New Roman" w:hAnsi="Times New Roman" w:cs="Times New Roman"/>
          <w:sz w:val="24"/>
          <w:szCs w:val="24"/>
        </w:rPr>
      </w:pPr>
    </w:p>
    <w:p w14:paraId="243B5073" w14:textId="77777777" w:rsidR="00A41195" w:rsidRPr="00586CCF" w:rsidRDefault="00A41195" w:rsidP="009D5D24">
      <w:pPr>
        <w:pStyle w:val="Heading2"/>
        <w:numPr>
          <w:ilvl w:val="3"/>
          <w:numId w:val="22"/>
        </w:numPr>
        <w:spacing w:before="0" w:line="360" w:lineRule="auto"/>
        <w:rPr>
          <w:rFonts w:ascii="Times New Roman" w:hAnsi="Times New Roman" w:cs="Times New Roman"/>
          <w:color w:val="auto"/>
          <w:sz w:val="24"/>
          <w:szCs w:val="24"/>
        </w:rPr>
      </w:pPr>
      <w:r w:rsidRPr="00586CCF">
        <w:rPr>
          <w:rFonts w:ascii="Times New Roman" w:hAnsi="Times New Roman" w:cs="Times New Roman"/>
          <w:color w:val="auto"/>
          <w:sz w:val="24"/>
          <w:szCs w:val="24"/>
        </w:rPr>
        <w:t>Incentive Performance</w:t>
      </w:r>
    </w:p>
    <w:p w14:paraId="1289FECE" w14:textId="77777777" w:rsidR="00A41195" w:rsidRPr="00586CCF" w:rsidRDefault="00A41195" w:rsidP="00586CCF">
      <w:pPr>
        <w:spacing w:line="360" w:lineRule="auto"/>
        <w:rPr>
          <w:rFonts w:ascii="Times New Roman" w:hAnsi="Times New Roman" w:cs="Times New Roman"/>
          <w:sz w:val="24"/>
          <w:szCs w:val="24"/>
        </w:rPr>
      </w:pPr>
    </w:p>
    <w:p w14:paraId="5300F30F" w14:textId="77777777" w:rsidR="00A41195" w:rsidRPr="00586CCF" w:rsidRDefault="00A41195"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The Incentive Development Programme accounts for the large</w:t>
      </w:r>
      <w:r w:rsidR="007070BF">
        <w:rPr>
          <w:rFonts w:ascii="Times New Roman" w:hAnsi="Times New Roman" w:cs="Times New Roman"/>
          <w:sz w:val="24"/>
          <w:szCs w:val="24"/>
        </w:rPr>
        <w:t>st</w:t>
      </w:r>
      <w:r w:rsidRPr="00586CCF">
        <w:rPr>
          <w:rFonts w:ascii="Times New Roman" w:hAnsi="Times New Roman" w:cs="Times New Roman"/>
          <w:sz w:val="24"/>
          <w:szCs w:val="24"/>
        </w:rPr>
        <w:t xml:space="preserve"> share of the </w:t>
      </w:r>
      <w:r w:rsidR="007070BF" w:rsidRPr="00586CCF">
        <w:rPr>
          <w:rFonts w:ascii="Times New Roman" w:hAnsi="Times New Roman" w:cs="Times New Roman"/>
          <w:sz w:val="24"/>
          <w:szCs w:val="24"/>
        </w:rPr>
        <w:t>D</w:t>
      </w:r>
      <w:r w:rsidR="007070BF">
        <w:rPr>
          <w:rFonts w:ascii="Times New Roman" w:hAnsi="Times New Roman" w:cs="Times New Roman"/>
          <w:sz w:val="24"/>
          <w:szCs w:val="24"/>
        </w:rPr>
        <w:t>TI</w:t>
      </w:r>
      <w:r w:rsidR="007070BF" w:rsidRPr="00586CCF">
        <w:rPr>
          <w:rFonts w:ascii="Times New Roman" w:hAnsi="Times New Roman" w:cs="Times New Roman"/>
          <w:sz w:val="24"/>
          <w:szCs w:val="24"/>
        </w:rPr>
        <w:t xml:space="preserve">’s </w:t>
      </w:r>
      <w:r w:rsidRPr="00586CCF">
        <w:rPr>
          <w:rFonts w:ascii="Times New Roman" w:hAnsi="Times New Roman" w:cs="Times New Roman"/>
          <w:sz w:val="24"/>
          <w:szCs w:val="24"/>
        </w:rPr>
        <w:t>budget and contribute</w:t>
      </w:r>
      <w:r w:rsidR="007070BF">
        <w:rPr>
          <w:rFonts w:ascii="Times New Roman" w:hAnsi="Times New Roman" w:cs="Times New Roman"/>
          <w:sz w:val="24"/>
          <w:szCs w:val="24"/>
        </w:rPr>
        <w:t>s</w:t>
      </w:r>
      <w:r w:rsidRPr="00586CCF">
        <w:rPr>
          <w:rFonts w:ascii="Times New Roman" w:hAnsi="Times New Roman" w:cs="Times New Roman"/>
          <w:sz w:val="24"/>
          <w:szCs w:val="24"/>
        </w:rPr>
        <w:t xml:space="preserve"> towards the achievement of two strategic objectives</w:t>
      </w:r>
      <w:r w:rsidR="007070BF">
        <w:rPr>
          <w:rFonts w:ascii="Times New Roman" w:hAnsi="Times New Roman" w:cs="Times New Roman"/>
          <w:sz w:val="24"/>
          <w:szCs w:val="24"/>
        </w:rPr>
        <w:t>, namely</w:t>
      </w:r>
      <w:r w:rsidRPr="00586CCF">
        <w:rPr>
          <w:rFonts w:ascii="Times New Roman" w:hAnsi="Times New Roman" w:cs="Times New Roman"/>
          <w:sz w:val="24"/>
          <w:szCs w:val="24"/>
        </w:rPr>
        <w:t>:</w:t>
      </w:r>
    </w:p>
    <w:p w14:paraId="66797890" w14:textId="77777777" w:rsidR="00A41195" w:rsidRPr="00586CCF" w:rsidRDefault="00A41195" w:rsidP="00586CCF">
      <w:pPr>
        <w:spacing w:line="360" w:lineRule="auto"/>
        <w:rPr>
          <w:rFonts w:ascii="Times New Roman" w:hAnsi="Times New Roman" w:cs="Times New Roman"/>
          <w:sz w:val="24"/>
          <w:szCs w:val="24"/>
        </w:rPr>
      </w:pPr>
    </w:p>
    <w:p w14:paraId="5D131EA7" w14:textId="77777777" w:rsidR="00A41195" w:rsidRPr="00586CCF" w:rsidRDefault="00A41195" w:rsidP="009D5D24">
      <w:pPr>
        <w:pStyle w:val="ListParagraph"/>
        <w:numPr>
          <w:ilvl w:val="0"/>
          <w:numId w:val="14"/>
        </w:numPr>
        <w:spacing w:line="360" w:lineRule="auto"/>
        <w:contextualSpacing w:val="0"/>
        <w:rPr>
          <w:rFonts w:ascii="Times New Roman" w:hAnsi="Times New Roman" w:cs="Times New Roman"/>
          <w:sz w:val="24"/>
          <w:szCs w:val="24"/>
        </w:rPr>
      </w:pPr>
      <w:r w:rsidRPr="00586CCF">
        <w:rPr>
          <w:rFonts w:ascii="Times New Roman" w:hAnsi="Times New Roman" w:cs="Times New Roman"/>
          <w:sz w:val="24"/>
          <w:szCs w:val="24"/>
        </w:rPr>
        <w:t>Grow</w:t>
      </w:r>
      <w:r w:rsidR="007070BF">
        <w:rPr>
          <w:rFonts w:ascii="Times New Roman" w:hAnsi="Times New Roman" w:cs="Times New Roman"/>
          <w:sz w:val="24"/>
          <w:szCs w:val="24"/>
        </w:rPr>
        <w:t>ing</w:t>
      </w:r>
      <w:r w:rsidRPr="00586CCF">
        <w:rPr>
          <w:rFonts w:ascii="Times New Roman" w:hAnsi="Times New Roman" w:cs="Times New Roman"/>
          <w:sz w:val="24"/>
          <w:szCs w:val="24"/>
        </w:rPr>
        <w:t xml:space="preserve"> the manufacturing sector to promote industrial development, job creation, investment and export.</w:t>
      </w:r>
    </w:p>
    <w:p w14:paraId="418BCD8D" w14:textId="77777777" w:rsidR="00A41195" w:rsidRPr="00586CCF" w:rsidRDefault="00A41195" w:rsidP="009D5D24">
      <w:pPr>
        <w:pStyle w:val="ListParagraph"/>
        <w:numPr>
          <w:ilvl w:val="0"/>
          <w:numId w:val="14"/>
        </w:numPr>
        <w:spacing w:line="360" w:lineRule="auto"/>
        <w:contextualSpacing w:val="0"/>
        <w:rPr>
          <w:rFonts w:ascii="Times New Roman" w:hAnsi="Times New Roman" w:cs="Times New Roman"/>
          <w:sz w:val="24"/>
          <w:szCs w:val="24"/>
        </w:rPr>
      </w:pPr>
      <w:r w:rsidRPr="00586CCF">
        <w:rPr>
          <w:rFonts w:ascii="Times New Roman" w:hAnsi="Times New Roman" w:cs="Times New Roman"/>
          <w:sz w:val="24"/>
          <w:szCs w:val="24"/>
        </w:rPr>
        <w:t>Facilitat</w:t>
      </w:r>
      <w:r w:rsidR="007070BF">
        <w:rPr>
          <w:rFonts w:ascii="Times New Roman" w:hAnsi="Times New Roman" w:cs="Times New Roman"/>
          <w:sz w:val="24"/>
          <w:szCs w:val="24"/>
        </w:rPr>
        <w:t>ing</w:t>
      </w:r>
      <w:r w:rsidRPr="00586CCF">
        <w:rPr>
          <w:rFonts w:ascii="Times New Roman" w:hAnsi="Times New Roman" w:cs="Times New Roman"/>
          <w:sz w:val="24"/>
          <w:szCs w:val="24"/>
        </w:rPr>
        <w:t xml:space="preserve"> transformation of the economy to promote industrial development, investment, competitiveness and employment creation</w:t>
      </w:r>
      <w:r w:rsidR="00586CCF">
        <w:rPr>
          <w:rFonts w:ascii="Times New Roman" w:hAnsi="Times New Roman" w:cs="Times New Roman"/>
          <w:sz w:val="24"/>
          <w:szCs w:val="24"/>
        </w:rPr>
        <w:t>.</w:t>
      </w:r>
    </w:p>
    <w:p w14:paraId="2B596EBE" w14:textId="77777777" w:rsidR="00A41195" w:rsidRPr="00586CCF" w:rsidRDefault="00A41195" w:rsidP="00586CCF">
      <w:pPr>
        <w:spacing w:line="360" w:lineRule="auto"/>
        <w:rPr>
          <w:rFonts w:ascii="Times New Roman" w:hAnsi="Times New Roman" w:cs="Times New Roman"/>
          <w:sz w:val="24"/>
          <w:szCs w:val="24"/>
        </w:rPr>
      </w:pPr>
    </w:p>
    <w:p w14:paraId="20FA44AB" w14:textId="77777777" w:rsidR="00A41195" w:rsidRPr="00586CCF" w:rsidRDefault="00A41195"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For the financial year, the programme ha</w:t>
      </w:r>
      <w:r w:rsidR="007070BF">
        <w:rPr>
          <w:rFonts w:ascii="Times New Roman" w:hAnsi="Times New Roman" w:cs="Times New Roman"/>
          <w:sz w:val="24"/>
          <w:szCs w:val="24"/>
        </w:rPr>
        <w:t>d</w:t>
      </w:r>
      <w:r w:rsidRPr="00586CCF">
        <w:rPr>
          <w:rFonts w:ascii="Times New Roman" w:hAnsi="Times New Roman" w:cs="Times New Roman"/>
          <w:sz w:val="24"/>
          <w:szCs w:val="24"/>
        </w:rPr>
        <w:t xml:space="preserve"> out-performed all its targets in terms of investment facilitated, exports, and jobs created/retained.  </w:t>
      </w:r>
    </w:p>
    <w:p w14:paraId="3C291F33" w14:textId="77777777" w:rsidR="00432CE0" w:rsidRPr="00586CCF" w:rsidRDefault="00432CE0" w:rsidP="00586CCF">
      <w:pPr>
        <w:spacing w:line="360" w:lineRule="auto"/>
        <w:rPr>
          <w:rFonts w:ascii="Times New Roman" w:hAnsi="Times New Roman" w:cs="Times New Roman"/>
          <w:sz w:val="24"/>
          <w:szCs w:val="24"/>
        </w:rPr>
      </w:pPr>
    </w:p>
    <w:p w14:paraId="109EC185" w14:textId="77777777" w:rsidR="00A41195" w:rsidRPr="00586CCF" w:rsidRDefault="00586CCF" w:rsidP="006D18C5">
      <w:pPr>
        <w:rPr>
          <w:rFonts w:ascii="Times New Roman" w:hAnsi="Times New Roman" w:cs="Times New Roman"/>
          <w:b/>
          <w:sz w:val="24"/>
          <w:szCs w:val="24"/>
        </w:rPr>
      </w:pPr>
      <w:r>
        <w:rPr>
          <w:rFonts w:ascii="Times New Roman" w:hAnsi="Times New Roman" w:cs="Times New Roman"/>
          <w:b/>
          <w:sz w:val="24"/>
          <w:szCs w:val="24"/>
        </w:rPr>
        <w:t>Table 3</w:t>
      </w:r>
      <w:r w:rsidR="00A41195" w:rsidRPr="00586CCF">
        <w:rPr>
          <w:rFonts w:ascii="Times New Roman" w:hAnsi="Times New Roman" w:cs="Times New Roman"/>
          <w:b/>
          <w:sz w:val="24"/>
          <w:szCs w:val="24"/>
        </w:rPr>
        <w:t>: Incentive Administration Performance</w:t>
      </w:r>
    </w:p>
    <w:tbl>
      <w:tblPr>
        <w:tblW w:w="0" w:type="auto"/>
        <w:tblInd w:w="-5" w:type="dxa"/>
        <w:tblLayout w:type="fixed"/>
        <w:tblLook w:val="04A0" w:firstRow="1" w:lastRow="0" w:firstColumn="1" w:lastColumn="0" w:noHBand="0" w:noVBand="1"/>
      </w:tblPr>
      <w:tblGrid>
        <w:gridCol w:w="5812"/>
        <w:gridCol w:w="1418"/>
        <w:gridCol w:w="1609"/>
      </w:tblGrid>
      <w:tr w:rsidR="00586CCF" w:rsidRPr="008B3829" w14:paraId="7F6B12D7" w14:textId="77777777" w:rsidTr="0055458E">
        <w:trPr>
          <w:tblHeader/>
        </w:trPr>
        <w:tc>
          <w:tcPr>
            <w:tcW w:w="5812"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3572C490" w14:textId="77777777" w:rsidR="00A41195" w:rsidRPr="006D18C5" w:rsidRDefault="00A41195" w:rsidP="00586CCF">
            <w:pPr>
              <w:spacing w:line="360" w:lineRule="auto"/>
              <w:jc w:val="center"/>
              <w:rPr>
                <w:rFonts w:ascii="Times New Roman" w:hAnsi="Times New Roman" w:cs="Times New Roman"/>
                <w:b/>
                <w:bCs/>
                <w:szCs w:val="24"/>
                <w:lang w:eastAsia="en-ZA"/>
              </w:rPr>
            </w:pPr>
          </w:p>
        </w:tc>
        <w:tc>
          <w:tcPr>
            <w:tcW w:w="3027"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EB9977" w14:textId="77777777" w:rsidR="00A41195" w:rsidRPr="006D18C5" w:rsidRDefault="00A41195" w:rsidP="00586CCF">
            <w:pPr>
              <w:spacing w:line="360" w:lineRule="auto"/>
              <w:jc w:val="center"/>
              <w:rPr>
                <w:rFonts w:ascii="Times New Roman" w:hAnsi="Times New Roman" w:cs="Times New Roman"/>
                <w:b/>
                <w:bCs/>
                <w:szCs w:val="24"/>
                <w:lang w:eastAsia="en-ZA"/>
              </w:rPr>
            </w:pPr>
            <w:r w:rsidRPr="006D18C5">
              <w:rPr>
                <w:rFonts w:ascii="Times New Roman" w:hAnsi="Times New Roman" w:cs="Times New Roman"/>
                <w:b/>
                <w:bCs/>
                <w:szCs w:val="24"/>
                <w:lang w:eastAsia="en-ZA"/>
              </w:rPr>
              <w:t>2016/17</w:t>
            </w:r>
          </w:p>
        </w:tc>
      </w:tr>
      <w:tr w:rsidR="00586CCF" w:rsidRPr="008B3829" w14:paraId="7607CFDA" w14:textId="77777777" w:rsidTr="0055458E">
        <w:trPr>
          <w:tblHeader/>
        </w:trPr>
        <w:tc>
          <w:tcPr>
            <w:tcW w:w="5812"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9BEAD2E" w14:textId="77777777" w:rsidR="00A41195" w:rsidRPr="006D18C5" w:rsidRDefault="00A41195" w:rsidP="00586CCF">
            <w:pPr>
              <w:spacing w:line="360" w:lineRule="auto"/>
              <w:jc w:val="center"/>
              <w:rPr>
                <w:rFonts w:ascii="Times New Roman" w:hAnsi="Times New Roman" w:cs="Times New Roman"/>
                <w:b/>
                <w:bCs/>
                <w:szCs w:val="24"/>
                <w:lang w:eastAsia="en-ZA"/>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14:paraId="330686EB" w14:textId="77777777" w:rsidR="00A41195" w:rsidRPr="006D18C5" w:rsidRDefault="00A41195" w:rsidP="00586CCF">
            <w:pPr>
              <w:spacing w:line="360" w:lineRule="auto"/>
              <w:jc w:val="center"/>
              <w:rPr>
                <w:rFonts w:ascii="Times New Roman" w:hAnsi="Times New Roman" w:cs="Times New Roman"/>
                <w:b/>
                <w:bCs/>
                <w:szCs w:val="24"/>
                <w:lang w:eastAsia="en-ZA"/>
              </w:rPr>
            </w:pPr>
            <w:r w:rsidRPr="006D18C5">
              <w:rPr>
                <w:rFonts w:ascii="Times New Roman" w:hAnsi="Times New Roman" w:cs="Times New Roman"/>
                <w:b/>
                <w:bCs/>
                <w:szCs w:val="24"/>
                <w:lang w:eastAsia="en-ZA"/>
              </w:rPr>
              <w:t>Target</w:t>
            </w:r>
          </w:p>
        </w:tc>
        <w:tc>
          <w:tcPr>
            <w:tcW w:w="1609" w:type="dxa"/>
            <w:tcBorders>
              <w:top w:val="nil"/>
              <w:left w:val="nil"/>
              <w:bottom w:val="single" w:sz="4" w:space="0" w:color="auto"/>
              <w:right w:val="single" w:sz="4" w:space="0" w:color="auto"/>
            </w:tcBorders>
            <w:shd w:val="clear" w:color="auto" w:fill="BFBFBF" w:themeFill="background1" w:themeFillShade="BF"/>
            <w:vAlign w:val="center"/>
            <w:hideMark/>
          </w:tcPr>
          <w:p w14:paraId="1C72AA9B" w14:textId="77777777" w:rsidR="00A41195" w:rsidRPr="006D18C5" w:rsidRDefault="00A41195" w:rsidP="00586CCF">
            <w:pPr>
              <w:spacing w:line="360" w:lineRule="auto"/>
              <w:jc w:val="center"/>
              <w:rPr>
                <w:rFonts w:ascii="Times New Roman" w:hAnsi="Times New Roman" w:cs="Times New Roman"/>
                <w:b/>
                <w:bCs/>
                <w:szCs w:val="24"/>
                <w:lang w:eastAsia="en-ZA"/>
              </w:rPr>
            </w:pPr>
            <w:r w:rsidRPr="006D18C5">
              <w:rPr>
                <w:rFonts w:ascii="Times New Roman" w:hAnsi="Times New Roman" w:cs="Times New Roman"/>
                <w:b/>
                <w:bCs/>
                <w:szCs w:val="24"/>
                <w:lang w:eastAsia="en-ZA"/>
              </w:rPr>
              <w:t>Actual Achievement</w:t>
            </w:r>
          </w:p>
        </w:tc>
      </w:tr>
      <w:tr w:rsidR="00A41195" w:rsidRPr="008B3829" w14:paraId="3B699682" w14:textId="77777777" w:rsidTr="0055458E">
        <w:tc>
          <w:tcPr>
            <w:tcW w:w="5812" w:type="dxa"/>
            <w:tcBorders>
              <w:top w:val="nil"/>
              <w:left w:val="single" w:sz="4" w:space="0" w:color="auto"/>
              <w:bottom w:val="single" w:sz="4" w:space="0" w:color="auto"/>
              <w:right w:val="single" w:sz="4" w:space="0" w:color="auto"/>
            </w:tcBorders>
            <w:shd w:val="clear" w:color="auto" w:fill="auto"/>
            <w:vAlign w:val="bottom"/>
            <w:hideMark/>
          </w:tcPr>
          <w:p w14:paraId="24BDCC58" w14:textId="77777777" w:rsidR="00A41195" w:rsidRPr="006D18C5" w:rsidRDefault="00A41195">
            <w:pPr>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Value of projected investments to be leveraged from</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projects/enterprises approved</w:t>
            </w:r>
          </w:p>
        </w:tc>
        <w:tc>
          <w:tcPr>
            <w:tcW w:w="1418" w:type="dxa"/>
            <w:tcBorders>
              <w:top w:val="nil"/>
              <w:left w:val="nil"/>
              <w:bottom w:val="single" w:sz="4" w:space="0" w:color="auto"/>
              <w:right w:val="single" w:sz="4" w:space="0" w:color="auto"/>
            </w:tcBorders>
            <w:shd w:val="clear" w:color="auto" w:fill="auto"/>
            <w:noWrap/>
            <w:vAlign w:val="center"/>
          </w:tcPr>
          <w:p w14:paraId="2055000C"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R20</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b</w:t>
            </w:r>
            <w:r w:rsidR="007070BF" w:rsidRPr="006D18C5">
              <w:rPr>
                <w:rFonts w:ascii="Times New Roman" w:hAnsi="Times New Roman" w:cs="Times New Roman"/>
                <w:szCs w:val="24"/>
                <w:lang w:eastAsia="en-ZA"/>
              </w:rPr>
              <w:t>illio</w:t>
            </w:r>
            <w:r w:rsidRPr="006D18C5">
              <w:rPr>
                <w:rFonts w:ascii="Times New Roman" w:hAnsi="Times New Roman" w:cs="Times New Roman"/>
                <w:szCs w:val="24"/>
                <w:lang w:eastAsia="en-ZA"/>
              </w:rPr>
              <w:t>n</w:t>
            </w:r>
          </w:p>
        </w:tc>
        <w:tc>
          <w:tcPr>
            <w:tcW w:w="1609" w:type="dxa"/>
            <w:tcBorders>
              <w:top w:val="nil"/>
              <w:left w:val="nil"/>
              <w:bottom w:val="single" w:sz="4" w:space="0" w:color="auto"/>
              <w:right w:val="single" w:sz="4" w:space="0" w:color="auto"/>
            </w:tcBorders>
            <w:shd w:val="clear" w:color="auto" w:fill="auto"/>
            <w:noWrap/>
            <w:vAlign w:val="center"/>
          </w:tcPr>
          <w:p w14:paraId="77EF890C"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R33</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b</w:t>
            </w:r>
            <w:r w:rsidR="007070BF" w:rsidRPr="006D18C5">
              <w:rPr>
                <w:rFonts w:ascii="Times New Roman" w:hAnsi="Times New Roman" w:cs="Times New Roman"/>
                <w:szCs w:val="24"/>
                <w:lang w:eastAsia="en-ZA"/>
              </w:rPr>
              <w:t>illio</w:t>
            </w:r>
            <w:r w:rsidRPr="006D18C5">
              <w:rPr>
                <w:rFonts w:ascii="Times New Roman" w:hAnsi="Times New Roman" w:cs="Times New Roman"/>
                <w:szCs w:val="24"/>
                <w:lang w:eastAsia="en-ZA"/>
              </w:rPr>
              <w:t>n</w:t>
            </w:r>
          </w:p>
        </w:tc>
      </w:tr>
      <w:tr w:rsidR="00A41195" w:rsidRPr="008B3829" w14:paraId="4DD8EBD1" w14:textId="77777777" w:rsidTr="0055458E">
        <w:tc>
          <w:tcPr>
            <w:tcW w:w="5812" w:type="dxa"/>
            <w:tcBorders>
              <w:top w:val="nil"/>
              <w:left w:val="single" w:sz="4" w:space="0" w:color="auto"/>
              <w:bottom w:val="single" w:sz="4" w:space="0" w:color="auto"/>
              <w:right w:val="single" w:sz="4" w:space="0" w:color="auto"/>
            </w:tcBorders>
            <w:shd w:val="clear" w:color="auto" w:fill="auto"/>
            <w:vAlign w:val="bottom"/>
            <w:hideMark/>
          </w:tcPr>
          <w:p w14:paraId="5CBFCA86" w14:textId="77777777" w:rsidR="00A41195" w:rsidRPr="006D18C5" w:rsidRDefault="00A41195">
            <w:pPr>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Projected number of new jobs supported from projects/enterprises approved</w:t>
            </w:r>
          </w:p>
        </w:tc>
        <w:tc>
          <w:tcPr>
            <w:tcW w:w="1418" w:type="dxa"/>
            <w:tcBorders>
              <w:top w:val="nil"/>
              <w:left w:val="nil"/>
              <w:bottom w:val="single" w:sz="4" w:space="0" w:color="auto"/>
              <w:right w:val="single" w:sz="4" w:space="0" w:color="auto"/>
            </w:tcBorders>
            <w:shd w:val="clear" w:color="auto" w:fill="auto"/>
            <w:noWrap/>
            <w:vAlign w:val="center"/>
          </w:tcPr>
          <w:p w14:paraId="44C95397"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3 600</w:t>
            </w:r>
          </w:p>
        </w:tc>
        <w:tc>
          <w:tcPr>
            <w:tcW w:w="1609" w:type="dxa"/>
            <w:tcBorders>
              <w:top w:val="nil"/>
              <w:left w:val="nil"/>
              <w:bottom w:val="single" w:sz="4" w:space="0" w:color="auto"/>
              <w:right w:val="single" w:sz="4" w:space="0" w:color="auto"/>
            </w:tcBorders>
            <w:shd w:val="clear" w:color="auto" w:fill="auto"/>
            <w:noWrap/>
            <w:vAlign w:val="center"/>
          </w:tcPr>
          <w:p w14:paraId="7A98AAAF"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11 659</w:t>
            </w:r>
          </w:p>
        </w:tc>
      </w:tr>
      <w:tr w:rsidR="00A41195" w:rsidRPr="008B3829" w14:paraId="02EC5BFA" w14:textId="77777777" w:rsidTr="0055458E">
        <w:tc>
          <w:tcPr>
            <w:tcW w:w="5812" w:type="dxa"/>
            <w:tcBorders>
              <w:top w:val="nil"/>
              <w:left w:val="single" w:sz="4" w:space="0" w:color="auto"/>
              <w:bottom w:val="single" w:sz="4" w:space="0" w:color="auto"/>
              <w:right w:val="single" w:sz="4" w:space="0" w:color="auto"/>
            </w:tcBorders>
            <w:shd w:val="clear" w:color="auto" w:fill="auto"/>
            <w:vAlign w:val="bottom"/>
            <w:hideMark/>
          </w:tcPr>
          <w:p w14:paraId="15DB8EAA" w14:textId="77777777" w:rsidR="00A41195" w:rsidRPr="006D18C5" w:rsidRDefault="00A41195" w:rsidP="00586CCF">
            <w:pPr>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Projected number of jobs to be retained from approved enterprises</w:t>
            </w:r>
          </w:p>
        </w:tc>
        <w:tc>
          <w:tcPr>
            <w:tcW w:w="1418" w:type="dxa"/>
            <w:tcBorders>
              <w:top w:val="nil"/>
              <w:left w:val="nil"/>
              <w:bottom w:val="single" w:sz="4" w:space="0" w:color="auto"/>
              <w:right w:val="single" w:sz="4" w:space="0" w:color="auto"/>
            </w:tcBorders>
            <w:shd w:val="clear" w:color="auto" w:fill="auto"/>
            <w:noWrap/>
            <w:vAlign w:val="center"/>
          </w:tcPr>
          <w:p w14:paraId="22FCCC27"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3 600</w:t>
            </w:r>
          </w:p>
        </w:tc>
        <w:tc>
          <w:tcPr>
            <w:tcW w:w="1609" w:type="dxa"/>
            <w:tcBorders>
              <w:top w:val="nil"/>
              <w:left w:val="nil"/>
              <w:bottom w:val="single" w:sz="4" w:space="0" w:color="auto"/>
              <w:right w:val="single" w:sz="4" w:space="0" w:color="auto"/>
            </w:tcBorders>
            <w:shd w:val="clear" w:color="auto" w:fill="auto"/>
            <w:noWrap/>
            <w:vAlign w:val="center"/>
          </w:tcPr>
          <w:p w14:paraId="5730B714"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38 192</w:t>
            </w:r>
          </w:p>
        </w:tc>
      </w:tr>
      <w:tr w:rsidR="00A41195" w:rsidRPr="008B3829" w14:paraId="6D66A3C8" w14:textId="77777777" w:rsidTr="0055458E">
        <w:tc>
          <w:tcPr>
            <w:tcW w:w="5812" w:type="dxa"/>
            <w:tcBorders>
              <w:top w:val="nil"/>
              <w:left w:val="single" w:sz="4" w:space="0" w:color="auto"/>
              <w:bottom w:val="single" w:sz="4" w:space="0" w:color="auto"/>
              <w:right w:val="single" w:sz="4" w:space="0" w:color="auto"/>
            </w:tcBorders>
            <w:shd w:val="clear" w:color="auto" w:fill="auto"/>
            <w:vAlign w:val="bottom"/>
            <w:hideMark/>
          </w:tcPr>
          <w:p w14:paraId="409133E7" w14:textId="77777777" w:rsidR="00A41195" w:rsidRPr="006D18C5" w:rsidRDefault="00A41195">
            <w:pPr>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Value of support provided to upgrade industrial skills</w:t>
            </w:r>
            <w:r w:rsidR="0022436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from approved projects</w:t>
            </w:r>
          </w:p>
        </w:tc>
        <w:tc>
          <w:tcPr>
            <w:tcW w:w="1418" w:type="dxa"/>
            <w:tcBorders>
              <w:top w:val="nil"/>
              <w:left w:val="nil"/>
              <w:bottom w:val="single" w:sz="4" w:space="0" w:color="auto"/>
              <w:right w:val="single" w:sz="4" w:space="0" w:color="auto"/>
            </w:tcBorders>
            <w:shd w:val="clear" w:color="auto" w:fill="auto"/>
            <w:noWrap/>
            <w:vAlign w:val="center"/>
          </w:tcPr>
          <w:p w14:paraId="1D80F399"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R100</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m</w:t>
            </w:r>
            <w:r w:rsidR="007070BF" w:rsidRPr="006D18C5">
              <w:rPr>
                <w:rFonts w:ascii="Times New Roman" w:hAnsi="Times New Roman" w:cs="Times New Roman"/>
                <w:szCs w:val="24"/>
                <w:lang w:eastAsia="en-ZA"/>
              </w:rPr>
              <w:t>illion</w:t>
            </w:r>
          </w:p>
        </w:tc>
        <w:tc>
          <w:tcPr>
            <w:tcW w:w="1609" w:type="dxa"/>
            <w:tcBorders>
              <w:top w:val="nil"/>
              <w:left w:val="nil"/>
              <w:bottom w:val="single" w:sz="4" w:space="0" w:color="auto"/>
              <w:right w:val="single" w:sz="4" w:space="0" w:color="auto"/>
            </w:tcBorders>
            <w:shd w:val="clear" w:color="auto" w:fill="auto"/>
            <w:noWrap/>
            <w:vAlign w:val="center"/>
          </w:tcPr>
          <w:p w14:paraId="770DF46B"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R239</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m</w:t>
            </w:r>
            <w:r w:rsidR="007070BF" w:rsidRPr="006D18C5">
              <w:rPr>
                <w:rFonts w:ascii="Times New Roman" w:hAnsi="Times New Roman" w:cs="Times New Roman"/>
                <w:szCs w:val="24"/>
                <w:lang w:eastAsia="en-ZA"/>
              </w:rPr>
              <w:t>illion</w:t>
            </w:r>
          </w:p>
        </w:tc>
      </w:tr>
      <w:tr w:rsidR="00A41195" w:rsidRPr="008B3829" w14:paraId="7054A88B" w14:textId="77777777" w:rsidTr="0055458E">
        <w:tc>
          <w:tcPr>
            <w:tcW w:w="5812" w:type="dxa"/>
            <w:tcBorders>
              <w:top w:val="nil"/>
              <w:left w:val="single" w:sz="4" w:space="0" w:color="auto"/>
              <w:bottom w:val="single" w:sz="4" w:space="0" w:color="auto"/>
              <w:right w:val="single" w:sz="4" w:space="0" w:color="auto"/>
            </w:tcBorders>
            <w:shd w:val="clear" w:color="auto" w:fill="auto"/>
            <w:vAlign w:val="bottom"/>
            <w:hideMark/>
          </w:tcPr>
          <w:p w14:paraId="15A613B0" w14:textId="77777777" w:rsidR="00A41195" w:rsidRPr="006D18C5" w:rsidRDefault="00A41195" w:rsidP="00586CCF">
            <w:pPr>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Number of strategic infrastructure projects approved for SEZs/industrial parks</w:t>
            </w:r>
          </w:p>
        </w:tc>
        <w:tc>
          <w:tcPr>
            <w:tcW w:w="1418" w:type="dxa"/>
            <w:tcBorders>
              <w:top w:val="nil"/>
              <w:left w:val="nil"/>
              <w:bottom w:val="single" w:sz="4" w:space="0" w:color="auto"/>
              <w:right w:val="single" w:sz="4" w:space="0" w:color="auto"/>
            </w:tcBorders>
            <w:shd w:val="clear" w:color="auto" w:fill="auto"/>
            <w:noWrap/>
            <w:vAlign w:val="center"/>
          </w:tcPr>
          <w:p w14:paraId="1F4E0D4C"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15</w:t>
            </w:r>
          </w:p>
        </w:tc>
        <w:tc>
          <w:tcPr>
            <w:tcW w:w="1609" w:type="dxa"/>
            <w:tcBorders>
              <w:top w:val="nil"/>
              <w:left w:val="nil"/>
              <w:bottom w:val="single" w:sz="4" w:space="0" w:color="auto"/>
              <w:right w:val="single" w:sz="4" w:space="0" w:color="auto"/>
            </w:tcBorders>
            <w:shd w:val="clear" w:color="auto" w:fill="auto"/>
            <w:noWrap/>
            <w:vAlign w:val="center"/>
          </w:tcPr>
          <w:p w14:paraId="1060E598"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19</w:t>
            </w:r>
          </w:p>
        </w:tc>
      </w:tr>
      <w:tr w:rsidR="00A41195" w:rsidRPr="008B3829" w14:paraId="4F68A364" w14:textId="77777777" w:rsidTr="0055458E">
        <w:tc>
          <w:tcPr>
            <w:tcW w:w="5812" w:type="dxa"/>
            <w:tcBorders>
              <w:top w:val="nil"/>
              <w:left w:val="single" w:sz="4" w:space="0" w:color="auto"/>
              <w:bottom w:val="single" w:sz="4" w:space="0" w:color="auto"/>
              <w:right w:val="single" w:sz="4" w:space="0" w:color="auto"/>
            </w:tcBorders>
            <w:shd w:val="clear" w:color="auto" w:fill="auto"/>
            <w:vAlign w:val="bottom"/>
            <w:hideMark/>
          </w:tcPr>
          <w:p w14:paraId="7AD2E2C4" w14:textId="77777777" w:rsidR="00A41195" w:rsidRPr="006D18C5" w:rsidRDefault="00A41195">
            <w:pPr>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Value of greener investment approved</w:t>
            </w:r>
          </w:p>
        </w:tc>
        <w:tc>
          <w:tcPr>
            <w:tcW w:w="1418" w:type="dxa"/>
            <w:tcBorders>
              <w:top w:val="nil"/>
              <w:left w:val="nil"/>
              <w:bottom w:val="single" w:sz="4" w:space="0" w:color="auto"/>
              <w:right w:val="single" w:sz="4" w:space="0" w:color="auto"/>
            </w:tcBorders>
            <w:shd w:val="clear" w:color="auto" w:fill="auto"/>
            <w:noWrap/>
            <w:vAlign w:val="center"/>
          </w:tcPr>
          <w:p w14:paraId="0752663A"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R800</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m</w:t>
            </w:r>
            <w:r w:rsidR="007070BF" w:rsidRPr="006D18C5">
              <w:rPr>
                <w:rFonts w:ascii="Times New Roman" w:hAnsi="Times New Roman" w:cs="Times New Roman"/>
                <w:szCs w:val="24"/>
                <w:lang w:eastAsia="en-ZA"/>
              </w:rPr>
              <w:t>illion</w:t>
            </w:r>
          </w:p>
        </w:tc>
        <w:tc>
          <w:tcPr>
            <w:tcW w:w="1609" w:type="dxa"/>
            <w:tcBorders>
              <w:top w:val="nil"/>
              <w:left w:val="nil"/>
              <w:bottom w:val="single" w:sz="4" w:space="0" w:color="auto"/>
              <w:right w:val="single" w:sz="4" w:space="0" w:color="auto"/>
            </w:tcBorders>
            <w:shd w:val="clear" w:color="auto" w:fill="auto"/>
            <w:noWrap/>
            <w:vAlign w:val="center"/>
          </w:tcPr>
          <w:p w14:paraId="7F287DA2"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R14</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b</w:t>
            </w:r>
            <w:r w:rsidR="007070BF" w:rsidRPr="006D18C5">
              <w:rPr>
                <w:rFonts w:ascii="Times New Roman" w:hAnsi="Times New Roman" w:cs="Times New Roman"/>
                <w:szCs w:val="24"/>
                <w:lang w:eastAsia="en-ZA"/>
              </w:rPr>
              <w:t>illio</w:t>
            </w:r>
            <w:r w:rsidRPr="006D18C5">
              <w:rPr>
                <w:rFonts w:ascii="Times New Roman" w:hAnsi="Times New Roman" w:cs="Times New Roman"/>
                <w:szCs w:val="24"/>
                <w:lang w:eastAsia="en-ZA"/>
              </w:rPr>
              <w:t>n</w:t>
            </w:r>
          </w:p>
        </w:tc>
      </w:tr>
      <w:tr w:rsidR="00A41195" w:rsidRPr="008B3829" w14:paraId="12D1DEEB" w14:textId="77777777" w:rsidTr="0055458E">
        <w:tc>
          <w:tcPr>
            <w:tcW w:w="5812" w:type="dxa"/>
            <w:tcBorders>
              <w:top w:val="nil"/>
              <w:left w:val="single" w:sz="4" w:space="0" w:color="auto"/>
              <w:bottom w:val="single" w:sz="4" w:space="0" w:color="auto"/>
              <w:right w:val="single" w:sz="4" w:space="0" w:color="auto"/>
            </w:tcBorders>
            <w:shd w:val="clear" w:color="auto" w:fill="auto"/>
            <w:vAlign w:val="bottom"/>
            <w:hideMark/>
          </w:tcPr>
          <w:p w14:paraId="7C5110C3" w14:textId="77777777" w:rsidR="00A41195" w:rsidRPr="006D18C5" w:rsidRDefault="00A41195">
            <w:pPr>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Value of projected export revenue from projects</w:t>
            </w:r>
            <w:r w:rsidR="0022436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approved</w:t>
            </w:r>
          </w:p>
        </w:tc>
        <w:tc>
          <w:tcPr>
            <w:tcW w:w="1418" w:type="dxa"/>
            <w:tcBorders>
              <w:top w:val="nil"/>
              <w:left w:val="nil"/>
              <w:bottom w:val="single" w:sz="4" w:space="0" w:color="auto"/>
              <w:right w:val="single" w:sz="4" w:space="0" w:color="auto"/>
            </w:tcBorders>
            <w:shd w:val="clear" w:color="auto" w:fill="auto"/>
            <w:noWrap/>
            <w:vAlign w:val="center"/>
          </w:tcPr>
          <w:p w14:paraId="4CFCF616"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R800</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m</w:t>
            </w:r>
            <w:r w:rsidR="007070BF" w:rsidRPr="006D18C5">
              <w:rPr>
                <w:rFonts w:ascii="Times New Roman" w:hAnsi="Times New Roman" w:cs="Times New Roman"/>
                <w:szCs w:val="24"/>
                <w:lang w:eastAsia="en-ZA"/>
              </w:rPr>
              <w:t>illion</w:t>
            </w:r>
          </w:p>
        </w:tc>
        <w:tc>
          <w:tcPr>
            <w:tcW w:w="1609" w:type="dxa"/>
            <w:tcBorders>
              <w:top w:val="nil"/>
              <w:left w:val="nil"/>
              <w:bottom w:val="single" w:sz="4" w:space="0" w:color="auto"/>
              <w:right w:val="single" w:sz="4" w:space="0" w:color="auto"/>
            </w:tcBorders>
            <w:shd w:val="clear" w:color="auto" w:fill="auto"/>
            <w:noWrap/>
            <w:vAlign w:val="center"/>
          </w:tcPr>
          <w:p w14:paraId="1F797D8A"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R7</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b</w:t>
            </w:r>
            <w:r w:rsidR="007070BF" w:rsidRPr="006D18C5">
              <w:rPr>
                <w:rFonts w:ascii="Times New Roman" w:hAnsi="Times New Roman" w:cs="Times New Roman"/>
                <w:szCs w:val="24"/>
                <w:lang w:eastAsia="en-ZA"/>
              </w:rPr>
              <w:t>illio</w:t>
            </w:r>
            <w:r w:rsidRPr="006D18C5">
              <w:rPr>
                <w:rFonts w:ascii="Times New Roman" w:hAnsi="Times New Roman" w:cs="Times New Roman"/>
                <w:szCs w:val="24"/>
                <w:lang w:eastAsia="en-ZA"/>
              </w:rPr>
              <w:t>n</w:t>
            </w:r>
          </w:p>
        </w:tc>
      </w:tr>
      <w:tr w:rsidR="00A41195" w:rsidRPr="008B3829" w14:paraId="2BE37922" w14:textId="77777777" w:rsidTr="0055458E">
        <w:tc>
          <w:tcPr>
            <w:tcW w:w="5812" w:type="dxa"/>
            <w:tcBorders>
              <w:top w:val="nil"/>
              <w:left w:val="single" w:sz="4" w:space="0" w:color="auto"/>
              <w:bottom w:val="single" w:sz="4" w:space="0" w:color="auto"/>
              <w:right w:val="single" w:sz="4" w:space="0" w:color="auto"/>
            </w:tcBorders>
            <w:shd w:val="clear" w:color="auto" w:fill="auto"/>
            <w:vAlign w:val="bottom"/>
            <w:hideMark/>
          </w:tcPr>
          <w:p w14:paraId="1861914D" w14:textId="77777777" w:rsidR="00A41195" w:rsidRPr="006D18C5" w:rsidRDefault="00A41195">
            <w:pPr>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Value of innovative venture supported from approved enterprises</w:t>
            </w:r>
          </w:p>
        </w:tc>
        <w:tc>
          <w:tcPr>
            <w:tcW w:w="1418" w:type="dxa"/>
            <w:tcBorders>
              <w:top w:val="nil"/>
              <w:left w:val="nil"/>
              <w:bottom w:val="single" w:sz="4" w:space="0" w:color="auto"/>
              <w:right w:val="single" w:sz="4" w:space="0" w:color="auto"/>
            </w:tcBorders>
            <w:shd w:val="clear" w:color="auto" w:fill="auto"/>
            <w:noWrap/>
            <w:vAlign w:val="center"/>
          </w:tcPr>
          <w:p w14:paraId="720FE5BA"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R50</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m</w:t>
            </w:r>
            <w:r w:rsidR="007070BF" w:rsidRPr="006D18C5">
              <w:rPr>
                <w:rFonts w:ascii="Times New Roman" w:hAnsi="Times New Roman" w:cs="Times New Roman"/>
                <w:szCs w:val="24"/>
                <w:lang w:eastAsia="en-ZA"/>
              </w:rPr>
              <w:t>illion</w:t>
            </w:r>
          </w:p>
        </w:tc>
        <w:tc>
          <w:tcPr>
            <w:tcW w:w="1609" w:type="dxa"/>
            <w:tcBorders>
              <w:top w:val="nil"/>
              <w:left w:val="nil"/>
              <w:bottom w:val="single" w:sz="4" w:space="0" w:color="auto"/>
              <w:right w:val="single" w:sz="4" w:space="0" w:color="auto"/>
            </w:tcBorders>
            <w:shd w:val="clear" w:color="auto" w:fill="auto"/>
            <w:noWrap/>
            <w:vAlign w:val="center"/>
          </w:tcPr>
          <w:p w14:paraId="66ECF798" w14:textId="77777777" w:rsidR="00A41195" w:rsidRPr="006D18C5" w:rsidRDefault="00A41195" w:rsidP="00586CCF">
            <w:pPr>
              <w:spacing w:line="360" w:lineRule="auto"/>
              <w:jc w:val="right"/>
              <w:rPr>
                <w:rFonts w:ascii="Times New Roman" w:hAnsi="Times New Roman" w:cs="Times New Roman"/>
                <w:szCs w:val="24"/>
                <w:lang w:eastAsia="en-ZA"/>
              </w:rPr>
            </w:pPr>
            <w:r w:rsidRPr="006D18C5">
              <w:rPr>
                <w:rFonts w:ascii="Times New Roman" w:hAnsi="Times New Roman" w:cs="Times New Roman"/>
                <w:szCs w:val="24"/>
                <w:lang w:eastAsia="en-ZA"/>
              </w:rPr>
              <w:t>R278</w:t>
            </w:r>
            <w:r w:rsidR="007070BF" w:rsidRPr="006D18C5">
              <w:rPr>
                <w:rFonts w:ascii="Times New Roman" w:hAnsi="Times New Roman" w:cs="Times New Roman"/>
                <w:szCs w:val="24"/>
                <w:lang w:eastAsia="en-ZA"/>
              </w:rPr>
              <w:t xml:space="preserve"> </w:t>
            </w:r>
            <w:r w:rsidRPr="006D18C5">
              <w:rPr>
                <w:rFonts w:ascii="Times New Roman" w:hAnsi="Times New Roman" w:cs="Times New Roman"/>
                <w:szCs w:val="24"/>
                <w:lang w:eastAsia="en-ZA"/>
              </w:rPr>
              <w:t>m</w:t>
            </w:r>
            <w:r w:rsidR="007070BF" w:rsidRPr="006D18C5">
              <w:rPr>
                <w:rFonts w:ascii="Times New Roman" w:hAnsi="Times New Roman" w:cs="Times New Roman"/>
                <w:szCs w:val="24"/>
                <w:lang w:eastAsia="en-ZA"/>
              </w:rPr>
              <w:t>illion</w:t>
            </w:r>
          </w:p>
        </w:tc>
      </w:tr>
    </w:tbl>
    <w:p w14:paraId="50AACAF1" w14:textId="77777777" w:rsidR="00586FB4" w:rsidRPr="00586CCF" w:rsidRDefault="00586FB4" w:rsidP="00586CCF">
      <w:pPr>
        <w:spacing w:line="360" w:lineRule="auto"/>
        <w:rPr>
          <w:rFonts w:ascii="Times New Roman" w:hAnsi="Times New Roman" w:cs="Times New Roman"/>
          <w:sz w:val="24"/>
          <w:szCs w:val="24"/>
        </w:rPr>
      </w:pPr>
    </w:p>
    <w:p w14:paraId="4338653B" w14:textId="77777777" w:rsidR="00A41195" w:rsidRPr="00586CCF" w:rsidRDefault="00A41195" w:rsidP="009D5D24">
      <w:pPr>
        <w:pStyle w:val="Heading2"/>
        <w:numPr>
          <w:ilvl w:val="2"/>
          <w:numId w:val="22"/>
        </w:numPr>
        <w:spacing w:before="0" w:line="360" w:lineRule="auto"/>
        <w:rPr>
          <w:rFonts w:ascii="Times New Roman" w:hAnsi="Times New Roman" w:cs="Times New Roman"/>
          <w:color w:val="auto"/>
          <w:sz w:val="24"/>
          <w:szCs w:val="24"/>
        </w:rPr>
      </w:pPr>
      <w:r w:rsidRPr="00586CCF">
        <w:rPr>
          <w:rFonts w:ascii="Times New Roman" w:hAnsi="Times New Roman" w:cs="Times New Roman"/>
          <w:color w:val="auto"/>
          <w:sz w:val="24"/>
          <w:szCs w:val="24"/>
        </w:rPr>
        <w:t>Financial Performance</w:t>
      </w:r>
    </w:p>
    <w:p w14:paraId="65904E91" w14:textId="77777777" w:rsidR="00A41195" w:rsidRPr="00586CCF" w:rsidRDefault="00A41195" w:rsidP="00586CCF">
      <w:pPr>
        <w:spacing w:line="360" w:lineRule="auto"/>
        <w:rPr>
          <w:rFonts w:ascii="Times New Roman" w:hAnsi="Times New Roman" w:cs="Times New Roman"/>
          <w:sz w:val="24"/>
          <w:szCs w:val="24"/>
        </w:rPr>
      </w:pPr>
    </w:p>
    <w:p w14:paraId="6C22EB1D" w14:textId="77777777" w:rsidR="00A41195" w:rsidRPr="00586CCF" w:rsidRDefault="00A41195" w:rsidP="00586CCF">
      <w:pPr>
        <w:widowControl w:val="0"/>
        <w:overflowPunct w:val="0"/>
        <w:autoSpaceDE w:val="0"/>
        <w:autoSpaceDN w:val="0"/>
        <w:adjustRightInd w:val="0"/>
        <w:spacing w:line="360" w:lineRule="auto"/>
        <w:ind w:right="100"/>
        <w:rPr>
          <w:rFonts w:ascii="Times New Roman" w:hAnsi="Times New Roman" w:cs="Times New Roman"/>
          <w:sz w:val="24"/>
          <w:szCs w:val="24"/>
        </w:rPr>
      </w:pPr>
      <w:r w:rsidRPr="00586CCF">
        <w:rPr>
          <w:rFonts w:ascii="Times New Roman" w:hAnsi="Times New Roman" w:cs="Times New Roman"/>
          <w:sz w:val="24"/>
          <w:szCs w:val="24"/>
        </w:rPr>
        <w:t xml:space="preserve">The </w:t>
      </w:r>
      <w:r w:rsidR="00586FB4">
        <w:rPr>
          <w:rFonts w:ascii="Times New Roman" w:hAnsi="Times New Roman" w:cs="Times New Roman"/>
          <w:sz w:val="24"/>
          <w:szCs w:val="24"/>
        </w:rPr>
        <w:t>DTI</w:t>
      </w:r>
      <w:r w:rsidR="00586FB4" w:rsidRPr="00586CCF">
        <w:rPr>
          <w:rFonts w:ascii="Times New Roman" w:hAnsi="Times New Roman" w:cs="Times New Roman"/>
          <w:sz w:val="24"/>
          <w:szCs w:val="24"/>
        </w:rPr>
        <w:t xml:space="preserve">’s </w:t>
      </w:r>
      <w:r w:rsidRPr="00586CCF">
        <w:rPr>
          <w:rFonts w:ascii="Times New Roman" w:hAnsi="Times New Roman" w:cs="Times New Roman"/>
          <w:sz w:val="24"/>
          <w:szCs w:val="24"/>
        </w:rPr>
        <w:t>budget/appropriation was R10.4 billion for the 2016/17 financial year. During the financial year, expenditure totalled R10.3 billion or 99.6</w:t>
      </w:r>
      <w:r w:rsidR="00586FB4">
        <w:rPr>
          <w:rFonts w:ascii="Times New Roman" w:hAnsi="Times New Roman" w:cs="Times New Roman"/>
          <w:sz w:val="24"/>
          <w:szCs w:val="24"/>
        </w:rPr>
        <w:t>%</w:t>
      </w:r>
      <w:r w:rsidRPr="00586CCF">
        <w:rPr>
          <w:rFonts w:ascii="Times New Roman" w:hAnsi="Times New Roman" w:cs="Times New Roman"/>
          <w:sz w:val="24"/>
          <w:szCs w:val="24"/>
        </w:rPr>
        <w:t xml:space="preserve">. Total underspending for the financial year amounted to R40.1 million. </w:t>
      </w:r>
    </w:p>
    <w:p w14:paraId="12A29A98" w14:textId="77777777" w:rsidR="00A41195" w:rsidRPr="00586CCF" w:rsidRDefault="00A41195" w:rsidP="00586CCF">
      <w:pPr>
        <w:widowControl w:val="0"/>
        <w:overflowPunct w:val="0"/>
        <w:autoSpaceDE w:val="0"/>
        <w:autoSpaceDN w:val="0"/>
        <w:adjustRightInd w:val="0"/>
        <w:spacing w:line="360" w:lineRule="auto"/>
        <w:ind w:right="100"/>
        <w:rPr>
          <w:rFonts w:ascii="Times New Roman" w:hAnsi="Times New Roman" w:cs="Times New Roman"/>
          <w:sz w:val="24"/>
          <w:szCs w:val="24"/>
        </w:rPr>
      </w:pPr>
    </w:p>
    <w:p w14:paraId="031171CB" w14:textId="77777777" w:rsidR="00A41195" w:rsidRPr="00586CCF" w:rsidRDefault="00A41195" w:rsidP="00586CCF">
      <w:pPr>
        <w:widowControl w:val="0"/>
        <w:overflowPunct w:val="0"/>
        <w:autoSpaceDE w:val="0"/>
        <w:autoSpaceDN w:val="0"/>
        <w:adjustRightInd w:val="0"/>
        <w:spacing w:line="360" w:lineRule="auto"/>
        <w:ind w:right="100"/>
        <w:rPr>
          <w:rFonts w:ascii="Times New Roman" w:hAnsi="Times New Roman" w:cs="Times New Roman"/>
          <w:sz w:val="24"/>
          <w:szCs w:val="24"/>
        </w:rPr>
      </w:pPr>
      <w:r w:rsidRPr="00586CCF">
        <w:rPr>
          <w:rFonts w:ascii="Times New Roman" w:hAnsi="Times New Roman" w:cs="Times New Roman"/>
          <w:sz w:val="24"/>
          <w:szCs w:val="24"/>
        </w:rPr>
        <w:t xml:space="preserve">Depicted below is the </w:t>
      </w:r>
      <w:r w:rsidR="00586FB4">
        <w:rPr>
          <w:rFonts w:ascii="Times New Roman" w:hAnsi="Times New Roman" w:cs="Times New Roman"/>
          <w:sz w:val="24"/>
          <w:szCs w:val="24"/>
        </w:rPr>
        <w:t>DTI</w:t>
      </w:r>
      <w:r w:rsidR="00586FB4" w:rsidRPr="00586CCF">
        <w:rPr>
          <w:rFonts w:ascii="Times New Roman" w:hAnsi="Times New Roman" w:cs="Times New Roman"/>
          <w:sz w:val="24"/>
          <w:szCs w:val="24"/>
        </w:rPr>
        <w:t xml:space="preserve">’s </w:t>
      </w:r>
      <w:r w:rsidRPr="00586CCF">
        <w:rPr>
          <w:rFonts w:ascii="Times New Roman" w:hAnsi="Times New Roman" w:cs="Times New Roman"/>
          <w:sz w:val="24"/>
          <w:szCs w:val="24"/>
        </w:rPr>
        <w:t>spending by programme against the budget for the financial year. Most of the programmes’ budget have been spen</w:t>
      </w:r>
      <w:r w:rsidR="00586FB4">
        <w:rPr>
          <w:rFonts w:ascii="Times New Roman" w:hAnsi="Times New Roman" w:cs="Times New Roman"/>
          <w:sz w:val="24"/>
          <w:szCs w:val="24"/>
        </w:rPr>
        <w:t>t</w:t>
      </w:r>
      <w:r w:rsidRPr="00586CCF">
        <w:rPr>
          <w:rFonts w:ascii="Times New Roman" w:hAnsi="Times New Roman" w:cs="Times New Roman"/>
          <w:sz w:val="24"/>
          <w:szCs w:val="24"/>
        </w:rPr>
        <w:t xml:space="preserve"> with the exception of the Special Economic Zones and Economic Transformation programme,</w:t>
      </w:r>
      <w:r w:rsidR="00586FB4">
        <w:rPr>
          <w:rFonts w:ascii="Times New Roman" w:hAnsi="Times New Roman" w:cs="Times New Roman"/>
          <w:sz w:val="24"/>
          <w:szCs w:val="24"/>
        </w:rPr>
        <w:t xml:space="preserve"> which had</w:t>
      </w:r>
      <w:r w:rsidRPr="00586CCF">
        <w:rPr>
          <w:rFonts w:ascii="Times New Roman" w:hAnsi="Times New Roman" w:cs="Times New Roman"/>
          <w:sz w:val="24"/>
          <w:szCs w:val="24"/>
        </w:rPr>
        <w:t xml:space="preserve"> </w:t>
      </w:r>
      <w:r w:rsidR="00586FB4">
        <w:rPr>
          <w:rFonts w:ascii="Times New Roman" w:hAnsi="Times New Roman" w:cs="Times New Roman"/>
          <w:sz w:val="24"/>
          <w:szCs w:val="24"/>
        </w:rPr>
        <w:t xml:space="preserve">an </w:t>
      </w:r>
      <w:r w:rsidRPr="00586CCF">
        <w:rPr>
          <w:rFonts w:ascii="Times New Roman" w:hAnsi="Times New Roman" w:cs="Times New Roman"/>
          <w:sz w:val="24"/>
          <w:szCs w:val="24"/>
        </w:rPr>
        <w:t xml:space="preserve">underspending of 13%.  </w:t>
      </w:r>
    </w:p>
    <w:p w14:paraId="4F47318B" w14:textId="77777777" w:rsidR="00A41195" w:rsidRPr="00586CCF" w:rsidRDefault="00A41195" w:rsidP="00586CCF">
      <w:pPr>
        <w:spacing w:line="360" w:lineRule="auto"/>
        <w:rPr>
          <w:rFonts w:ascii="Times New Roman" w:hAnsi="Times New Roman" w:cs="Times New Roman"/>
          <w:sz w:val="24"/>
          <w:szCs w:val="24"/>
        </w:rPr>
      </w:pPr>
    </w:p>
    <w:p w14:paraId="79446F32" w14:textId="77777777" w:rsidR="00AB63A9" w:rsidRPr="00586CCF" w:rsidRDefault="00AB63A9" w:rsidP="00AB63A9">
      <w:pPr>
        <w:widowControl w:val="0"/>
        <w:overflowPunct w:val="0"/>
        <w:autoSpaceDE w:val="0"/>
        <w:autoSpaceDN w:val="0"/>
        <w:adjustRightInd w:val="0"/>
        <w:spacing w:line="360" w:lineRule="auto"/>
        <w:ind w:right="100"/>
        <w:rPr>
          <w:rFonts w:ascii="Times New Roman" w:hAnsi="Times New Roman" w:cs="Times New Roman"/>
          <w:sz w:val="24"/>
          <w:szCs w:val="24"/>
        </w:rPr>
      </w:pPr>
      <w:r w:rsidRPr="00586CCF">
        <w:rPr>
          <w:rFonts w:ascii="Times New Roman" w:hAnsi="Times New Roman" w:cs="Times New Roman"/>
          <w:sz w:val="24"/>
          <w:szCs w:val="24"/>
        </w:rPr>
        <w:t xml:space="preserve">The budget </w:t>
      </w:r>
      <w:r>
        <w:rPr>
          <w:rFonts w:ascii="Times New Roman" w:hAnsi="Times New Roman" w:cs="Times New Roman"/>
          <w:sz w:val="24"/>
          <w:szCs w:val="24"/>
        </w:rPr>
        <w:t>can be</w:t>
      </w:r>
      <w:r w:rsidRPr="00586CCF">
        <w:rPr>
          <w:rFonts w:ascii="Times New Roman" w:hAnsi="Times New Roman" w:cs="Times New Roman"/>
          <w:sz w:val="24"/>
          <w:szCs w:val="24"/>
        </w:rPr>
        <w:t xml:space="preserve"> divided into two</w:t>
      </w:r>
      <w:r>
        <w:rPr>
          <w:rFonts w:ascii="Times New Roman" w:hAnsi="Times New Roman" w:cs="Times New Roman"/>
          <w:sz w:val="24"/>
          <w:szCs w:val="24"/>
        </w:rPr>
        <w:t xml:space="preserve">. On the one hand, the DTI allocated </w:t>
      </w:r>
      <w:r w:rsidRPr="00586CCF">
        <w:rPr>
          <w:rFonts w:ascii="Times New Roman" w:hAnsi="Times New Roman" w:cs="Times New Roman"/>
          <w:sz w:val="24"/>
          <w:szCs w:val="24"/>
        </w:rPr>
        <w:t>R8.8 billion (85</w:t>
      </w:r>
      <w:r>
        <w:rPr>
          <w:rFonts w:ascii="Times New Roman" w:hAnsi="Times New Roman" w:cs="Times New Roman"/>
          <w:sz w:val="24"/>
          <w:szCs w:val="24"/>
        </w:rPr>
        <w:t>.2%</w:t>
      </w:r>
      <w:r w:rsidRPr="00586CCF">
        <w:rPr>
          <w:rFonts w:ascii="Times New Roman" w:hAnsi="Times New Roman" w:cs="Times New Roman"/>
          <w:sz w:val="24"/>
          <w:szCs w:val="24"/>
        </w:rPr>
        <w:t xml:space="preserve">) of the budget </w:t>
      </w:r>
      <w:r>
        <w:rPr>
          <w:rFonts w:ascii="Times New Roman" w:hAnsi="Times New Roman" w:cs="Times New Roman"/>
          <w:sz w:val="24"/>
          <w:szCs w:val="24"/>
        </w:rPr>
        <w:t>for</w:t>
      </w:r>
      <w:r w:rsidRPr="00586CCF">
        <w:rPr>
          <w:rFonts w:ascii="Times New Roman" w:hAnsi="Times New Roman" w:cs="Times New Roman"/>
          <w:sz w:val="24"/>
          <w:szCs w:val="24"/>
        </w:rPr>
        <w:t xml:space="preserve"> transfers and subsidies</w:t>
      </w:r>
      <w:r>
        <w:rPr>
          <w:rFonts w:ascii="Times New Roman" w:hAnsi="Times New Roman" w:cs="Times New Roman"/>
          <w:sz w:val="24"/>
          <w:szCs w:val="24"/>
        </w:rPr>
        <w:t xml:space="preserve">. On the other hand, </w:t>
      </w:r>
      <w:r w:rsidRPr="00586CCF">
        <w:rPr>
          <w:rFonts w:ascii="Times New Roman" w:hAnsi="Times New Roman" w:cs="Times New Roman"/>
          <w:sz w:val="24"/>
          <w:szCs w:val="24"/>
        </w:rPr>
        <w:t>R1.5 billion (1</w:t>
      </w:r>
      <w:r>
        <w:rPr>
          <w:rFonts w:ascii="Times New Roman" w:hAnsi="Times New Roman" w:cs="Times New Roman"/>
          <w:sz w:val="24"/>
          <w:szCs w:val="24"/>
        </w:rPr>
        <w:t>4.</w:t>
      </w:r>
      <w:r w:rsidRPr="00586CCF">
        <w:rPr>
          <w:rFonts w:ascii="Times New Roman" w:hAnsi="Times New Roman" w:cs="Times New Roman"/>
          <w:sz w:val="24"/>
          <w:szCs w:val="24"/>
        </w:rPr>
        <w:t>5</w:t>
      </w:r>
      <w:r>
        <w:rPr>
          <w:rFonts w:ascii="Times New Roman" w:hAnsi="Times New Roman" w:cs="Times New Roman"/>
          <w:sz w:val="24"/>
          <w:szCs w:val="24"/>
        </w:rPr>
        <w:t>%</w:t>
      </w:r>
      <w:r w:rsidRPr="00586CCF">
        <w:rPr>
          <w:rFonts w:ascii="Times New Roman" w:hAnsi="Times New Roman" w:cs="Times New Roman"/>
          <w:sz w:val="24"/>
          <w:szCs w:val="24"/>
        </w:rPr>
        <w:t xml:space="preserve">) of the budget remains for </w:t>
      </w:r>
      <w:r>
        <w:rPr>
          <w:rFonts w:ascii="Times New Roman" w:hAnsi="Times New Roman" w:cs="Times New Roman"/>
          <w:sz w:val="24"/>
          <w:szCs w:val="24"/>
        </w:rPr>
        <w:t xml:space="preserve">its </w:t>
      </w:r>
      <w:r w:rsidRPr="00586CCF">
        <w:rPr>
          <w:rFonts w:ascii="Times New Roman" w:hAnsi="Times New Roman" w:cs="Times New Roman"/>
          <w:sz w:val="24"/>
          <w:szCs w:val="24"/>
        </w:rPr>
        <w:t>operation</w:t>
      </w:r>
      <w:r>
        <w:rPr>
          <w:rFonts w:ascii="Times New Roman" w:hAnsi="Times New Roman" w:cs="Times New Roman"/>
          <w:sz w:val="24"/>
          <w:szCs w:val="24"/>
        </w:rPr>
        <w:t xml:space="preserve"> and is spent on</w:t>
      </w:r>
      <w:r w:rsidRPr="00586CCF">
        <w:rPr>
          <w:rFonts w:ascii="Times New Roman" w:hAnsi="Times New Roman" w:cs="Times New Roman"/>
          <w:sz w:val="24"/>
          <w:szCs w:val="24"/>
        </w:rPr>
        <w:t xml:space="preserve"> compensation of employees; payment of goods and services; payments for capital assets; and payments for financial assets. </w:t>
      </w:r>
    </w:p>
    <w:p w14:paraId="516ACFDE" w14:textId="77777777" w:rsidR="00AB63A9" w:rsidRDefault="00AB63A9" w:rsidP="00AB63A9">
      <w:pPr>
        <w:widowControl w:val="0"/>
        <w:overflowPunct w:val="0"/>
        <w:autoSpaceDE w:val="0"/>
        <w:autoSpaceDN w:val="0"/>
        <w:adjustRightInd w:val="0"/>
        <w:spacing w:line="360" w:lineRule="auto"/>
        <w:ind w:right="100"/>
        <w:rPr>
          <w:rFonts w:ascii="Times New Roman" w:hAnsi="Times New Roman" w:cs="Times New Roman"/>
          <w:sz w:val="24"/>
          <w:szCs w:val="24"/>
        </w:rPr>
      </w:pPr>
    </w:p>
    <w:p w14:paraId="09B5577C" w14:textId="77777777" w:rsidR="00A41195" w:rsidRPr="00586CCF" w:rsidRDefault="00586CCF" w:rsidP="006D18C5">
      <w:pPr>
        <w:rPr>
          <w:rFonts w:ascii="Times New Roman" w:hAnsi="Times New Roman" w:cs="Times New Roman"/>
          <w:b/>
          <w:sz w:val="24"/>
          <w:szCs w:val="24"/>
        </w:rPr>
      </w:pPr>
      <w:r>
        <w:rPr>
          <w:rFonts w:ascii="Times New Roman" w:hAnsi="Times New Roman" w:cs="Times New Roman"/>
          <w:b/>
          <w:sz w:val="24"/>
          <w:szCs w:val="24"/>
        </w:rPr>
        <w:t>Table 4</w:t>
      </w:r>
      <w:r w:rsidR="00A41195" w:rsidRPr="00586CCF">
        <w:rPr>
          <w:rFonts w:ascii="Times New Roman" w:hAnsi="Times New Roman" w:cs="Times New Roman"/>
          <w:b/>
          <w:sz w:val="24"/>
          <w:szCs w:val="24"/>
        </w:rPr>
        <w:t>: Financial Performance by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23"/>
        <w:gridCol w:w="1701"/>
        <w:gridCol w:w="1606"/>
        <w:gridCol w:w="1654"/>
      </w:tblGrid>
      <w:tr w:rsidR="00586FB4" w:rsidRPr="00586CCF" w14:paraId="41FB1A3E" w14:textId="77777777" w:rsidTr="006D18C5">
        <w:trPr>
          <w:tblHeader/>
        </w:trPr>
        <w:tc>
          <w:tcPr>
            <w:tcW w:w="3823" w:type="dxa"/>
            <w:shd w:val="clear" w:color="auto" w:fill="BFBFBF" w:themeFill="background1" w:themeFillShade="BF"/>
            <w:vAlign w:val="center"/>
            <w:hideMark/>
          </w:tcPr>
          <w:p w14:paraId="0CE9EFBD" w14:textId="77777777" w:rsidR="00586FB4" w:rsidRPr="006D18C5" w:rsidRDefault="00586FB4" w:rsidP="006D18C5">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Programme</w:t>
            </w:r>
          </w:p>
        </w:tc>
        <w:tc>
          <w:tcPr>
            <w:tcW w:w="1701" w:type="dxa"/>
            <w:shd w:val="clear" w:color="auto" w:fill="BFBFBF" w:themeFill="background1" w:themeFillShade="BF"/>
            <w:vAlign w:val="center"/>
            <w:hideMark/>
          </w:tcPr>
          <w:p w14:paraId="059EE846" w14:textId="77777777" w:rsidR="00586FB4" w:rsidRPr="006D18C5" w:rsidRDefault="00586FB4" w:rsidP="006D18C5">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Final appropriation (R'000)</w:t>
            </w:r>
          </w:p>
        </w:tc>
        <w:tc>
          <w:tcPr>
            <w:tcW w:w="1606" w:type="dxa"/>
            <w:shd w:val="clear" w:color="auto" w:fill="BFBFBF" w:themeFill="background1" w:themeFillShade="BF"/>
            <w:vAlign w:val="center"/>
            <w:hideMark/>
          </w:tcPr>
          <w:p w14:paraId="3C418B43" w14:textId="77777777" w:rsidR="00586FB4" w:rsidRPr="006D18C5" w:rsidRDefault="00586FB4" w:rsidP="006D18C5">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Actual expenditure (R'000)</w:t>
            </w:r>
          </w:p>
        </w:tc>
        <w:tc>
          <w:tcPr>
            <w:tcW w:w="1654" w:type="dxa"/>
            <w:shd w:val="clear" w:color="auto" w:fill="BFBFBF" w:themeFill="background1" w:themeFillShade="BF"/>
            <w:vAlign w:val="center"/>
            <w:hideMark/>
          </w:tcPr>
          <w:p w14:paraId="39886E45" w14:textId="77777777" w:rsidR="00586FB4" w:rsidRPr="006D18C5" w:rsidRDefault="00586FB4" w:rsidP="006D18C5">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 Actual Expenditure</w:t>
            </w:r>
          </w:p>
        </w:tc>
      </w:tr>
      <w:tr w:rsidR="00586FB4" w:rsidRPr="00586CCF" w14:paraId="719F2E98" w14:textId="77777777" w:rsidTr="006D18C5">
        <w:tc>
          <w:tcPr>
            <w:tcW w:w="3823" w:type="dxa"/>
            <w:shd w:val="clear" w:color="auto" w:fill="auto"/>
            <w:vAlign w:val="bottom"/>
            <w:hideMark/>
          </w:tcPr>
          <w:p w14:paraId="592A99CF" w14:textId="77777777" w:rsidR="00586FB4" w:rsidRPr="006D18C5" w:rsidRDefault="00586FB4"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Administration</w:t>
            </w:r>
          </w:p>
        </w:tc>
        <w:tc>
          <w:tcPr>
            <w:tcW w:w="1701" w:type="dxa"/>
            <w:shd w:val="clear" w:color="auto" w:fill="auto"/>
            <w:vAlign w:val="center"/>
            <w:hideMark/>
          </w:tcPr>
          <w:p w14:paraId="525B7982"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721 505</w:t>
            </w:r>
          </w:p>
        </w:tc>
        <w:tc>
          <w:tcPr>
            <w:tcW w:w="1606" w:type="dxa"/>
            <w:shd w:val="clear" w:color="auto" w:fill="auto"/>
            <w:vAlign w:val="center"/>
            <w:hideMark/>
          </w:tcPr>
          <w:p w14:paraId="1A514BDE"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699 139</w:t>
            </w:r>
          </w:p>
        </w:tc>
        <w:tc>
          <w:tcPr>
            <w:tcW w:w="1654" w:type="dxa"/>
            <w:shd w:val="clear" w:color="auto" w:fill="auto"/>
            <w:vAlign w:val="center"/>
            <w:hideMark/>
          </w:tcPr>
          <w:p w14:paraId="3BD83CBF"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96.9%</w:t>
            </w:r>
          </w:p>
        </w:tc>
      </w:tr>
      <w:tr w:rsidR="00586FB4" w:rsidRPr="00586CCF" w14:paraId="66E12E40" w14:textId="77777777" w:rsidTr="006D18C5">
        <w:tc>
          <w:tcPr>
            <w:tcW w:w="3823" w:type="dxa"/>
            <w:shd w:val="clear" w:color="auto" w:fill="auto"/>
            <w:vAlign w:val="bottom"/>
            <w:hideMark/>
          </w:tcPr>
          <w:p w14:paraId="02CB7ACD" w14:textId="77777777" w:rsidR="00586FB4" w:rsidRPr="006D18C5" w:rsidRDefault="00586FB4"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International Trade and Economic Development</w:t>
            </w:r>
          </w:p>
        </w:tc>
        <w:tc>
          <w:tcPr>
            <w:tcW w:w="1701" w:type="dxa"/>
            <w:shd w:val="clear" w:color="auto" w:fill="auto"/>
            <w:vAlign w:val="center"/>
            <w:hideMark/>
          </w:tcPr>
          <w:p w14:paraId="5332CE6F"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116 07</w:t>
            </w:r>
            <w:r w:rsidR="00B7215E">
              <w:rPr>
                <w:rFonts w:ascii="Times New Roman" w:eastAsia="Times New Roman" w:hAnsi="Times New Roman" w:cs="Times New Roman"/>
                <w:color w:val="000000"/>
                <w:szCs w:val="24"/>
                <w:lang w:eastAsia="en-ZA"/>
              </w:rPr>
              <w:t>0</w:t>
            </w:r>
          </w:p>
        </w:tc>
        <w:tc>
          <w:tcPr>
            <w:tcW w:w="1606" w:type="dxa"/>
            <w:shd w:val="clear" w:color="auto" w:fill="auto"/>
            <w:vAlign w:val="center"/>
            <w:hideMark/>
          </w:tcPr>
          <w:p w14:paraId="5F264880"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116 024</w:t>
            </w:r>
          </w:p>
        </w:tc>
        <w:tc>
          <w:tcPr>
            <w:tcW w:w="1654" w:type="dxa"/>
            <w:shd w:val="clear" w:color="auto" w:fill="auto"/>
            <w:vAlign w:val="center"/>
            <w:hideMark/>
          </w:tcPr>
          <w:p w14:paraId="5AB82E9D"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100.0%</w:t>
            </w:r>
          </w:p>
        </w:tc>
      </w:tr>
      <w:tr w:rsidR="00586FB4" w:rsidRPr="00586CCF" w14:paraId="116C2D31" w14:textId="77777777" w:rsidTr="006D18C5">
        <w:tc>
          <w:tcPr>
            <w:tcW w:w="3823" w:type="dxa"/>
            <w:shd w:val="clear" w:color="auto" w:fill="auto"/>
            <w:vAlign w:val="bottom"/>
            <w:hideMark/>
          </w:tcPr>
          <w:p w14:paraId="67B838B2" w14:textId="77777777" w:rsidR="00586FB4" w:rsidRPr="006D18C5" w:rsidRDefault="00586FB4"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Special Economic Zones and Economic Transformation</w:t>
            </w:r>
          </w:p>
        </w:tc>
        <w:tc>
          <w:tcPr>
            <w:tcW w:w="1701" w:type="dxa"/>
            <w:shd w:val="clear" w:color="auto" w:fill="auto"/>
            <w:vAlign w:val="center"/>
            <w:hideMark/>
          </w:tcPr>
          <w:p w14:paraId="2163F0A3"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112 492</w:t>
            </w:r>
          </w:p>
        </w:tc>
        <w:tc>
          <w:tcPr>
            <w:tcW w:w="1606" w:type="dxa"/>
            <w:shd w:val="clear" w:color="auto" w:fill="auto"/>
            <w:vAlign w:val="center"/>
            <w:hideMark/>
          </w:tcPr>
          <w:p w14:paraId="12136D3E"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97 589</w:t>
            </w:r>
          </w:p>
        </w:tc>
        <w:tc>
          <w:tcPr>
            <w:tcW w:w="1654" w:type="dxa"/>
            <w:shd w:val="clear" w:color="auto" w:fill="auto"/>
            <w:vAlign w:val="center"/>
            <w:hideMark/>
          </w:tcPr>
          <w:p w14:paraId="0E5296B4"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86.8%</w:t>
            </w:r>
          </w:p>
        </w:tc>
      </w:tr>
      <w:tr w:rsidR="00586FB4" w:rsidRPr="00586CCF" w14:paraId="3340C6A1" w14:textId="77777777" w:rsidTr="006D18C5">
        <w:tc>
          <w:tcPr>
            <w:tcW w:w="3823" w:type="dxa"/>
            <w:shd w:val="clear" w:color="auto" w:fill="auto"/>
            <w:vAlign w:val="bottom"/>
            <w:hideMark/>
          </w:tcPr>
          <w:p w14:paraId="7E0E744F" w14:textId="77777777" w:rsidR="00586FB4" w:rsidRPr="006D18C5" w:rsidRDefault="00586FB4"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Industrial Development</w:t>
            </w:r>
          </w:p>
        </w:tc>
        <w:tc>
          <w:tcPr>
            <w:tcW w:w="1701" w:type="dxa"/>
            <w:shd w:val="clear" w:color="auto" w:fill="auto"/>
            <w:vAlign w:val="center"/>
            <w:hideMark/>
          </w:tcPr>
          <w:p w14:paraId="0B90EDCB"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1 722 289</w:t>
            </w:r>
          </w:p>
        </w:tc>
        <w:tc>
          <w:tcPr>
            <w:tcW w:w="1606" w:type="dxa"/>
            <w:shd w:val="clear" w:color="auto" w:fill="auto"/>
            <w:vAlign w:val="center"/>
            <w:hideMark/>
          </w:tcPr>
          <w:p w14:paraId="51FF3839"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1 722 245</w:t>
            </w:r>
          </w:p>
        </w:tc>
        <w:tc>
          <w:tcPr>
            <w:tcW w:w="1654" w:type="dxa"/>
            <w:shd w:val="clear" w:color="auto" w:fill="auto"/>
            <w:vAlign w:val="center"/>
            <w:hideMark/>
          </w:tcPr>
          <w:p w14:paraId="471CB461"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100.0%</w:t>
            </w:r>
          </w:p>
        </w:tc>
      </w:tr>
      <w:tr w:rsidR="00586FB4" w:rsidRPr="00586CCF" w14:paraId="13B96116" w14:textId="77777777" w:rsidTr="006D18C5">
        <w:tc>
          <w:tcPr>
            <w:tcW w:w="3823" w:type="dxa"/>
            <w:shd w:val="clear" w:color="auto" w:fill="auto"/>
            <w:vAlign w:val="bottom"/>
            <w:hideMark/>
          </w:tcPr>
          <w:p w14:paraId="5710DCB6" w14:textId="77777777" w:rsidR="00586FB4" w:rsidRPr="006D18C5" w:rsidRDefault="00586FB4"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Consumer and Corporate Regulation</w:t>
            </w:r>
          </w:p>
        </w:tc>
        <w:tc>
          <w:tcPr>
            <w:tcW w:w="1701" w:type="dxa"/>
            <w:shd w:val="clear" w:color="auto" w:fill="auto"/>
            <w:vAlign w:val="center"/>
            <w:hideMark/>
          </w:tcPr>
          <w:p w14:paraId="3CF0243C"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295 763</w:t>
            </w:r>
          </w:p>
        </w:tc>
        <w:tc>
          <w:tcPr>
            <w:tcW w:w="1606" w:type="dxa"/>
            <w:shd w:val="clear" w:color="auto" w:fill="auto"/>
            <w:vAlign w:val="center"/>
            <w:hideMark/>
          </w:tcPr>
          <w:p w14:paraId="63AADDC6"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295 381</w:t>
            </w:r>
          </w:p>
        </w:tc>
        <w:tc>
          <w:tcPr>
            <w:tcW w:w="1654" w:type="dxa"/>
            <w:shd w:val="clear" w:color="auto" w:fill="auto"/>
            <w:vAlign w:val="center"/>
            <w:hideMark/>
          </w:tcPr>
          <w:p w14:paraId="2D0AD5D0"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99.9%</w:t>
            </w:r>
          </w:p>
        </w:tc>
      </w:tr>
      <w:tr w:rsidR="00586FB4" w:rsidRPr="00586CCF" w14:paraId="73D8D800" w14:textId="77777777" w:rsidTr="006D18C5">
        <w:tc>
          <w:tcPr>
            <w:tcW w:w="3823" w:type="dxa"/>
            <w:shd w:val="clear" w:color="auto" w:fill="auto"/>
            <w:vAlign w:val="bottom"/>
            <w:hideMark/>
          </w:tcPr>
          <w:p w14:paraId="49CE3846" w14:textId="77777777" w:rsidR="00586FB4" w:rsidRPr="006D18C5" w:rsidRDefault="00586FB4"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Incentive Development and Administration</w:t>
            </w:r>
          </w:p>
        </w:tc>
        <w:tc>
          <w:tcPr>
            <w:tcW w:w="1701" w:type="dxa"/>
            <w:shd w:val="clear" w:color="auto" w:fill="auto"/>
            <w:vAlign w:val="center"/>
            <w:hideMark/>
          </w:tcPr>
          <w:p w14:paraId="0751A083"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6 896 306</w:t>
            </w:r>
          </w:p>
        </w:tc>
        <w:tc>
          <w:tcPr>
            <w:tcW w:w="1606" w:type="dxa"/>
            <w:shd w:val="clear" w:color="auto" w:fill="auto"/>
            <w:vAlign w:val="center"/>
            <w:hideMark/>
          </w:tcPr>
          <w:p w14:paraId="61877537"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6 895 186</w:t>
            </w:r>
          </w:p>
        </w:tc>
        <w:tc>
          <w:tcPr>
            <w:tcW w:w="1654" w:type="dxa"/>
            <w:shd w:val="clear" w:color="auto" w:fill="auto"/>
            <w:vAlign w:val="center"/>
            <w:hideMark/>
          </w:tcPr>
          <w:p w14:paraId="24A89E97"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100.0%</w:t>
            </w:r>
          </w:p>
        </w:tc>
      </w:tr>
      <w:tr w:rsidR="00586FB4" w:rsidRPr="00586CCF" w14:paraId="0565010E" w14:textId="77777777" w:rsidTr="006D18C5">
        <w:tc>
          <w:tcPr>
            <w:tcW w:w="3823" w:type="dxa"/>
            <w:shd w:val="clear" w:color="auto" w:fill="auto"/>
            <w:vAlign w:val="bottom"/>
            <w:hideMark/>
          </w:tcPr>
          <w:p w14:paraId="60E36D56" w14:textId="77777777" w:rsidR="00586FB4" w:rsidRPr="006D18C5" w:rsidRDefault="00586FB4"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Trade Export South Africa</w:t>
            </w:r>
          </w:p>
        </w:tc>
        <w:tc>
          <w:tcPr>
            <w:tcW w:w="1701" w:type="dxa"/>
            <w:shd w:val="clear" w:color="auto" w:fill="auto"/>
            <w:vAlign w:val="center"/>
            <w:hideMark/>
          </w:tcPr>
          <w:p w14:paraId="0FE66778"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455 836</w:t>
            </w:r>
          </w:p>
        </w:tc>
        <w:tc>
          <w:tcPr>
            <w:tcW w:w="1606" w:type="dxa"/>
            <w:shd w:val="clear" w:color="auto" w:fill="auto"/>
            <w:vAlign w:val="center"/>
            <w:hideMark/>
          </w:tcPr>
          <w:p w14:paraId="151C174D"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454 588</w:t>
            </w:r>
          </w:p>
        </w:tc>
        <w:tc>
          <w:tcPr>
            <w:tcW w:w="1654" w:type="dxa"/>
            <w:shd w:val="clear" w:color="auto" w:fill="auto"/>
            <w:vAlign w:val="center"/>
            <w:hideMark/>
          </w:tcPr>
          <w:p w14:paraId="71B69AFE"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99.7%</w:t>
            </w:r>
          </w:p>
        </w:tc>
      </w:tr>
      <w:tr w:rsidR="00586FB4" w:rsidRPr="00586CCF" w14:paraId="5305E0BA" w14:textId="77777777" w:rsidTr="006D18C5">
        <w:tc>
          <w:tcPr>
            <w:tcW w:w="3823" w:type="dxa"/>
            <w:shd w:val="clear" w:color="auto" w:fill="auto"/>
            <w:vAlign w:val="bottom"/>
            <w:hideMark/>
          </w:tcPr>
          <w:p w14:paraId="0EE63674" w14:textId="77777777" w:rsidR="00586FB4" w:rsidRPr="006D18C5" w:rsidRDefault="00586FB4"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Investment South Africa</w:t>
            </w:r>
          </w:p>
        </w:tc>
        <w:tc>
          <w:tcPr>
            <w:tcW w:w="1701" w:type="dxa"/>
            <w:shd w:val="clear" w:color="auto" w:fill="auto"/>
            <w:vAlign w:val="center"/>
            <w:hideMark/>
          </w:tcPr>
          <w:p w14:paraId="30C3B4BE"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69 256</w:t>
            </w:r>
          </w:p>
        </w:tc>
        <w:tc>
          <w:tcPr>
            <w:tcW w:w="1606" w:type="dxa"/>
            <w:shd w:val="clear" w:color="auto" w:fill="auto"/>
            <w:vAlign w:val="center"/>
            <w:hideMark/>
          </w:tcPr>
          <w:p w14:paraId="5EF9A421"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69 244</w:t>
            </w:r>
          </w:p>
        </w:tc>
        <w:tc>
          <w:tcPr>
            <w:tcW w:w="1654" w:type="dxa"/>
            <w:shd w:val="clear" w:color="auto" w:fill="auto"/>
            <w:vAlign w:val="center"/>
            <w:hideMark/>
          </w:tcPr>
          <w:p w14:paraId="2A1A6E4A" w14:textId="77777777" w:rsidR="00586FB4" w:rsidRPr="006D18C5" w:rsidRDefault="00586FB4"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100.0%</w:t>
            </w:r>
          </w:p>
        </w:tc>
      </w:tr>
      <w:tr w:rsidR="00586FB4" w:rsidRPr="00586CCF" w14:paraId="3A0B81C2" w14:textId="77777777" w:rsidTr="006D18C5">
        <w:trPr>
          <w:trHeight w:val="414"/>
        </w:trPr>
        <w:tc>
          <w:tcPr>
            <w:tcW w:w="3823" w:type="dxa"/>
            <w:shd w:val="clear" w:color="auto" w:fill="auto"/>
            <w:vAlign w:val="center"/>
          </w:tcPr>
          <w:p w14:paraId="238B233A" w14:textId="77777777" w:rsidR="00586FB4" w:rsidRPr="006D18C5" w:rsidRDefault="0002126E" w:rsidP="00586FB4">
            <w:pPr>
              <w:spacing w:line="360" w:lineRule="auto"/>
              <w:jc w:val="left"/>
              <w:rPr>
                <w:rFonts w:ascii="Times New Roman" w:eastAsia="Times New Roman" w:hAnsi="Times New Roman" w:cs="Times New Roman"/>
                <w:b/>
                <w:bCs/>
                <w:color w:val="000000"/>
                <w:szCs w:val="24"/>
                <w:lang w:eastAsia="en-ZA"/>
              </w:rPr>
            </w:pPr>
            <w:r w:rsidRPr="006D18C5">
              <w:rPr>
                <w:rFonts w:ascii="Times New Roman" w:eastAsia="Times New Roman" w:hAnsi="Times New Roman" w:cs="Times New Roman"/>
                <w:b/>
                <w:bCs/>
                <w:color w:val="000000"/>
                <w:szCs w:val="24"/>
                <w:lang w:eastAsia="en-ZA"/>
              </w:rPr>
              <w:t>Total</w:t>
            </w:r>
          </w:p>
        </w:tc>
        <w:tc>
          <w:tcPr>
            <w:tcW w:w="1701" w:type="dxa"/>
            <w:shd w:val="clear" w:color="auto" w:fill="auto"/>
            <w:vAlign w:val="center"/>
          </w:tcPr>
          <w:p w14:paraId="2BD331E0" w14:textId="77777777" w:rsidR="00586FB4" w:rsidRPr="006D18C5" w:rsidRDefault="00586FB4" w:rsidP="00586FB4">
            <w:pPr>
              <w:spacing w:line="360" w:lineRule="auto"/>
              <w:jc w:val="right"/>
              <w:rPr>
                <w:rFonts w:ascii="Times New Roman" w:eastAsia="Times New Roman" w:hAnsi="Times New Roman" w:cs="Times New Roman"/>
                <w:b/>
                <w:bCs/>
                <w:color w:val="000000"/>
                <w:szCs w:val="24"/>
                <w:lang w:eastAsia="en-ZA"/>
              </w:rPr>
            </w:pPr>
            <w:r w:rsidRPr="006D18C5">
              <w:rPr>
                <w:rFonts w:ascii="Times New Roman" w:eastAsia="Times New Roman" w:hAnsi="Times New Roman" w:cs="Times New Roman"/>
                <w:b/>
                <w:bCs/>
                <w:color w:val="000000"/>
                <w:szCs w:val="24"/>
                <w:lang w:eastAsia="en-ZA"/>
              </w:rPr>
              <w:t>10 389 517</w:t>
            </w:r>
          </w:p>
        </w:tc>
        <w:tc>
          <w:tcPr>
            <w:tcW w:w="1606" w:type="dxa"/>
            <w:shd w:val="clear" w:color="auto" w:fill="auto"/>
            <w:vAlign w:val="center"/>
          </w:tcPr>
          <w:p w14:paraId="602D34FE" w14:textId="77777777" w:rsidR="00586FB4" w:rsidRPr="006D18C5" w:rsidRDefault="00586FB4" w:rsidP="00586FB4">
            <w:pPr>
              <w:spacing w:line="360" w:lineRule="auto"/>
              <w:jc w:val="right"/>
              <w:rPr>
                <w:rFonts w:ascii="Times New Roman" w:eastAsia="Times New Roman" w:hAnsi="Times New Roman" w:cs="Times New Roman"/>
                <w:b/>
                <w:bCs/>
                <w:color w:val="000000"/>
                <w:szCs w:val="24"/>
                <w:lang w:eastAsia="en-ZA"/>
              </w:rPr>
            </w:pPr>
            <w:r w:rsidRPr="006D18C5">
              <w:rPr>
                <w:rFonts w:ascii="Times New Roman" w:eastAsia="Times New Roman" w:hAnsi="Times New Roman" w:cs="Times New Roman"/>
                <w:b/>
                <w:bCs/>
                <w:color w:val="000000"/>
                <w:szCs w:val="24"/>
                <w:lang w:eastAsia="en-ZA"/>
              </w:rPr>
              <w:t>10 349 396</w:t>
            </w:r>
          </w:p>
        </w:tc>
        <w:tc>
          <w:tcPr>
            <w:tcW w:w="1654" w:type="dxa"/>
            <w:shd w:val="clear" w:color="auto" w:fill="auto"/>
            <w:vAlign w:val="center"/>
          </w:tcPr>
          <w:p w14:paraId="4156CD37" w14:textId="77777777" w:rsidR="00586FB4" w:rsidRPr="006D18C5" w:rsidRDefault="00586FB4" w:rsidP="00586FB4">
            <w:pPr>
              <w:spacing w:line="360" w:lineRule="auto"/>
              <w:jc w:val="right"/>
              <w:rPr>
                <w:rFonts w:ascii="Times New Roman" w:eastAsia="Times New Roman" w:hAnsi="Times New Roman" w:cs="Times New Roman"/>
                <w:b/>
                <w:bCs/>
                <w:color w:val="000000"/>
                <w:szCs w:val="24"/>
                <w:lang w:eastAsia="en-ZA"/>
              </w:rPr>
            </w:pPr>
            <w:r w:rsidRPr="006D18C5">
              <w:rPr>
                <w:rFonts w:ascii="Times New Roman" w:eastAsia="Times New Roman" w:hAnsi="Times New Roman" w:cs="Times New Roman"/>
                <w:b/>
                <w:bCs/>
                <w:color w:val="000000"/>
                <w:szCs w:val="24"/>
                <w:lang w:eastAsia="en-ZA"/>
              </w:rPr>
              <w:t>99.6%</w:t>
            </w:r>
          </w:p>
        </w:tc>
      </w:tr>
    </w:tbl>
    <w:p w14:paraId="667DD3F4" w14:textId="77777777" w:rsidR="00A41195" w:rsidRPr="00586CCF" w:rsidRDefault="00A41195" w:rsidP="00586CCF">
      <w:pPr>
        <w:spacing w:line="360" w:lineRule="auto"/>
        <w:rPr>
          <w:rFonts w:ascii="Times New Roman" w:hAnsi="Times New Roman" w:cs="Times New Roman"/>
          <w:sz w:val="24"/>
          <w:szCs w:val="24"/>
        </w:rPr>
      </w:pPr>
    </w:p>
    <w:p w14:paraId="043927BD" w14:textId="77777777" w:rsidR="00B7215E" w:rsidRDefault="00B7215E" w:rsidP="00586CCF">
      <w:pPr>
        <w:widowControl w:val="0"/>
        <w:overflowPunct w:val="0"/>
        <w:autoSpaceDE w:val="0"/>
        <w:autoSpaceDN w:val="0"/>
        <w:adjustRightInd w:val="0"/>
        <w:spacing w:line="360" w:lineRule="auto"/>
        <w:ind w:right="100"/>
        <w:rPr>
          <w:rFonts w:ascii="Times New Roman" w:hAnsi="Times New Roman" w:cs="Times New Roman"/>
          <w:sz w:val="24"/>
          <w:szCs w:val="24"/>
        </w:rPr>
      </w:pPr>
      <w:r>
        <w:rPr>
          <w:rFonts w:ascii="Times New Roman" w:hAnsi="Times New Roman" w:cs="Times New Roman"/>
          <w:sz w:val="24"/>
          <w:szCs w:val="24"/>
        </w:rPr>
        <w:t>Most of the virements that occurred during the financial year were due</w:t>
      </w:r>
      <w:r w:rsidRPr="00586CCF">
        <w:rPr>
          <w:rFonts w:ascii="Times New Roman" w:hAnsi="Times New Roman" w:cs="Times New Roman"/>
          <w:sz w:val="24"/>
          <w:szCs w:val="24"/>
        </w:rPr>
        <w:t xml:space="preserve"> to savings resulting from vacant posts </w:t>
      </w:r>
      <w:r>
        <w:rPr>
          <w:rFonts w:ascii="Times New Roman" w:hAnsi="Times New Roman" w:cs="Times New Roman"/>
          <w:sz w:val="24"/>
          <w:szCs w:val="24"/>
        </w:rPr>
        <w:t>that could</w:t>
      </w:r>
      <w:r w:rsidRPr="00586CCF">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Pr="00586CCF">
        <w:rPr>
          <w:rFonts w:ascii="Times New Roman" w:hAnsi="Times New Roman" w:cs="Times New Roman"/>
          <w:sz w:val="24"/>
          <w:szCs w:val="24"/>
        </w:rPr>
        <w:t>filled during the financial year</w:t>
      </w:r>
      <w:r>
        <w:rPr>
          <w:rFonts w:ascii="Times New Roman" w:hAnsi="Times New Roman" w:cs="Times New Roman"/>
          <w:sz w:val="24"/>
          <w:szCs w:val="24"/>
        </w:rPr>
        <w:t xml:space="preserve"> (as budget cuts to lower the national aggregate expenditure ceiling for compensation of employees were effected over the MTEF)</w:t>
      </w:r>
      <w:r w:rsidRPr="00586CCF">
        <w:rPr>
          <w:rFonts w:ascii="Times New Roman" w:hAnsi="Times New Roman" w:cs="Times New Roman"/>
          <w:sz w:val="24"/>
          <w:szCs w:val="24"/>
        </w:rPr>
        <w:t>, cost-containment measures, and other savings.</w:t>
      </w:r>
    </w:p>
    <w:p w14:paraId="1FB626F3" w14:textId="77777777" w:rsidR="00B7215E" w:rsidRPr="00586CCF" w:rsidRDefault="00B7215E" w:rsidP="00586CCF">
      <w:pPr>
        <w:widowControl w:val="0"/>
        <w:overflowPunct w:val="0"/>
        <w:autoSpaceDE w:val="0"/>
        <w:autoSpaceDN w:val="0"/>
        <w:adjustRightInd w:val="0"/>
        <w:spacing w:line="360" w:lineRule="auto"/>
        <w:ind w:right="100"/>
        <w:rPr>
          <w:rFonts w:ascii="Times New Roman" w:hAnsi="Times New Roman" w:cs="Times New Roman"/>
          <w:sz w:val="24"/>
          <w:szCs w:val="24"/>
        </w:rPr>
      </w:pPr>
    </w:p>
    <w:p w14:paraId="2A00EEFA" w14:textId="77777777" w:rsidR="00A41195" w:rsidRPr="00586CCF" w:rsidRDefault="00A41195" w:rsidP="00586CCF">
      <w:pPr>
        <w:widowControl w:val="0"/>
        <w:autoSpaceDE w:val="0"/>
        <w:autoSpaceDN w:val="0"/>
        <w:adjustRightInd w:val="0"/>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figure below depicts </w:t>
      </w:r>
      <w:r w:rsidR="008317FC">
        <w:rPr>
          <w:rFonts w:ascii="Times New Roman" w:hAnsi="Times New Roman" w:cs="Times New Roman"/>
          <w:sz w:val="24"/>
          <w:szCs w:val="24"/>
        </w:rPr>
        <w:t>DTI</w:t>
      </w:r>
      <w:r w:rsidR="008317FC" w:rsidRPr="00586CCF">
        <w:rPr>
          <w:rFonts w:ascii="Times New Roman" w:hAnsi="Times New Roman" w:cs="Times New Roman"/>
          <w:sz w:val="24"/>
          <w:szCs w:val="24"/>
        </w:rPr>
        <w:t xml:space="preserve">’s </w:t>
      </w:r>
      <w:r w:rsidRPr="00586CCF">
        <w:rPr>
          <w:rFonts w:ascii="Times New Roman" w:hAnsi="Times New Roman" w:cs="Times New Roman"/>
          <w:sz w:val="24"/>
          <w:szCs w:val="24"/>
        </w:rPr>
        <w:t>expenditure by category.</w:t>
      </w:r>
    </w:p>
    <w:p w14:paraId="00DCB73A" w14:textId="77777777" w:rsidR="00D52E6D" w:rsidRDefault="00D52E6D">
      <w:pPr>
        <w:rPr>
          <w:rFonts w:ascii="Times New Roman" w:hAnsi="Times New Roman" w:cs="Times New Roman"/>
          <w:b/>
          <w:sz w:val="24"/>
          <w:szCs w:val="24"/>
        </w:rPr>
      </w:pPr>
    </w:p>
    <w:p w14:paraId="2E6DEDB5" w14:textId="77777777" w:rsidR="00A41195" w:rsidRPr="00586CCF" w:rsidRDefault="00432CE0" w:rsidP="006D18C5">
      <w:pPr>
        <w:rPr>
          <w:rFonts w:ascii="Times New Roman" w:hAnsi="Times New Roman" w:cs="Times New Roman"/>
          <w:b/>
          <w:sz w:val="24"/>
          <w:szCs w:val="24"/>
        </w:rPr>
      </w:pPr>
      <w:r>
        <w:rPr>
          <w:rFonts w:ascii="Times New Roman" w:hAnsi="Times New Roman" w:cs="Times New Roman"/>
          <w:b/>
          <w:sz w:val="24"/>
          <w:szCs w:val="24"/>
        </w:rPr>
        <w:t>Table 5</w:t>
      </w:r>
      <w:r w:rsidR="00A41195" w:rsidRPr="00586CCF">
        <w:rPr>
          <w:rFonts w:ascii="Times New Roman" w:hAnsi="Times New Roman" w:cs="Times New Roman"/>
          <w:b/>
          <w:sz w:val="24"/>
          <w:szCs w:val="24"/>
        </w:rPr>
        <w:t>: Expenditure by category</w:t>
      </w:r>
    </w:p>
    <w:tbl>
      <w:tblPr>
        <w:tblW w:w="8931" w:type="dxa"/>
        <w:tblInd w:w="-5" w:type="dxa"/>
        <w:tblLook w:val="04A0" w:firstRow="1" w:lastRow="0" w:firstColumn="1" w:lastColumn="0" w:noHBand="0" w:noVBand="1"/>
      </w:tblPr>
      <w:tblGrid>
        <w:gridCol w:w="4649"/>
        <w:gridCol w:w="2864"/>
        <w:gridCol w:w="1418"/>
      </w:tblGrid>
      <w:tr w:rsidR="00E435B3" w:rsidRPr="00586CCF" w14:paraId="186F3305" w14:textId="77777777" w:rsidTr="006D18C5">
        <w:trPr>
          <w:trHeight w:val="469"/>
          <w:tblHeader/>
        </w:trPr>
        <w:tc>
          <w:tcPr>
            <w:tcW w:w="4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451717" w14:textId="77777777" w:rsidR="00E435B3" w:rsidRPr="006D18C5" w:rsidRDefault="00E435B3" w:rsidP="00586CCF">
            <w:pPr>
              <w:spacing w:line="360" w:lineRule="auto"/>
              <w:jc w:val="center"/>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Appropriation per economic classification</w:t>
            </w:r>
          </w:p>
        </w:tc>
        <w:tc>
          <w:tcPr>
            <w:tcW w:w="286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93A6A2" w14:textId="77777777" w:rsidR="00E435B3" w:rsidRPr="006D18C5" w:rsidRDefault="00E435B3" w:rsidP="006D18C5">
            <w:pPr>
              <w:spacing w:line="360" w:lineRule="auto"/>
              <w:jc w:val="center"/>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Actual expenditure (R'000)</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66C6BC4" w14:textId="77777777" w:rsidR="00E435B3" w:rsidRPr="006D18C5" w:rsidDel="0022536D" w:rsidRDefault="00E435B3">
            <w:pPr>
              <w:spacing w:line="360" w:lineRule="auto"/>
              <w:jc w:val="center"/>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Share (%)</w:t>
            </w:r>
          </w:p>
        </w:tc>
      </w:tr>
      <w:tr w:rsidR="00E435B3" w:rsidRPr="00586CCF" w14:paraId="26C51964" w14:textId="77777777" w:rsidTr="006D18C5">
        <w:trPr>
          <w:trHeight w:val="264"/>
        </w:trPr>
        <w:tc>
          <w:tcPr>
            <w:tcW w:w="4649" w:type="dxa"/>
            <w:tcBorders>
              <w:top w:val="nil"/>
              <w:left w:val="single" w:sz="4" w:space="0" w:color="auto"/>
              <w:bottom w:val="single" w:sz="4" w:space="0" w:color="auto"/>
              <w:right w:val="single" w:sz="4" w:space="0" w:color="auto"/>
            </w:tcBorders>
            <w:shd w:val="clear" w:color="auto" w:fill="auto"/>
            <w:vAlign w:val="center"/>
            <w:hideMark/>
          </w:tcPr>
          <w:p w14:paraId="7D05011B" w14:textId="77777777" w:rsidR="00E435B3" w:rsidRPr="006D18C5" w:rsidRDefault="00E435B3" w:rsidP="00586CCF">
            <w:pPr>
              <w:spacing w:line="360" w:lineRule="auto"/>
              <w:jc w:val="lef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Current payments</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44087526" w14:textId="77777777" w:rsidR="00E435B3" w:rsidRPr="006D18C5" w:rsidRDefault="00E435B3">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1</w:t>
            </w:r>
            <w:r w:rsidR="0002126E" w:rsidRPr="006D18C5">
              <w:rPr>
                <w:rFonts w:ascii="Times New Roman" w:eastAsia="Times New Roman" w:hAnsi="Times New Roman" w:cs="Times New Roman"/>
                <w:b/>
                <w:bCs/>
                <w:szCs w:val="24"/>
                <w:lang w:eastAsia="en-ZA"/>
              </w:rPr>
              <w:t> </w:t>
            </w:r>
            <w:r w:rsidRPr="006D18C5">
              <w:rPr>
                <w:rFonts w:ascii="Times New Roman" w:eastAsia="Times New Roman" w:hAnsi="Times New Roman" w:cs="Times New Roman"/>
                <w:b/>
                <w:bCs/>
                <w:szCs w:val="24"/>
                <w:lang w:eastAsia="en-ZA"/>
              </w:rPr>
              <w:t>505</w:t>
            </w:r>
            <w:r w:rsidR="0002126E" w:rsidRPr="006D18C5">
              <w:rPr>
                <w:rFonts w:ascii="Times New Roman" w:eastAsia="Times New Roman" w:hAnsi="Times New Roman" w:cs="Times New Roman"/>
                <w:b/>
                <w:bCs/>
                <w:szCs w:val="24"/>
                <w:lang w:eastAsia="en-ZA"/>
              </w:rPr>
              <w:t> </w:t>
            </w:r>
            <w:r w:rsidRPr="006D18C5">
              <w:rPr>
                <w:rFonts w:ascii="Times New Roman" w:eastAsia="Times New Roman" w:hAnsi="Times New Roman" w:cs="Times New Roman"/>
                <w:b/>
                <w:bCs/>
                <w:szCs w:val="24"/>
                <w:lang w:eastAsia="en-ZA"/>
              </w:rPr>
              <w:t xml:space="preserve">485 </w:t>
            </w:r>
          </w:p>
        </w:tc>
        <w:tc>
          <w:tcPr>
            <w:tcW w:w="1418" w:type="dxa"/>
            <w:tcBorders>
              <w:top w:val="single" w:sz="4" w:space="0" w:color="auto"/>
              <w:left w:val="nil"/>
              <w:bottom w:val="single" w:sz="4" w:space="0" w:color="auto"/>
              <w:right w:val="single" w:sz="4" w:space="0" w:color="auto"/>
            </w:tcBorders>
          </w:tcPr>
          <w:p w14:paraId="138314E4" w14:textId="77777777" w:rsidR="00E435B3" w:rsidRPr="006D18C5" w:rsidRDefault="0002126E" w:rsidP="00586CC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14.5%</w:t>
            </w:r>
          </w:p>
        </w:tc>
      </w:tr>
      <w:tr w:rsidR="00E435B3" w:rsidRPr="00586CCF" w14:paraId="44145535" w14:textId="77777777" w:rsidTr="006D18C5">
        <w:trPr>
          <w:trHeight w:val="264"/>
        </w:trPr>
        <w:tc>
          <w:tcPr>
            <w:tcW w:w="4649" w:type="dxa"/>
            <w:tcBorders>
              <w:top w:val="nil"/>
              <w:left w:val="single" w:sz="4" w:space="0" w:color="auto"/>
              <w:bottom w:val="single" w:sz="4" w:space="0" w:color="auto"/>
              <w:right w:val="single" w:sz="4" w:space="0" w:color="auto"/>
            </w:tcBorders>
            <w:shd w:val="clear" w:color="auto" w:fill="auto"/>
            <w:vAlign w:val="center"/>
            <w:hideMark/>
          </w:tcPr>
          <w:p w14:paraId="726BCB65" w14:textId="77777777" w:rsidR="00E435B3" w:rsidRPr="006D18C5" w:rsidRDefault="00E435B3" w:rsidP="006D18C5">
            <w:pPr>
              <w:spacing w:line="360" w:lineRule="auto"/>
              <w:ind w:firstLineChars="300" w:firstLine="660"/>
              <w:jc w:val="lef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Salaries and wages</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2C66D921" w14:textId="77777777" w:rsidR="00E435B3" w:rsidRPr="006D18C5" w:rsidRDefault="00E435B3"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815</w:t>
            </w:r>
            <w:r w:rsidR="0002126E" w:rsidRPr="006D18C5">
              <w:rPr>
                <w:rFonts w:ascii="Times New Roman" w:eastAsia="Times New Roman" w:hAnsi="Times New Roman" w:cs="Times New Roman"/>
                <w:szCs w:val="24"/>
                <w:lang w:eastAsia="en-ZA"/>
              </w:rPr>
              <w:t> </w:t>
            </w:r>
            <w:r w:rsidRPr="006D18C5">
              <w:rPr>
                <w:rFonts w:ascii="Times New Roman" w:eastAsia="Times New Roman" w:hAnsi="Times New Roman" w:cs="Times New Roman"/>
                <w:szCs w:val="24"/>
                <w:lang w:eastAsia="en-ZA"/>
              </w:rPr>
              <w:t xml:space="preserve">824 </w:t>
            </w:r>
          </w:p>
        </w:tc>
        <w:tc>
          <w:tcPr>
            <w:tcW w:w="1418" w:type="dxa"/>
            <w:tcBorders>
              <w:top w:val="single" w:sz="4" w:space="0" w:color="auto"/>
              <w:left w:val="nil"/>
              <w:bottom w:val="single" w:sz="4" w:space="0" w:color="auto"/>
              <w:right w:val="single" w:sz="4" w:space="0" w:color="auto"/>
            </w:tcBorders>
          </w:tcPr>
          <w:p w14:paraId="00A48F26" w14:textId="77777777" w:rsidR="00E435B3" w:rsidRPr="006D18C5" w:rsidRDefault="0002126E"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7.9%</w:t>
            </w:r>
          </w:p>
        </w:tc>
      </w:tr>
      <w:tr w:rsidR="00E435B3" w:rsidRPr="00586CCF" w14:paraId="29C824A0" w14:textId="77777777" w:rsidTr="006D18C5">
        <w:trPr>
          <w:trHeight w:val="264"/>
        </w:trPr>
        <w:tc>
          <w:tcPr>
            <w:tcW w:w="4649" w:type="dxa"/>
            <w:tcBorders>
              <w:top w:val="nil"/>
              <w:left w:val="single" w:sz="4" w:space="0" w:color="auto"/>
              <w:bottom w:val="single" w:sz="4" w:space="0" w:color="auto"/>
              <w:right w:val="single" w:sz="4" w:space="0" w:color="auto"/>
            </w:tcBorders>
            <w:shd w:val="clear" w:color="auto" w:fill="auto"/>
            <w:vAlign w:val="center"/>
            <w:hideMark/>
          </w:tcPr>
          <w:p w14:paraId="5B15B921" w14:textId="77777777" w:rsidR="00E435B3" w:rsidRPr="006D18C5" w:rsidRDefault="00E435B3" w:rsidP="006D18C5">
            <w:pPr>
              <w:spacing w:line="360" w:lineRule="auto"/>
              <w:ind w:firstLineChars="300" w:firstLine="660"/>
              <w:jc w:val="lef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Social contributions</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6B6C1B59" w14:textId="77777777" w:rsidR="00E435B3" w:rsidRPr="006D18C5" w:rsidRDefault="00E435B3"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99</w:t>
            </w:r>
            <w:r w:rsidR="0002126E" w:rsidRPr="006D18C5">
              <w:rPr>
                <w:rFonts w:ascii="Times New Roman" w:eastAsia="Times New Roman" w:hAnsi="Times New Roman" w:cs="Times New Roman"/>
                <w:szCs w:val="24"/>
                <w:lang w:eastAsia="en-ZA"/>
              </w:rPr>
              <w:t> </w:t>
            </w:r>
            <w:r w:rsidRPr="006D18C5">
              <w:rPr>
                <w:rFonts w:ascii="Times New Roman" w:eastAsia="Times New Roman" w:hAnsi="Times New Roman" w:cs="Times New Roman"/>
                <w:szCs w:val="24"/>
                <w:lang w:eastAsia="en-ZA"/>
              </w:rPr>
              <w:t xml:space="preserve">674 </w:t>
            </w:r>
          </w:p>
        </w:tc>
        <w:tc>
          <w:tcPr>
            <w:tcW w:w="1418" w:type="dxa"/>
            <w:tcBorders>
              <w:top w:val="single" w:sz="4" w:space="0" w:color="auto"/>
              <w:left w:val="nil"/>
              <w:bottom w:val="single" w:sz="4" w:space="0" w:color="auto"/>
              <w:right w:val="single" w:sz="4" w:space="0" w:color="auto"/>
            </w:tcBorders>
          </w:tcPr>
          <w:p w14:paraId="2D6228E8" w14:textId="77777777" w:rsidR="00E435B3" w:rsidRPr="006D18C5" w:rsidRDefault="0002126E"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1.0%</w:t>
            </w:r>
          </w:p>
        </w:tc>
      </w:tr>
      <w:tr w:rsidR="00E435B3" w:rsidRPr="00586CCF" w14:paraId="7AE3F37E" w14:textId="77777777" w:rsidTr="006D18C5">
        <w:trPr>
          <w:trHeight w:val="264"/>
        </w:trPr>
        <w:tc>
          <w:tcPr>
            <w:tcW w:w="4649" w:type="dxa"/>
            <w:tcBorders>
              <w:top w:val="nil"/>
              <w:left w:val="single" w:sz="4" w:space="0" w:color="auto"/>
              <w:bottom w:val="single" w:sz="4" w:space="0" w:color="auto"/>
              <w:right w:val="single" w:sz="4" w:space="0" w:color="auto"/>
            </w:tcBorders>
            <w:shd w:val="clear" w:color="auto" w:fill="auto"/>
            <w:vAlign w:val="center"/>
            <w:hideMark/>
          </w:tcPr>
          <w:p w14:paraId="7E31C784" w14:textId="77777777" w:rsidR="00E435B3" w:rsidRPr="006D18C5" w:rsidRDefault="00E435B3" w:rsidP="006D18C5">
            <w:pPr>
              <w:spacing w:line="360" w:lineRule="auto"/>
              <w:ind w:firstLineChars="100" w:firstLine="220"/>
              <w:jc w:val="lef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Goods and services</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56C01866" w14:textId="77777777" w:rsidR="00E435B3" w:rsidRPr="006D18C5" w:rsidRDefault="00E435B3"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589</w:t>
            </w:r>
            <w:r w:rsidR="0002126E" w:rsidRPr="006D18C5">
              <w:rPr>
                <w:rFonts w:ascii="Times New Roman" w:eastAsia="Times New Roman" w:hAnsi="Times New Roman" w:cs="Times New Roman"/>
                <w:szCs w:val="24"/>
                <w:lang w:eastAsia="en-ZA"/>
              </w:rPr>
              <w:t> </w:t>
            </w:r>
            <w:r w:rsidRPr="006D18C5">
              <w:rPr>
                <w:rFonts w:ascii="Times New Roman" w:eastAsia="Times New Roman" w:hAnsi="Times New Roman" w:cs="Times New Roman"/>
                <w:szCs w:val="24"/>
                <w:lang w:eastAsia="en-ZA"/>
              </w:rPr>
              <w:t xml:space="preserve">987 </w:t>
            </w:r>
          </w:p>
        </w:tc>
        <w:tc>
          <w:tcPr>
            <w:tcW w:w="1418" w:type="dxa"/>
            <w:tcBorders>
              <w:top w:val="single" w:sz="4" w:space="0" w:color="auto"/>
              <w:left w:val="nil"/>
              <w:bottom w:val="single" w:sz="4" w:space="0" w:color="auto"/>
              <w:right w:val="single" w:sz="4" w:space="0" w:color="auto"/>
            </w:tcBorders>
          </w:tcPr>
          <w:p w14:paraId="2274EE3A" w14:textId="77777777" w:rsidR="00E435B3" w:rsidRPr="006D18C5" w:rsidRDefault="0002126E"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5.7%</w:t>
            </w:r>
          </w:p>
        </w:tc>
      </w:tr>
      <w:tr w:rsidR="00E435B3" w:rsidRPr="00586CCF" w14:paraId="66469EC2" w14:textId="77777777" w:rsidTr="006D18C5">
        <w:trPr>
          <w:trHeight w:val="264"/>
        </w:trPr>
        <w:tc>
          <w:tcPr>
            <w:tcW w:w="4649" w:type="dxa"/>
            <w:tcBorders>
              <w:top w:val="nil"/>
              <w:left w:val="single" w:sz="4" w:space="0" w:color="auto"/>
              <w:bottom w:val="single" w:sz="4" w:space="0" w:color="auto"/>
              <w:right w:val="single" w:sz="4" w:space="0" w:color="auto"/>
            </w:tcBorders>
            <w:shd w:val="clear" w:color="auto" w:fill="auto"/>
            <w:vAlign w:val="center"/>
            <w:hideMark/>
          </w:tcPr>
          <w:p w14:paraId="16013378" w14:textId="77777777" w:rsidR="00E435B3" w:rsidRPr="006D18C5" w:rsidRDefault="00E435B3" w:rsidP="00586CCF">
            <w:pPr>
              <w:spacing w:line="360" w:lineRule="auto"/>
              <w:jc w:val="lef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Transfers and subsidies</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47203E76" w14:textId="77777777" w:rsidR="00E435B3" w:rsidRPr="006D18C5" w:rsidRDefault="00E435B3">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8</w:t>
            </w:r>
            <w:r w:rsidR="0002126E" w:rsidRPr="006D18C5">
              <w:rPr>
                <w:rFonts w:ascii="Times New Roman" w:eastAsia="Times New Roman" w:hAnsi="Times New Roman" w:cs="Times New Roman"/>
                <w:b/>
                <w:bCs/>
                <w:szCs w:val="24"/>
                <w:lang w:eastAsia="en-ZA"/>
              </w:rPr>
              <w:t> </w:t>
            </w:r>
            <w:r w:rsidRPr="006D18C5">
              <w:rPr>
                <w:rFonts w:ascii="Times New Roman" w:eastAsia="Times New Roman" w:hAnsi="Times New Roman" w:cs="Times New Roman"/>
                <w:b/>
                <w:bCs/>
                <w:szCs w:val="24"/>
                <w:lang w:eastAsia="en-ZA"/>
              </w:rPr>
              <w:t>818</w:t>
            </w:r>
            <w:r w:rsidR="0002126E" w:rsidRPr="006D18C5">
              <w:rPr>
                <w:rFonts w:ascii="Times New Roman" w:eastAsia="Times New Roman" w:hAnsi="Times New Roman" w:cs="Times New Roman"/>
                <w:b/>
                <w:bCs/>
                <w:szCs w:val="24"/>
                <w:lang w:eastAsia="en-ZA"/>
              </w:rPr>
              <w:t> </w:t>
            </w:r>
            <w:r w:rsidRPr="006D18C5">
              <w:rPr>
                <w:rFonts w:ascii="Times New Roman" w:eastAsia="Times New Roman" w:hAnsi="Times New Roman" w:cs="Times New Roman"/>
                <w:b/>
                <w:bCs/>
                <w:szCs w:val="24"/>
                <w:lang w:eastAsia="en-ZA"/>
              </w:rPr>
              <w:t xml:space="preserve">108 </w:t>
            </w:r>
          </w:p>
        </w:tc>
        <w:tc>
          <w:tcPr>
            <w:tcW w:w="1418" w:type="dxa"/>
            <w:tcBorders>
              <w:top w:val="single" w:sz="4" w:space="0" w:color="auto"/>
              <w:left w:val="nil"/>
              <w:bottom w:val="single" w:sz="4" w:space="0" w:color="auto"/>
              <w:right w:val="single" w:sz="4" w:space="0" w:color="auto"/>
            </w:tcBorders>
          </w:tcPr>
          <w:p w14:paraId="3B0913BA" w14:textId="77777777" w:rsidR="00E435B3" w:rsidRPr="006D18C5" w:rsidRDefault="0002126E" w:rsidP="00586CC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85.2%</w:t>
            </w:r>
          </w:p>
        </w:tc>
      </w:tr>
      <w:tr w:rsidR="00E435B3" w:rsidRPr="00586CCF" w14:paraId="1255014E" w14:textId="77777777" w:rsidTr="006D18C5">
        <w:trPr>
          <w:trHeight w:val="264"/>
        </w:trPr>
        <w:tc>
          <w:tcPr>
            <w:tcW w:w="4649" w:type="dxa"/>
            <w:tcBorders>
              <w:top w:val="nil"/>
              <w:left w:val="single" w:sz="4" w:space="0" w:color="auto"/>
              <w:bottom w:val="single" w:sz="4" w:space="0" w:color="auto"/>
              <w:right w:val="single" w:sz="4" w:space="0" w:color="auto"/>
            </w:tcBorders>
            <w:shd w:val="clear" w:color="auto" w:fill="auto"/>
            <w:vAlign w:val="center"/>
            <w:hideMark/>
          </w:tcPr>
          <w:p w14:paraId="3E4570A9" w14:textId="77777777" w:rsidR="00E435B3" w:rsidRPr="006D18C5" w:rsidRDefault="00E435B3" w:rsidP="00586CCF">
            <w:pPr>
              <w:spacing w:line="360" w:lineRule="auto"/>
              <w:jc w:val="lef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Payments for capital assets</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08FFEAB9" w14:textId="77777777" w:rsidR="00E435B3" w:rsidRPr="006D18C5" w:rsidRDefault="00E435B3"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16</w:t>
            </w:r>
            <w:r w:rsidR="0002126E" w:rsidRPr="006D18C5">
              <w:rPr>
                <w:rFonts w:ascii="Times New Roman" w:eastAsia="Times New Roman" w:hAnsi="Times New Roman" w:cs="Times New Roman"/>
                <w:szCs w:val="24"/>
                <w:lang w:eastAsia="en-ZA"/>
              </w:rPr>
              <w:t> </w:t>
            </w:r>
            <w:r w:rsidRPr="006D18C5">
              <w:rPr>
                <w:rFonts w:ascii="Times New Roman" w:eastAsia="Times New Roman" w:hAnsi="Times New Roman" w:cs="Times New Roman"/>
                <w:szCs w:val="24"/>
                <w:lang w:eastAsia="en-ZA"/>
              </w:rPr>
              <w:t xml:space="preserve">103 </w:t>
            </w:r>
          </w:p>
        </w:tc>
        <w:tc>
          <w:tcPr>
            <w:tcW w:w="1418" w:type="dxa"/>
            <w:tcBorders>
              <w:top w:val="single" w:sz="4" w:space="0" w:color="auto"/>
              <w:left w:val="nil"/>
              <w:bottom w:val="single" w:sz="4" w:space="0" w:color="auto"/>
              <w:right w:val="single" w:sz="4" w:space="0" w:color="auto"/>
            </w:tcBorders>
          </w:tcPr>
          <w:p w14:paraId="5CDC8130" w14:textId="77777777" w:rsidR="00E435B3" w:rsidRPr="006D18C5" w:rsidRDefault="0002126E"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0.2%</w:t>
            </w:r>
          </w:p>
        </w:tc>
      </w:tr>
      <w:tr w:rsidR="00E435B3" w:rsidRPr="00586CCF" w14:paraId="3B537F0F" w14:textId="77777777" w:rsidTr="006D18C5">
        <w:trPr>
          <w:trHeight w:val="264"/>
        </w:trPr>
        <w:tc>
          <w:tcPr>
            <w:tcW w:w="4649" w:type="dxa"/>
            <w:tcBorders>
              <w:top w:val="nil"/>
              <w:left w:val="single" w:sz="4" w:space="0" w:color="auto"/>
              <w:bottom w:val="single" w:sz="4" w:space="0" w:color="auto"/>
              <w:right w:val="single" w:sz="4" w:space="0" w:color="auto"/>
            </w:tcBorders>
            <w:shd w:val="clear" w:color="auto" w:fill="auto"/>
            <w:vAlign w:val="center"/>
            <w:hideMark/>
          </w:tcPr>
          <w:p w14:paraId="621FD245" w14:textId="77777777" w:rsidR="00E435B3" w:rsidRPr="006D18C5" w:rsidRDefault="00E435B3" w:rsidP="00586CCF">
            <w:pPr>
              <w:spacing w:line="360" w:lineRule="auto"/>
              <w:jc w:val="lef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Payment for financial assets</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79D27F19" w14:textId="77777777" w:rsidR="00E435B3" w:rsidRPr="006D18C5" w:rsidRDefault="00E435B3"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9</w:t>
            </w:r>
            <w:r w:rsidR="0002126E" w:rsidRPr="006D18C5">
              <w:rPr>
                <w:rFonts w:ascii="Times New Roman" w:eastAsia="Times New Roman" w:hAnsi="Times New Roman" w:cs="Times New Roman"/>
                <w:szCs w:val="24"/>
                <w:lang w:eastAsia="en-ZA"/>
              </w:rPr>
              <w:t> </w:t>
            </w:r>
            <w:r w:rsidRPr="006D18C5">
              <w:rPr>
                <w:rFonts w:ascii="Times New Roman" w:eastAsia="Times New Roman" w:hAnsi="Times New Roman" w:cs="Times New Roman"/>
                <w:szCs w:val="24"/>
                <w:lang w:eastAsia="en-ZA"/>
              </w:rPr>
              <w:t xml:space="preserve">700 </w:t>
            </w:r>
          </w:p>
        </w:tc>
        <w:tc>
          <w:tcPr>
            <w:tcW w:w="1418" w:type="dxa"/>
            <w:tcBorders>
              <w:top w:val="single" w:sz="4" w:space="0" w:color="auto"/>
              <w:left w:val="nil"/>
              <w:bottom w:val="single" w:sz="4" w:space="0" w:color="auto"/>
              <w:right w:val="single" w:sz="4" w:space="0" w:color="auto"/>
            </w:tcBorders>
          </w:tcPr>
          <w:p w14:paraId="1B62E0B7" w14:textId="77777777" w:rsidR="00E435B3" w:rsidRPr="006D18C5" w:rsidRDefault="0002126E"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0.1%</w:t>
            </w:r>
          </w:p>
        </w:tc>
      </w:tr>
      <w:tr w:rsidR="00E435B3" w:rsidRPr="00586CCF" w14:paraId="4991404A" w14:textId="77777777" w:rsidTr="006D18C5">
        <w:trPr>
          <w:trHeight w:val="264"/>
        </w:trPr>
        <w:tc>
          <w:tcPr>
            <w:tcW w:w="4649" w:type="dxa"/>
            <w:tcBorders>
              <w:top w:val="nil"/>
              <w:left w:val="single" w:sz="4" w:space="0" w:color="auto"/>
              <w:bottom w:val="single" w:sz="4" w:space="0" w:color="auto"/>
              <w:right w:val="single" w:sz="4" w:space="0" w:color="auto"/>
            </w:tcBorders>
            <w:shd w:val="clear" w:color="auto" w:fill="auto"/>
            <w:vAlign w:val="center"/>
            <w:hideMark/>
          </w:tcPr>
          <w:p w14:paraId="0D3E2D3B" w14:textId="77777777" w:rsidR="00E435B3" w:rsidRPr="006D18C5" w:rsidRDefault="00E435B3" w:rsidP="00586CCF">
            <w:pPr>
              <w:spacing w:line="360" w:lineRule="auto"/>
              <w:jc w:val="lef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Total</w:t>
            </w:r>
          </w:p>
        </w:tc>
        <w:tc>
          <w:tcPr>
            <w:tcW w:w="2864" w:type="dxa"/>
            <w:tcBorders>
              <w:top w:val="single" w:sz="4" w:space="0" w:color="auto"/>
              <w:left w:val="nil"/>
              <w:bottom w:val="single" w:sz="4" w:space="0" w:color="auto"/>
              <w:right w:val="single" w:sz="4" w:space="0" w:color="auto"/>
            </w:tcBorders>
            <w:shd w:val="clear" w:color="auto" w:fill="auto"/>
            <w:noWrap/>
            <w:vAlign w:val="center"/>
            <w:hideMark/>
          </w:tcPr>
          <w:p w14:paraId="2559EE8D" w14:textId="77777777" w:rsidR="00E435B3" w:rsidRPr="006D18C5" w:rsidRDefault="00E435B3" w:rsidP="00586CC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10</w:t>
            </w:r>
            <w:r w:rsidR="0002126E" w:rsidRPr="006D18C5">
              <w:rPr>
                <w:rFonts w:ascii="Times New Roman" w:eastAsia="Times New Roman" w:hAnsi="Times New Roman" w:cs="Times New Roman"/>
                <w:b/>
                <w:bCs/>
                <w:szCs w:val="24"/>
                <w:lang w:eastAsia="en-ZA"/>
              </w:rPr>
              <w:t> </w:t>
            </w:r>
            <w:r w:rsidRPr="006D18C5">
              <w:rPr>
                <w:rFonts w:ascii="Times New Roman" w:eastAsia="Times New Roman" w:hAnsi="Times New Roman" w:cs="Times New Roman"/>
                <w:b/>
                <w:bCs/>
                <w:szCs w:val="24"/>
                <w:lang w:eastAsia="en-ZA"/>
              </w:rPr>
              <w:t>349</w:t>
            </w:r>
            <w:r w:rsidR="0002126E" w:rsidRPr="006D18C5">
              <w:rPr>
                <w:rFonts w:ascii="Times New Roman" w:eastAsia="Times New Roman" w:hAnsi="Times New Roman" w:cs="Times New Roman"/>
                <w:b/>
                <w:bCs/>
                <w:szCs w:val="24"/>
                <w:lang w:eastAsia="en-ZA"/>
              </w:rPr>
              <w:t> </w:t>
            </w:r>
            <w:r w:rsidRPr="006D18C5">
              <w:rPr>
                <w:rFonts w:ascii="Times New Roman" w:eastAsia="Times New Roman" w:hAnsi="Times New Roman" w:cs="Times New Roman"/>
                <w:b/>
                <w:bCs/>
                <w:szCs w:val="24"/>
                <w:lang w:eastAsia="en-ZA"/>
              </w:rPr>
              <w:t>396</w:t>
            </w:r>
          </w:p>
        </w:tc>
        <w:tc>
          <w:tcPr>
            <w:tcW w:w="1418" w:type="dxa"/>
            <w:tcBorders>
              <w:top w:val="single" w:sz="4" w:space="0" w:color="auto"/>
              <w:left w:val="nil"/>
              <w:bottom w:val="single" w:sz="4" w:space="0" w:color="auto"/>
              <w:right w:val="single" w:sz="4" w:space="0" w:color="auto"/>
            </w:tcBorders>
          </w:tcPr>
          <w:p w14:paraId="062160F5" w14:textId="77777777" w:rsidR="00E435B3" w:rsidRPr="006D18C5" w:rsidRDefault="00E435B3" w:rsidP="00586CC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100%</w:t>
            </w:r>
          </w:p>
        </w:tc>
      </w:tr>
    </w:tbl>
    <w:p w14:paraId="645C33F1" w14:textId="77777777" w:rsidR="00A41195" w:rsidRDefault="00A41195" w:rsidP="00586CCF">
      <w:pPr>
        <w:widowControl w:val="0"/>
        <w:overflowPunct w:val="0"/>
        <w:autoSpaceDE w:val="0"/>
        <w:autoSpaceDN w:val="0"/>
        <w:adjustRightInd w:val="0"/>
        <w:spacing w:line="360" w:lineRule="auto"/>
        <w:ind w:right="100"/>
        <w:rPr>
          <w:rFonts w:ascii="Times New Roman" w:hAnsi="Times New Roman" w:cs="Times New Roman"/>
          <w:sz w:val="24"/>
          <w:szCs w:val="24"/>
        </w:rPr>
      </w:pPr>
    </w:p>
    <w:p w14:paraId="40419551" w14:textId="77777777" w:rsidR="00AB63A9" w:rsidRPr="00586CCF" w:rsidRDefault="00AB63A9" w:rsidP="00586CCF">
      <w:pPr>
        <w:widowControl w:val="0"/>
        <w:overflowPunct w:val="0"/>
        <w:autoSpaceDE w:val="0"/>
        <w:autoSpaceDN w:val="0"/>
        <w:adjustRightInd w:val="0"/>
        <w:spacing w:line="360" w:lineRule="auto"/>
        <w:ind w:right="100"/>
        <w:rPr>
          <w:rFonts w:ascii="Times New Roman" w:hAnsi="Times New Roman" w:cs="Times New Roman"/>
          <w:sz w:val="24"/>
          <w:szCs w:val="24"/>
        </w:rPr>
      </w:pPr>
    </w:p>
    <w:p w14:paraId="2F0A2C6D" w14:textId="77777777" w:rsidR="00A41195" w:rsidRPr="00432CE0" w:rsidRDefault="00A41195" w:rsidP="009D5D24">
      <w:pPr>
        <w:pStyle w:val="Heading2"/>
        <w:numPr>
          <w:ilvl w:val="3"/>
          <w:numId w:val="22"/>
        </w:numPr>
        <w:spacing w:before="0" w:line="360" w:lineRule="auto"/>
        <w:rPr>
          <w:rFonts w:ascii="Times New Roman" w:hAnsi="Times New Roman" w:cs="Times New Roman"/>
          <w:color w:val="auto"/>
          <w:sz w:val="24"/>
          <w:szCs w:val="24"/>
        </w:rPr>
      </w:pPr>
      <w:r w:rsidRPr="00432CE0">
        <w:rPr>
          <w:rFonts w:ascii="Times New Roman" w:hAnsi="Times New Roman" w:cs="Times New Roman"/>
          <w:color w:val="auto"/>
          <w:sz w:val="24"/>
          <w:szCs w:val="24"/>
        </w:rPr>
        <w:t>Transfers to DTI entities</w:t>
      </w:r>
    </w:p>
    <w:p w14:paraId="34572FEF" w14:textId="77777777" w:rsidR="00A41195" w:rsidRPr="00586CCF" w:rsidRDefault="00A41195" w:rsidP="00586CCF">
      <w:pPr>
        <w:spacing w:line="360" w:lineRule="auto"/>
        <w:rPr>
          <w:rFonts w:ascii="Times New Roman" w:hAnsi="Times New Roman" w:cs="Times New Roman"/>
          <w:sz w:val="24"/>
          <w:szCs w:val="24"/>
        </w:rPr>
      </w:pPr>
    </w:p>
    <w:p w14:paraId="0FD6B19A" w14:textId="77777777" w:rsidR="00A41195" w:rsidRPr="00586CCF" w:rsidRDefault="00A41195"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work of the </w:t>
      </w:r>
      <w:r w:rsidR="00867620" w:rsidRPr="00586CCF">
        <w:rPr>
          <w:rFonts w:ascii="Times New Roman" w:hAnsi="Times New Roman" w:cs="Times New Roman"/>
          <w:sz w:val="24"/>
          <w:szCs w:val="24"/>
        </w:rPr>
        <w:t>D</w:t>
      </w:r>
      <w:r w:rsidR="00867620">
        <w:rPr>
          <w:rFonts w:ascii="Times New Roman" w:hAnsi="Times New Roman" w:cs="Times New Roman"/>
          <w:sz w:val="24"/>
          <w:szCs w:val="24"/>
        </w:rPr>
        <w:t>TI</w:t>
      </w:r>
      <w:r w:rsidR="00867620" w:rsidRPr="00586CCF">
        <w:rPr>
          <w:rFonts w:ascii="Times New Roman" w:hAnsi="Times New Roman" w:cs="Times New Roman"/>
          <w:sz w:val="24"/>
          <w:szCs w:val="24"/>
        </w:rPr>
        <w:t xml:space="preserve"> </w:t>
      </w:r>
      <w:r w:rsidRPr="00586CCF">
        <w:rPr>
          <w:rFonts w:ascii="Times New Roman" w:hAnsi="Times New Roman" w:cs="Times New Roman"/>
          <w:sz w:val="24"/>
          <w:szCs w:val="24"/>
        </w:rPr>
        <w:t xml:space="preserve">extends to the entities that </w:t>
      </w:r>
      <w:r w:rsidR="00867620">
        <w:rPr>
          <w:rFonts w:ascii="Times New Roman" w:hAnsi="Times New Roman" w:cs="Times New Roman"/>
          <w:sz w:val="24"/>
          <w:szCs w:val="24"/>
        </w:rPr>
        <w:t>it</w:t>
      </w:r>
      <w:r w:rsidRPr="00586CCF">
        <w:rPr>
          <w:rFonts w:ascii="Times New Roman" w:hAnsi="Times New Roman" w:cs="Times New Roman"/>
          <w:sz w:val="24"/>
          <w:szCs w:val="24"/>
        </w:rPr>
        <w:t xml:space="preserve"> oversees. During the 2016/17 financial year, thirteen entities reported to </w:t>
      </w:r>
      <w:r w:rsidR="00867620">
        <w:rPr>
          <w:rFonts w:ascii="Times New Roman" w:hAnsi="Times New Roman" w:cs="Times New Roman"/>
          <w:sz w:val="24"/>
          <w:szCs w:val="24"/>
        </w:rPr>
        <w:t>it</w:t>
      </w:r>
      <w:r w:rsidRPr="00586CCF">
        <w:rPr>
          <w:rFonts w:ascii="Times New Roman" w:hAnsi="Times New Roman" w:cs="Times New Roman"/>
          <w:sz w:val="24"/>
          <w:szCs w:val="24"/>
        </w:rPr>
        <w:t xml:space="preserve">. </w:t>
      </w:r>
      <w:r w:rsidRPr="00586CCF">
        <w:rPr>
          <w:rFonts w:ascii="Times New Roman" w:hAnsi="Times New Roman" w:cs="Times New Roman"/>
          <w:noProof/>
          <w:sz w:val="24"/>
          <w:szCs w:val="24"/>
          <w:lang w:eastAsia="en-ZA"/>
        </w:rPr>
        <w:t xml:space="preserve">Of the 13 entities, three are fully self-funded, these are </w:t>
      </w:r>
      <w:r w:rsidR="00867620">
        <w:rPr>
          <w:rFonts w:ascii="Times New Roman" w:hAnsi="Times New Roman" w:cs="Times New Roman"/>
          <w:noProof/>
          <w:sz w:val="24"/>
          <w:szCs w:val="24"/>
          <w:lang w:eastAsia="en-ZA"/>
        </w:rPr>
        <w:t xml:space="preserve">the </w:t>
      </w:r>
      <w:r w:rsidRPr="00586CCF">
        <w:rPr>
          <w:rFonts w:ascii="Times New Roman" w:hAnsi="Times New Roman" w:cs="Times New Roman"/>
          <w:noProof/>
          <w:sz w:val="24"/>
          <w:szCs w:val="24"/>
          <w:lang w:eastAsia="en-ZA"/>
        </w:rPr>
        <w:t>CIPC, NEF and NLC</w:t>
      </w:r>
      <w:r w:rsidRPr="00586CCF">
        <w:rPr>
          <w:rStyle w:val="FootnoteReference"/>
          <w:rFonts w:ascii="Times New Roman" w:hAnsi="Times New Roman" w:cs="Times New Roman"/>
          <w:noProof/>
          <w:sz w:val="24"/>
          <w:szCs w:val="24"/>
          <w:lang w:eastAsia="en-ZA"/>
        </w:rPr>
        <w:footnoteReference w:id="5"/>
      </w:r>
      <w:r w:rsidRPr="00586CCF">
        <w:rPr>
          <w:rFonts w:ascii="Times New Roman" w:hAnsi="Times New Roman" w:cs="Times New Roman"/>
          <w:noProof/>
          <w:sz w:val="24"/>
          <w:szCs w:val="24"/>
          <w:lang w:eastAsia="en-ZA"/>
        </w:rPr>
        <w:t xml:space="preserve">. </w:t>
      </w:r>
      <w:r w:rsidR="00867620">
        <w:rPr>
          <w:rFonts w:ascii="Times New Roman" w:hAnsi="Times New Roman" w:cs="Times New Roman"/>
          <w:noProof/>
          <w:sz w:val="24"/>
          <w:szCs w:val="24"/>
          <w:lang w:eastAsia="en-ZA"/>
        </w:rPr>
        <w:t xml:space="preserve">The rest receive some ofr all of their funding from the DTI. </w:t>
      </w:r>
      <w:r w:rsidRPr="00586CCF">
        <w:rPr>
          <w:rFonts w:ascii="Times New Roman" w:hAnsi="Times New Roman" w:cs="Times New Roman"/>
          <w:noProof/>
          <w:sz w:val="24"/>
          <w:szCs w:val="24"/>
          <w:lang w:eastAsia="en-ZA"/>
        </w:rPr>
        <w:t>For the 2015/16 and 2016/17 financial year, transfers to the D</w:t>
      </w:r>
      <w:r w:rsidR="00867620">
        <w:rPr>
          <w:rFonts w:ascii="Times New Roman" w:hAnsi="Times New Roman" w:cs="Times New Roman"/>
          <w:noProof/>
          <w:sz w:val="24"/>
          <w:szCs w:val="24"/>
          <w:lang w:eastAsia="en-ZA"/>
        </w:rPr>
        <w:t>TI</w:t>
      </w:r>
      <w:r w:rsidRPr="00586CCF">
        <w:rPr>
          <w:rFonts w:ascii="Times New Roman" w:hAnsi="Times New Roman" w:cs="Times New Roman"/>
          <w:noProof/>
          <w:sz w:val="24"/>
          <w:szCs w:val="24"/>
          <w:lang w:eastAsia="en-ZA"/>
        </w:rPr>
        <w:t>’s entities were as follows</w:t>
      </w:r>
      <w:r w:rsidR="00867620">
        <w:rPr>
          <w:rFonts w:ascii="Times New Roman" w:hAnsi="Times New Roman" w:cs="Times New Roman"/>
          <w:noProof/>
          <w:sz w:val="24"/>
          <w:szCs w:val="24"/>
          <w:lang w:eastAsia="en-ZA"/>
        </w:rPr>
        <w:t>:</w:t>
      </w:r>
    </w:p>
    <w:p w14:paraId="3A682940" w14:textId="77777777" w:rsidR="00A41195" w:rsidRPr="00586CCF" w:rsidRDefault="00A41195" w:rsidP="00586CCF">
      <w:pPr>
        <w:spacing w:line="360" w:lineRule="auto"/>
        <w:rPr>
          <w:rFonts w:ascii="Times New Roman" w:hAnsi="Times New Roman" w:cs="Times New Roman"/>
          <w:sz w:val="24"/>
          <w:szCs w:val="24"/>
        </w:rPr>
      </w:pPr>
    </w:p>
    <w:p w14:paraId="490360F4" w14:textId="77777777" w:rsidR="00A41195" w:rsidRPr="00586CCF" w:rsidRDefault="00A474C6" w:rsidP="006D18C5">
      <w:pPr>
        <w:rPr>
          <w:rFonts w:ascii="Times New Roman" w:hAnsi="Times New Roman" w:cs="Times New Roman"/>
          <w:b/>
          <w:sz w:val="24"/>
          <w:szCs w:val="24"/>
        </w:rPr>
      </w:pPr>
      <w:r>
        <w:rPr>
          <w:rFonts w:ascii="Times New Roman" w:hAnsi="Times New Roman" w:cs="Times New Roman"/>
          <w:b/>
          <w:sz w:val="24"/>
          <w:szCs w:val="24"/>
        </w:rPr>
        <w:t>Table 6</w:t>
      </w:r>
      <w:r w:rsidR="00A41195" w:rsidRPr="00586CCF">
        <w:rPr>
          <w:rFonts w:ascii="Times New Roman" w:hAnsi="Times New Roman" w:cs="Times New Roman"/>
          <w:b/>
          <w:sz w:val="24"/>
          <w:szCs w:val="24"/>
        </w:rPr>
        <w:t>: Transfers to Entities</w:t>
      </w:r>
    </w:p>
    <w:tbl>
      <w:tblPr>
        <w:tblW w:w="0" w:type="auto"/>
        <w:tblLayout w:type="fixed"/>
        <w:tblLook w:val="04A0" w:firstRow="1" w:lastRow="0" w:firstColumn="1" w:lastColumn="0" w:noHBand="0" w:noVBand="1"/>
      </w:tblPr>
      <w:tblGrid>
        <w:gridCol w:w="5637"/>
        <w:gridCol w:w="1063"/>
        <w:gridCol w:w="1063"/>
        <w:gridCol w:w="1163"/>
      </w:tblGrid>
      <w:tr w:rsidR="00867620" w:rsidRPr="00432CE0" w14:paraId="4B2AD4FB" w14:textId="77777777" w:rsidTr="006D18C5">
        <w:trPr>
          <w:trHeight w:val="651"/>
          <w:tblHeader/>
        </w:trPr>
        <w:tc>
          <w:tcPr>
            <w:tcW w:w="5637"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21AB4F47" w14:textId="77777777" w:rsidR="00867620" w:rsidRPr="006D18C5" w:rsidRDefault="00867620" w:rsidP="00586CC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Entity</w:t>
            </w:r>
          </w:p>
        </w:tc>
        <w:tc>
          <w:tcPr>
            <w:tcW w:w="2126" w:type="dxa"/>
            <w:gridSpan w:val="2"/>
            <w:tcBorders>
              <w:top w:val="single" w:sz="4" w:space="0" w:color="auto"/>
              <w:left w:val="single" w:sz="4" w:space="0" w:color="auto"/>
              <w:right w:val="single" w:sz="4" w:space="0" w:color="auto"/>
            </w:tcBorders>
            <w:shd w:val="clear" w:color="auto" w:fill="BFBFBF" w:themeFill="background1" w:themeFillShade="BF"/>
            <w:vAlign w:val="center"/>
            <w:hideMark/>
          </w:tcPr>
          <w:p w14:paraId="440D1A14" w14:textId="77777777" w:rsidR="00867620" w:rsidRPr="006D18C5" w:rsidRDefault="00867620" w:rsidP="00586CC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Transfers (R'000)</w:t>
            </w:r>
          </w:p>
        </w:tc>
        <w:tc>
          <w:tcPr>
            <w:tcW w:w="116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5AE4F73" w14:textId="77777777" w:rsidR="00867620" w:rsidRPr="006D18C5" w:rsidRDefault="00867620" w:rsidP="00586CC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Change (2015/16 - 2016/17)</w:t>
            </w:r>
          </w:p>
        </w:tc>
      </w:tr>
      <w:tr w:rsidR="00867620" w:rsidRPr="00432CE0" w14:paraId="0298D6D8" w14:textId="77777777" w:rsidTr="006D18C5">
        <w:trPr>
          <w:tblHeader/>
        </w:trPr>
        <w:tc>
          <w:tcPr>
            <w:tcW w:w="5637"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453971BB" w14:textId="77777777" w:rsidR="00867620" w:rsidRPr="006D18C5" w:rsidRDefault="00867620" w:rsidP="00586CCF">
            <w:pPr>
              <w:spacing w:line="360" w:lineRule="auto"/>
              <w:jc w:val="center"/>
              <w:rPr>
                <w:rFonts w:ascii="Times New Roman" w:eastAsia="Times New Roman" w:hAnsi="Times New Roman" w:cs="Times New Roman"/>
                <w:b/>
                <w:bCs/>
                <w:szCs w:val="24"/>
                <w:lang w:eastAsia="en-ZA"/>
              </w:rPr>
            </w:pPr>
          </w:p>
        </w:tc>
        <w:tc>
          <w:tcPr>
            <w:tcW w:w="1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CCF6E3" w14:textId="77777777" w:rsidR="00867620" w:rsidRPr="006D18C5" w:rsidRDefault="00867620" w:rsidP="00586CC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2015/16</w:t>
            </w:r>
          </w:p>
        </w:tc>
        <w:tc>
          <w:tcPr>
            <w:tcW w:w="1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284825" w14:textId="77777777" w:rsidR="00867620" w:rsidRPr="006D18C5" w:rsidRDefault="00867620" w:rsidP="00586CC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2016/17</w:t>
            </w:r>
          </w:p>
        </w:tc>
        <w:tc>
          <w:tcPr>
            <w:tcW w:w="1163"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D647993" w14:textId="77777777" w:rsidR="00867620" w:rsidRPr="006D18C5" w:rsidRDefault="00867620" w:rsidP="00586CCF">
            <w:pPr>
              <w:spacing w:line="360" w:lineRule="auto"/>
              <w:jc w:val="center"/>
              <w:rPr>
                <w:rFonts w:ascii="Times New Roman" w:eastAsia="Times New Roman" w:hAnsi="Times New Roman" w:cs="Times New Roman"/>
                <w:b/>
                <w:bCs/>
                <w:szCs w:val="24"/>
                <w:lang w:eastAsia="en-ZA"/>
              </w:rPr>
            </w:pPr>
          </w:p>
        </w:tc>
      </w:tr>
      <w:tr w:rsidR="00A41195" w:rsidRPr="00586CCF" w14:paraId="5FF6E816"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3C76D929"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 xml:space="preserve">Companies and Intellectual Property Commission (CIPC)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675D8AF"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6206736F"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2C875C91"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w:t>
            </w:r>
          </w:p>
        </w:tc>
      </w:tr>
      <w:tr w:rsidR="00A41195" w:rsidRPr="00586CCF" w14:paraId="44E72BB5"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1E3283CA"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Companies Tribunal (CT)</w:t>
            </w:r>
          </w:p>
        </w:tc>
        <w:tc>
          <w:tcPr>
            <w:tcW w:w="1063" w:type="dxa"/>
            <w:tcBorders>
              <w:top w:val="nil"/>
              <w:left w:val="nil"/>
              <w:bottom w:val="single" w:sz="4" w:space="0" w:color="auto"/>
              <w:right w:val="single" w:sz="4" w:space="0" w:color="auto"/>
            </w:tcBorders>
            <w:shd w:val="clear" w:color="auto" w:fill="auto"/>
            <w:noWrap/>
            <w:vAlign w:val="center"/>
            <w:hideMark/>
          </w:tcPr>
          <w:p w14:paraId="12F69029"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14 221</w:t>
            </w:r>
          </w:p>
        </w:tc>
        <w:tc>
          <w:tcPr>
            <w:tcW w:w="1063" w:type="dxa"/>
            <w:tcBorders>
              <w:top w:val="nil"/>
              <w:left w:val="nil"/>
              <w:bottom w:val="single" w:sz="4" w:space="0" w:color="auto"/>
              <w:right w:val="single" w:sz="4" w:space="0" w:color="auto"/>
            </w:tcBorders>
            <w:shd w:val="clear" w:color="auto" w:fill="auto"/>
            <w:vAlign w:val="center"/>
            <w:hideMark/>
          </w:tcPr>
          <w:p w14:paraId="18053C14"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15 069</w:t>
            </w:r>
          </w:p>
        </w:tc>
        <w:tc>
          <w:tcPr>
            <w:tcW w:w="1163" w:type="dxa"/>
            <w:tcBorders>
              <w:top w:val="nil"/>
              <w:left w:val="nil"/>
              <w:bottom w:val="single" w:sz="4" w:space="0" w:color="auto"/>
              <w:right w:val="single" w:sz="4" w:space="0" w:color="auto"/>
            </w:tcBorders>
            <w:shd w:val="clear" w:color="auto" w:fill="auto"/>
            <w:noWrap/>
            <w:vAlign w:val="center"/>
            <w:hideMark/>
          </w:tcPr>
          <w:p w14:paraId="1BDE942C"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848</w:t>
            </w:r>
          </w:p>
        </w:tc>
      </w:tr>
      <w:tr w:rsidR="00A41195" w:rsidRPr="00586CCF" w14:paraId="49F948C2"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7384A2C8"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Export Credit Insurance Corporation of South Africa (ECIC)</w:t>
            </w:r>
          </w:p>
        </w:tc>
        <w:tc>
          <w:tcPr>
            <w:tcW w:w="1063" w:type="dxa"/>
            <w:tcBorders>
              <w:top w:val="nil"/>
              <w:left w:val="nil"/>
              <w:bottom w:val="single" w:sz="4" w:space="0" w:color="auto"/>
              <w:right w:val="single" w:sz="4" w:space="0" w:color="auto"/>
            </w:tcBorders>
            <w:shd w:val="clear" w:color="auto" w:fill="auto"/>
            <w:noWrap/>
            <w:vAlign w:val="center"/>
            <w:hideMark/>
          </w:tcPr>
          <w:p w14:paraId="4265BF4D"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199 969</w:t>
            </w:r>
          </w:p>
        </w:tc>
        <w:tc>
          <w:tcPr>
            <w:tcW w:w="1063" w:type="dxa"/>
            <w:tcBorders>
              <w:top w:val="nil"/>
              <w:left w:val="nil"/>
              <w:bottom w:val="single" w:sz="4" w:space="0" w:color="auto"/>
              <w:right w:val="single" w:sz="4" w:space="0" w:color="auto"/>
            </w:tcBorders>
            <w:shd w:val="clear" w:color="auto" w:fill="auto"/>
            <w:vAlign w:val="center"/>
            <w:hideMark/>
          </w:tcPr>
          <w:p w14:paraId="5468D57F"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171 566</w:t>
            </w:r>
          </w:p>
        </w:tc>
        <w:tc>
          <w:tcPr>
            <w:tcW w:w="1163" w:type="dxa"/>
            <w:tcBorders>
              <w:top w:val="nil"/>
              <w:left w:val="nil"/>
              <w:bottom w:val="single" w:sz="4" w:space="0" w:color="auto"/>
              <w:right w:val="single" w:sz="4" w:space="0" w:color="auto"/>
            </w:tcBorders>
            <w:shd w:val="clear" w:color="auto" w:fill="auto"/>
            <w:noWrap/>
            <w:vAlign w:val="center"/>
            <w:hideMark/>
          </w:tcPr>
          <w:p w14:paraId="54D351E3"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- 28 403</w:t>
            </w:r>
          </w:p>
        </w:tc>
      </w:tr>
      <w:tr w:rsidR="00A41195" w:rsidRPr="00586CCF" w14:paraId="3A297B4A"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7B690567"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 xml:space="preserve">National Consumer Commission (NCC) </w:t>
            </w:r>
          </w:p>
        </w:tc>
        <w:tc>
          <w:tcPr>
            <w:tcW w:w="1063" w:type="dxa"/>
            <w:tcBorders>
              <w:top w:val="nil"/>
              <w:left w:val="nil"/>
              <w:bottom w:val="single" w:sz="4" w:space="0" w:color="auto"/>
              <w:right w:val="single" w:sz="4" w:space="0" w:color="auto"/>
            </w:tcBorders>
            <w:shd w:val="clear" w:color="auto" w:fill="auto"/>
            <w:noWrap/>
            <w:vAlign w:val="center"/>
            <w:hideMark/>
          </w:tcPr>
          <w:p w14:paraId="070132D6"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54 596</w:t>
            </w:r>
          </w:p>
        </w:tc>
        <w:tc>
          <w:tcPr>
            <w:tcW w:w="1063" w:type="dxa"/>
            <w:tcBorders>
              <w:top w:val="nil"/>
              <w:left w:val="nil"/>
              <w:bottom w:val="single" w:sz="4" w:space="0" w:color="auto"/>
              <w:right w:val="single" w:sz="4" w:space="0" w:color="auto"/>
            </w:tcBorders>
            <w:shd w:val="clear" w:color="auto" w:fill="auto"/>
            <w:vAlign w:val="center"/>
            <w:hideMark/>
          </w:tcPr>
          <w:p w14:paraId="5407FD4E"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56 643</w:t>
            </w:r>
          </w:p>
        </w:tc>
        <w:tc>
          <w:tcPr>
            <w:tcW w:w="1163" w:type="dxa"/>
            <w:tcBorders>
              <w:top w:val="nil"/>
              <w:left w:val="nil"/>
              <w:bottom w:val="single" w:sz="4" w:space="0" w:color="auto"/>
              <w:right w:val="single" w:sz="4" w:space="0" w:color="auto"/>
            </w:tcBorders>
            <w:shd w:val="clear" w:color="auto" w:fill="auto"/>
            <w:noWrap/>
            <w:vAlign w:val="center"/>
            <w:hideMark/>
          </w:tcPr>
          <w:p w14:paraId="518D70B4"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2 047</w:t>
            </w:r>
          </w:p>
        </w:tc>
      </w:tr>
      <w:tr w:rsidR="00A41195" w:rsidRPr="00586CCF" w14:paraId="64EC129E"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646B8DD0"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National Credit Regulator (NCR)</w:t>
            </w:r>
          </w:p>
        </w:tc>
        <w:tc>
          <w:tcPr>
            <w:tcW w:w="1063" w:type="dxa"/>
            <w:tcBorders>
              <w:top w:val="nil"/>
              <w:left w:val="nil"/>
              <w:bottom w:val="single" w:sz="4" w:space="0" w:color="auto"/>
              <w:right w:val="single" w:sz="4" w:space="0" w:color="auto"/>
            </w:tcBorders>
            <w:shd w:val="clear" w:color="auto" w:fill="auto"/>
            <w:noWrap/>
            <w:vAlign w:val="center"/>
            <w:hideMark/>
          </w:tcPr>
          <w:p w14:paraId="0D2C4CCB"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66 727</w:t>
            </w:r>
          </w:p>
        </w:tc>
        <w:tc>
          <w:tcPr>
            <w:tcW w:w="1063" w:type="dxa"/>
            <w:tcBorders>
              <w:top w:val="nil"/>
              <w:left w:val="nil"/>
              <w:bottom w:val="single" w:sz="4" w:space="0" w:color="auto"/>
              <w:right w:val="single" w:sz="4" w:space="0" w:color="auto"/>
            </w:tcBorders>
            <w:shd w:val="clear" w:color="auto" w:fill="auto"/>
            <w:vAlign w:val="center"/>
            <w:hideMark/>
          </w:tcPr>
          <w:p w14:paraId="778AAE42"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69 577</w:t>
            </w:r>
          </w:p>
        </w:tc>
        <w:tc>
          <w:tcPr>
            <w:tcW w:w="1163" w:type="dxa"/>
            <w:tcBorders>
              <w:top w:val="nil"/>
              <w:left w:val="nil"/>
              <w:bottom w:val="single" w:sz="4" w:space="0" w:color="auto"/>
              <w:right w:val="single" w:sz="4" w:space="0" w:color="auto"/>
            </w:tcBorders>
            <w:shd w:val="clear" w:color="auto" w:fill="auto"/>
            <w:noWrap/>
            <w:vAlign w:val="center"/>
            <w:hideMark/>
          </w:tcPr>
          <w:p w14:paraId="1E4C01C1"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2 850</w:t>
            </w:r>
          </w:p>
        </w:tc>
      </w:tr>
      <w:tr w:rsidR="00A41195" w:rsidRPr="00586CCF" w14:paraId="4466874B"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4F931881"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National Consumer Tribunal (NCT)</w:t>
            </w:r>
          </w:p>
        </w:tc>
        <w:tc>
          <w:tcPr>
            <w:tcW w:w="1063" w:type="dxa"/>
            <w:tcBorders>
              <w:top w:val="nil"/>
              <w:left w:val="nil"/>
              <w:bottom w:val="single" w:sz="4" w:space="0" w:color="auto"/>
              <w:right w:val="single" w:sz="4" w:space="0" w:color="auto"/>
            </w:tcBorders>
            <w:shd w:val="clear" w:color="auto" w:fill="auto"/>
            <w:noWrap/>
            <w:vAlign w:val="center"/>
            <w:hideMark/>
          </w:tcPr>
          <w:p w14:paraId="591FF649"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46 029</w:t>
            </w:r>
          </w:p>
        </w:tc>
        <w:tc>
          <w:tcPr>
            <w:tcW w:w="1063" w:type="dxa"/>
            <w:tcBorders>
              <w:top w:val="nil"/>
              <w:left w:val="nil"/>
              <w:bottom w:val="single" w:sz="4" w:space="0" w:color="auto"/>
              <w:right w:val="single" w:sz="4" w:space="0" w:color="auto"/>
            </w:tcBorders>
            <w:shd w:val="clear" w:color="auto" w:fill="auto"/>
            <w:vAlign w:val="center"/>
            <w:hideMark/>
          </w:tcPr>
          <w:p w14:paraId="3A383E2A"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46 151</w:t>
            </w:r>
          </w:p>
        </w:tc>
        <w:tc>
          <w:tcPr>
            <w:tcW w:w="1163" w:type="dxa"/>
            <w:tcBorders>
              <w:top w:val="nil"/>
              <w:left w:val="nil"/>
              <w:bottom w:val="single" w:sz="4" w:space="0" w:color="auto"/>
              <w:right w:val="single" w:sz="4" w:space="0" w:color="auto"/>
            </w:tcBorders>
            <w:shd w:val="clear" w:color="auto" w:fill="auto"/>
            <w:noWrap/>
            <w:vAlign w:val="center"/>
            <w:hideMark/>
          </w:tcPr>
          <w:p w14:paraId="1AB59D76"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122</w:t>
            </w:r>
          </w:p>
        </w:tc>
      </w:tr>
      <w:tr w:rsidR="00A41195" w:rsidRPr="00586CCF" w14:paraId="31D17194"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2C611067"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 xml:space="preserve">National Empowerment Fund (NEF) </w:t>
            </w:r>
          </w:p>
        </w:tc>
        <w:tc>
          <w:tcPr>
            <w:tcW w:w="1063" w:type="dxa"/>
            <w:tcBorders>
              <w:top w:val="nil"/>
              <w:left w:val="nil"/>
              <w:bottom w:val="single" w:sz="4" w:space="0" w:color="auto"/>
              <w:right w:val="single" w:sz="4" w:space="0" w:color="auto"/>
            </w:tcBorders>
            <w:shd w:val="clear" w:color="auto" w:fill="auto"/>
            <w:noWrap/>
            <w:vAlign w:val="center"/>
            <w:hideMark/>
          </w:tcPr>
          <w:p w14:paraId="22BF1630"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w:t>
            </w:r>
          </w:p>
        </w:tc>
        <w:tc>
          <w:tcPr>
            <w:tcW w:w="1063" w:type="dxa"/>
            <w:tcBorders>
              <w:top w:val="nil"/>
              <w:left w:val="nil"/>
              <w:bottom w:val="single" w:sz="4" w:space="0" w:color="auto"/>
              <w:right w:val="single" w:sz="4" w:space="0" w:color="auto"/>
            </w:tcBorders>
            <w:shd w:val="clear" w:color="auto" w:fill="auto"/>
            <w:vAlign w:val="center"/>
            <w:hideMark/>
          </w:tcPr>
          <w:p w14:paraId="17C2EFF4"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w:t>
            </w:r>
          </w:p>
        </w:tc>
        <w:tc>
          <w:tcPr>
            <w:tcW w:w="1163" w:type="dxa"/>
            <w:tcBorders>
              <w:top w:val="nil"/>
              <w:left w:val="nil"/>
              <w:bottom w:val="single" w:sz="4" w:space="0" w:color="auto"/>
              <w:right w:val="single" w:sz="4" w:space="0" w:color="auto"/>
            </w:tcBorders>
            <w:shd w:val="clear" w:color="auto" w:fill="auto"/>
            <w:noWrap/>
            <w:vAlign w:val="center"/>
            <w:hideMark/>
          </w:tcPr>
          <w:p w14:paraId="2C7C262E"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 xml:space="preserve"> -</w:t>
            </w:r>
          </w:p>
        </w:tc>
      </w:tr>
      <w:tr w:rsidR="00A41195" w:rsidRPr="00586CCF" w14:paraId="649A8938"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4AFEFD74"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National Gambling Board (NGB)</w:t>
            </w:r>
          </w:p>
        </w:tc>
        <w:tc>
          <w:tcPr>
            <w:tcW w:w="1063" w:type="dxa"/>
            <w:tcBorders>
              <w:top w:val="nil"/>
              <w:left w:val="nil"/>
              <w:bottom w:val="single" w:sz="4" w:space="0" w:color="auto"/>
              <w:right w:val="single" w:sz="4" w:space="0" w:color="auto"/>
            </w:tcBorders>
            <w:shd w:val="clear" w:color="auto" w:fill="auto"/>
            <w:noWrap/>
            <w:vAlign w:val="center"/>
            <w:hideMark/>
          </w:tcPr>
          <w:p w14:paraId="334E17F1"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31 983</w:t>
            </w:r>
          </w:p>
        </w:tc>
        <w:tc>
          <w:tcPr>
            <w:tcW w:w="1063" w:type="dxa"/>
            <w:tcBorders>
              <w:top w:val="nil"/>
              <w:left w:val="nil"/>
              <w:bottom w:val="single" w:sz="4" w:space="0" w:color="auto"/>
              <w:right w:val="single" w:sz="4" w:space="0" w:color="auto"/>
            </w:tcBorders>
            <w:shd w:val="clear" w:color="auto" w:fill="auto"/>
            <w:vAlign w:val="center"/>
            <w:hideMark/>
          </w:tcPr>
          <w:p w14:paraId="55F9595B"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30 121</w:t>
            </w:r>
          </w:p>
        </w:tc>
        <w:tc>
          <w:tcPr>
            <w:tcW w:w="1163" w:type="dxa"/>
            <w:tcBorders>
              <w:top w:val="nil"/>
              <w:left w:val="nil"/>
              <w:bottom w:val="single" w:sz="4" w:space="0" w:color="auto"/>
              <w:right w:val="single" w:sz="4" w:space="0" w:color="auto"/>
            </w:tcBorders>
            <w:shd w:val="clear" w:color="auto" w:fill="auto"/>
            <w:noWrap/>
            <w:vAlign w:val="center"/>
            <w:hideMark/>
          </w:tcPr>
          <w:p w14:paraId="59E5EBF9"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-1 862</w:t>
            </w:r>
          </w:p>
        </w:tc>
      </w:tr>
      <w:tr w:rsidR="00A41195" w:rsidRPr="00586CCF" w14:paraId="52829D75"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178F1A6A"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 xml:space="preserve">National Lotteries Commission (NLC) </w:t>
            </w:r>
          </w:p>
        </w:tc>
        <w:tc>
          <w:tcPr>
            <w:tcW w:w="1063" w:type="dxa"/>
            <w:tcBorders>
              <w:top w:val="nil"/>
              <w:left w:val="nil"/>
              <w:bottom w:val="single" w:sz="4" w:space="0" w:color="auto"/>
              <w:right w:val="single" w:sz="4" w:space="0" w:color="auto"/>
            </w:tcBorders>
            <w:shd w:val="clear" w:color="auto" w:fill="auto"/>
            <w:noWrap/>
            <w:vAlign w:val="center"/>
            <w:hideMark/>
          </w:tcPr>
          <w:p w14:paraId="67F50BA7"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w:t>
            </w:r>
          </w:p>
        </w:tc>
        <w:tc>
          <w:tcPr>
            <w:tcW w:w="1063" w:type="dxa"/>
            <w:tcBorders>
              <w:top w:val="nil"/>
              <w:left w:val="nil"/>
              <w:bottom w:val="single" w:sz="4" w:space="0" w:color="auto"/>
              <w:right w:val="single" w:sz="4" w:space="0" w:color="auto"/>
            </w:tcBorders>
            <w:shd w:val="clear" w:color="auto" w:fill="auto"/>
            <w:vAlign w:val="center"/>
            <w:hideMark/>
          </w:tcPr>
          <w:p w14:paraId="3ECCF9E2"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w:t>
            </w:r>
          </w:p>
        </w:tc>
        <w:tc>
          <w:tcPr>
            <w:tcW w:w="1163" w:type="dxa"/>
            <w:tcBorders>
              <w:top w:val="nil"/>
              <w:left w:val="nil"/>
              <w:bottom w:val="single" w:sz="4" w:space="0" w:color="auto"/>
              <w:right w:val="single" w:sz="4" w:space="0" w:color="auto"/>
            </w:tcBorders>
            <w:shd w:val="clear" w:color="auto" w:fill="auto"/>
            <w:noWrap/>
            <w:vAlign w:val="center"/>
            <w:hideMark/>
          </w:tcPr>
          <w:p w14:paraId="589B2260"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w:t>
            </w:r>
          </w:p>
        </w:tc>
      </w:tr>
      <w:tr w:rsidR="00A41195" w:rsidRPr="00586CCF" w14:paraId="708BD00A"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77DF7083"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 xml:space="preserve">National Metrology Institute of South Africa (NMISA) </w:t>
            </w:r>
          </w:p>
        </w:tc>
        <w:tc>
          <w:tcPr>
            <w:tcW w:w="1063" w:type="dxa"/>
            <w:tcBorders>
              <w:top w:val="nil"/>
              <w:left w:val="nil"/>
              <w:bottom w:val="single" w:sz="4" w:space="0" w:color="auto"/>
              <w:right w:val="single" w:sz="4" w:space="0" w:color="auto"/>
            </w:tcBorders>
            <w:shd w:val="clear" w:color="auto" w:fill="auto"/>
            <w:noWrap/>
            <w:vAlign w:val="center"/>
          </w:tcPr>
          <w:p w14:paraId="51EC37B7" w14:textId="77777777" w:rsidR="00A41195" w:rsidRPr="006D18C5" w:rsidRDefault="00A41195"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250 895</w:t>
            </w:r>
          </w:p>
        </w:tc>
        <w:tc>
          <w:tcPr>
            <w:tcW w:w="1063" w:type="dxa"/>
            <w:tcBorders>
              <w:top w:val="nil"/>
              <w:left w:val="nil"/>
              <w:bottom w:val="single" w:sz="4" w:space="0" w:color="auto"/>
              <w:right w:val="single" w:sz="4" w:space="0" w:color="auto"/>
            </w:tcBorders>
            <w:shd w:val="clear" w:color="auto" w:fill="auto"/>
            <w:vAlign w:val="center"/>
          </w:tcPr>
          <w:p w14:paraId="6E22577F"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264 193</w:t>
            </w:r>
          </w:p>
        </w:tc>
        <w:tc>
          <w:tcPr>
            <w:tcW w:w="1163" w:type="dxa"/>
            <w:tcBorders>
              <w:top w:val="nil"/>
              <w:left w:val="nil"/>
              <w:bottom w:val="single" w:sz="4" w:space="0" w:color="auto"/>
              <w:right w:val="single" w:sz="4" w:space="0" w:color="auto"/>
            </w:tcBorders>
            <w:shd w:val="clear" w:color="auto" w:fill="auto"/>
            <w:noWrap/>
            <w:vAlign w:val="center"/>
          </w:tcPr>
          <w:p w14:paraId="3683922E" w14:textId="77777777" w:rsidR="00A41195" w:rsidRPr="006D18C5" w:rsidRDefault="00A4119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13 298</w:t>
            </w:r>
          </w:p>
        </w:tc>
      </w:tr>
      <w:tr w:rsidR="00A41195" w:rsidRPr="00586CCF" w14:paraId="216CEEAB"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3EB90DF6"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 xml:space="preserve">National Regulator for Compulsory Specifications (NRCS) </w:t>
            </w:r>
          </w:p>
        </w:tc>
        <w:tc>
          <w:tcPr>
            <w:tcW w:w="1063" w:type="dxa"/>
            <w:tcBorders>
              <w:top w:val="nil"/>
              <w:left w:val="nil"/>
              <w:bottom w:val="single" w:sz="4" w:space="0" w:color="auto"/>
              <w:right w:val="single" w:sz="4" w:space="0" w:color="auto"/>
            </w:tcBorders>
            <w:shd w:val="clear" w:color="auto" w:fill="auto"/>
            <w:noWrap/>
            <w:vAlign w:val="center"/>
            <w:hideMark/>
          </w:tcPr>
          <w:p w14:paraId="5C5979CC" w14:textId="77777777" w:rsidR="00A41195" w:rsidRPr="006D18C5" w:rsidRDefault="00A41195"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91 732</w:t>
            </w:r>
          </w:p>
        </w:tc>
        <w:tc>
          <w:tcPr>
            <w:tcW w:w="1063" w:type="dxa"/>
            <w:tcBorders>
              <w:top w:val="nil"/>
              <w:left w:val="nil"/>
              <w:bottom w:val="single" w:sz="4" w:space="0" w:color="auto"/>
              <w:right w:val="single" w:sz="4" w:space="0" w:color="auto"/>
            </w:tcBorders>
            <w:shd w:val="clear" w:color="auto" w:fill="auto"/>
            <w:vAlign w:val="center"/>
            <w:hideMark/>
          </w:tcPr>
          <w:p w14:paraId="6FA2625F"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86 418</w:t>
            </w:r>
          </w:p>
        </w:tc>
        <w:tc>
          <w:tcPr>
            <w:tcW w:w="1163" w:type="dxa"/>
            <w:tcBorders>
              <w:top w:val="nil"/>
              <w:left w:val="nil"/>
              <w:bottom w:val="single" w:sz="4" w:space="0" w:color="auto"/>
              <w:right w:val="single" w:sz="4" w:space="0" w:color="auto"/>
            </w:tcBorders>
            <w:shd w:val="clear" w:color="auto" w:fill="auto"/>
            <w:noWrap/>
            <w:vAlign w:val="center"/>
            <w:hideMark/>
          </w:tcPr>
          <w:p w14:paraId="43A4B97E"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-5 314</w:t>
            </w:r>
          </w:p>
        </w:tc>
      </w:tr>
      <w:tr w:rsidR="00A41195" w:rsidRPr="00586CCF" w14:paraId="4B83A0D3"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6B0CCC11"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South African Bureau of Standard (SABS)</w:t>
            </w:r>
          </w:p>
        </w:tc>
        <w:tc>
          <w:tcPr>
            <w:tcW w:w="1063" w:type="dxa"/>
            <w:tcBorders>
              <w:top w:val="nil"/>
              <w:left w:val="nil"/>
              <w:bottom w:val="single" w:sz="4" w:space="0" w:color="auto"/>
              <w:right w:val="single" w:sz="4" w:space="0" w:color="auto"/>
            </w:tcBorders>
            <w:shd w:val="clear" w:color="auto" w:fill="auto"/>
            <w:noWrap/>
            <w:vAlign w:val="center"/>
            <w:hideMark/>
          </w:tcPr>
          <w:p w14:paraId="64FD9FFC" w14:textId="77777777" w:rsidR="00A41195" w:rsidRPr="006D18C5" w:rsidRDefault="00A41195" w:rsidP="00B7215E">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21</w:t>
            </w:r>
            <w:r w:rsidR="00B7215E">
              <w:rPr>
                <w:rFonts w:ascii="Times New Roman" w:eastAsia="Times New Roman" w:hAnsi="Times New Roman" w:cs="Times New Roman"/>
                <w:color w:val="000000"/>
                <w:szCs w:val="24"/>
                <w:lang w:eastAsia="en-ZA"/>
              </w:rPr>
              <w:t>6</w:t>
            </w:r>
            <w:r w:rsidRPr="006D18C5">
              <w:rPr>
                <w:rFonts w:ascii="Times New Roman" w:eastAsia="Times New Roman" w:hAnsi="Times New Roman" w:cs="Times New Roman"/>
                <w:color w:val="000000"/>
                <w:szCs w:val="24"/>
                <w:lang w:eastAsia="en-ZA"/>
              </w:rPr>
              <w:t xml:space="preserve"> 2</w:t>
            </w:r>
            <w:r w:rsidR="00B7215E">
              <w:rPr>
                <w:rFonts w:ascii="Times New Roman" w:eastAsia="Times New Roman" w:hAnsi="Times New Roman" w:cs="Times New Roman"/>
                <w:color w:val="000000"/>
                <w:szCs w:val="24"/>
                <w:lang w:eastAsia="en-ZA"/>
              </w:rPr>
              <w:t>15</w:t>
            </w:r>
          </w:p>
        </w:tc>
        <w:tc>
          <w:tcPr>
            <w:tcW w:w="1063" w:type="dxa"/>
            <w:tcBorders>
              <w:top w:val="nil"/>
              <w:left w:val="nil"/>
              <w:bottom w:val="single" w:sz="4" w:space="0" w:color="auto"/>
              <w:right w:val="single" w:sz="4" w:space="0" w:color="auto"/>
            </w:tcBorders>
            <w:shd w:val="clear" w:color="auto" w:fill="auto"/>
            <w:vAlign w:val="center"/>
            <w:hideMark/>
          </w:tcPr>
          <w:p w14:paraId="70EF7178"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212 361</w:t>
            </w:r>
          </w:p>
        </w:tc>
        <w:tc>
          <w:tcPr>
            <w:tcW w:w="1163" w:type="dxa"/>
            <w:tcBorders>
              <w:top w:val="nil"/>
              <w:left w:val="nil"/>
              <w:bottom w:val="single" w:sz="4" w:space="0" w:color="auto"/>
              <w:right w:val="single" w:sz="4" w:space="0" w:color="auto"/>
            </w:tcBorders>
            <w:shd w:val="clear" w:color="auto" w:fill="auto"/>
            <w:noWrap/>
            <w:vAlign w:val="center"/>
            <w:hideMark/>
          </w:tcPr>
          <w:p w14:paraId="2CE0EA27"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-5 391</w:t>
            </w:r>
          </w:p>
        </w:tc>
      </w:tr>
      <w:tr w:rsidR="00A41195" w:rsidRPr="00586CCF" w14:paraId="73942ACE" w14:textId="77777777" w:rsidTr="006D18C5">
        <w:trPr>
          <w:trHeight w:val="20"/>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14:paraId="13BDA382" w14:textId="77777777" w:rsidR="00A41195" w:rsidRPr="006D18C5" w:rsidRDefault="00A41195"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val="en-GB" w:eastAsia="en-ZA"/>
              </w:rPr>
              <w:t>South African National Accreditation System (SANAS)</w:t>
            </w:r>
          </w:p>
        </w:tc>
        <w:tc>
          <w:tcPr>
            <w:tcW w:w="1063" w:type="dxa"/>
            <w:tcBorders>
              <w:top w:val="nil"/>
              <w:left w:val="nil"/>
              <w:bottom w:val="single" w:sz="4" w:space="0" w:color="auto"/>
              <w:right w:val="single" w:sz="4" w:space="0" w:color="auto"/>
            </w:tcBorders>
            <w:shd w:val="clear" w:color="auto" w:fill="auto"/>
            <w:noWrap/>
            <w:vAlign w:val="center"/>
            <w:hideMark/>
          </w:tcPr>
          <w:p w14:paraId="6D36786F" w14:textId="77777777" w:rsidR="00A41195" w:rsidRPr="006D18C5" w:rsidRDefault="00A41195"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26 025</w:t>
            </w:r>
          </w:p>
        </w:tc>
        <w:tc>
          <w:tcPr>
            <w:tcW w:w="1063" w:type="dxa"/>
            <w:tcBorders>
              <w:top w:val="nil"/>
              <w:left w:val="nil"/>
              <w:bottom w:val="single" w:sz="4" w:space="0" w:color="auto"/>
              <w:right w:val="single" w:sz="4" w:space="0" w:color="auto"/>
            </w:tcBorders>
            <w:shd w:val="clear" w:color="auto" w:fill="auto"/>
            <w:vAlign w:val="center"/>
            <w:hideMark/>
          </w:tcPr>
          <w:p w14:paraId="5DB71BBB" w14:textId="77777777" w:rsidR="00A41195" w:rsidRPr="006D18C5" w:rsidRDefault="00A41195"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22 208</w:t>
            </w:r>
          </w:p>
        </w:tc>
        <w:tc>
          <w:tcPr>
            <w:tcW w:w="1163" w:type="dxa"/>
            <w:tcBorders>
              <w:top w:val="nil"/>
              <w:left w:val="nil"/>
              <w:bottom w:val="single" w:sz="4" w:space="0" w:color="auto"/>
              <w:right w:val="single" w:sz="4" w:space="0" w:color="auto"/>
            </w:tcBorders>
            <w:shd w:val="clear" w:color="auto" w:fill="auto"/>
            <w:noWrap/>
            <w:vAlign w:val="center"/>
            <w:hideMark/>
          </w:tcPr>
          <w:p w14:paraId="54AFB3DE" w14:textId="77777777" w:rsidR="00A41195" w:rsidRPr="006D18C5" w:rsidRDefault="00A41195" w:rsidP="006D18C5">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-3 817</w:t>
            </w:r>
          </w:p>
        </w:tc>
      </w:tr>
    </w:tbl>
    <w:p w14:paraId="163B14E7" w14:textId="77777777" w:rsidR="00A41195" w:rsidRPr="00586CCF" w:rsidRDefault="00A41195" w:rsidP="00586CCF">
      <w:pPr>
        <w:spacing w:line="360" w:lineRule="auto"/>
        <w:rPr>
          <w:rFonts w:ascii="Times New Roman" w:hAnsi="Times New Roman" w:cs="Times New Roman"/>
          <w:sz w:val="24"/>
          <w:szCs w:val="24"/>
        </w:rPr>
      </w:pPr>
    </w:p>
    <w:p w14:paraId="739DA354" w14:textId="77777777" w:rsidR="00A41195" w:rsidRPr="00432CE0" w:rsidRDefault="00432CE0" w:rsidP="009D5D24">
      <w:pPr>
        <w:pStyle w:val="Heading2"/>
        <w:numPr>
          <w:ilvl w:val="2"/>
          <w:numId w:val="22"/>
        </w:numPr>
        <w:spacing w:before="0" w:line="360" w:lineRule="auto"/>
        <w:rPr>
          <w:rFonts w:ascii="Times New Roman" w:hAnsi="Times New Roman" w:cs="Times New Roman"/>
          <w:color w:val="auto"/>
          <w:sz w:val="24"/>
          <w:szCs w:val="24"/>
        </w:rPr>
      </w:pPr>
      <w:r w:rsidRPr="00432CE0">
        <w:rPr>
          <w:rFonts w:ascii="Times New Roman" w:hAnsi="Times New Roman" w:cs="Times New Roman"/>
          <w:color w:val="auto"/>
          <w:sz w:val="24"/>
          <w:szCs w:val="24"/>
        </w:rPr>
        <w:t>Audit Outcomes</w:t>
      </w:r>
    </w:p>
    <w:p w14:paraId="018FBD50" w14:textId="77777777" w:rsidR="00A41195" w:rsidRPr="00586CCF" w:rsidRDefault="00A41195" w:rsidP="00586CCF">
      <w:pPr>
        <w:spacing w:line="360" w:lineRule="auto"/>
        <w:rPr>
          <w:rFonts w:ascii="Times New Roman" w:hAnsi="Times New Roman" w:cs="Times New Roman"/>
          <w:sz w:val="24"/>
          <w:szCs w:val="24"/>
        </w:rPr>
      </w:pPr>
    </w:p>
    <w:p w14:paraId="025E59D8" w14:textId="77777777" w:rsidR="00A41195" w:rsidRPr="00586CCF" w:rsidRDefault="003100D1" w:rsidP="00586CCF">
      <w:pPr>
        <w:spacing w:line="360" w:lineRule="auto"/>
        <w:rPr>
          <w:rFonts w:ascii="Times New Roman" w:hAnsi="Times New Roman" w:cs="Times New Roman"/>
          <w:sz w:val="24"/>
          <w:szCs w:val="24"/>
        </w:rPr>
      </w:pPr>
      <w:r>
        <w:rPr>
          <w:rFonts w:ascii="Times New Roman" w:hAnsi="Times New Roman" w:cs="Times New Roman"/>
          <w:sz w:val="24"/>
          <w:szCs w:val="24"/>
        </w:rPr>
        <w:t>The Auditor General</w:t>
      </w:r>
      <w:r w:rsidR="00A41195" w:rsidRPr="00586CCF">
        <w:rPr>
          <w:rFonts w:ascii="Times New Roman" w:hAnsi="Times New Roman" w:cs="Times New Roman"/>
          <w:sz w:val="24"/>
          <w:szCs w:val="24"/>
        </w:rPr>
        <w:t xml:space="preserve"> in the assessment of the </w:t>
      </w:r>
      <w:r w:rsidR="00867620">
        <w:rPr>
          <w:rFonts w:ascii="Times New Roman" w:hAnsi="Times New Roman" w:cs="Times New Roman"/>
          <w:sz w:val="24"/>
          <w:szCs w:val="24"/>
        </w:rPr>
        <w:t>DTI</w:t>
      </w:r>
      <w:r w:rsidR="00867620" w:rsidRPr="00586CCF">
        <w:rPr>
          <w:rFonts w:ascii="Times New Roman" w:hAnsi="Times New Roman" w:cs="Times New Roman"/>
          <w:sz w:val="24"/>
          <w:szCs w:val="24"/>
        </w:rPr>
        <w:t xml:space="preserve">’s </w:t>
      </w:r>
      <w:r w:rsidR="00A41195" w:rsidRPr="00586CCF">
        <w:rPr>
          <w:rFonts w:ascii="Times New Roman" w:hAnsi="Times New Roman" w:cs="Times New Roman"/>
          <w:sz w:val="24"/>
          <w:szCs w:val="24"/>
        </w:rPr>
        <w:t xml:space="preserve">2016/17 financial year assessed financial and non-financial performance. In terms of non-financial performance, the following programmes were assessed: </w:t>
      </w:r>
    </w:p>
    <w:p w14:paraId="78A95449" w14:textId="77777777" w:rsidR="00A41195" w:rsidRPr="00586CCF" w:rsidRDefault="00A41195" w:rsidP="00586CCF">
      <w:pPr>
        <w:spacing w:line="360" w:lineRule="auto"/>
        <w:rPr>
          <w:rFonts w:ascii="Times New Roman" w:hAnsi="Times New Roman" w:cs="Times New Roman"/>
          <w:sz w:val="24"/>
          <w:szCs w:val="24"/>
        </w:rPr>
      </w:pPr>
    </w:p>
    <w:p w14:paraId="13136F4A" w14:textId="77777777" w:rsidR="00A41195" w:rsidRPr="00586CCF" w:rsidRDefault="00A41195" w:rsidP="009D5D24">
      <w:pPr>
        <w:pStyle w:val="ListParagraph"/>
        <w:numPr>
          <w:ilvl w:val="0"/>
          <w:numId w:val="15"/>
        </w:numPr>
        <w:spacing w:line="360" w:lineRule="auto"/>
        <w:contextualSpacing w:val="0"/>
        <w:jc w:val="left"/>
        <w:rPr>
          <w:rFonts w:ascii="Times New Roman" w:hAnsi="Times New Roman" w:cs="Times New Roman"/>
          <w:sz w:val="24"/>
          <w:szCs w:val="24"/>
        </w:rPr>
      </w:pPr>
      <w:r w:rsidRPr="00586CCF">
        <w:rPr>
          <w:rFonts w:ascii="Times New Roman" w:hAnsi="Times New Roman" w:cs="Times New Roman"/>
          <w:sz w:val="24"/>
          <w:szCs w:val="24"/>
        </w:rPr>
        <w:t xml:space="preserve">Programme 3: Special Economic Zones and Economic Transformation </w:t>
      </w:r>
    </w:p>
    <w:p w14:paraId="6BA1314A" w14:textId="77777777" w:rsidR="00A41195" w:rsidRPr="00586CCF" w:rsidRDefault="00A41195" w:rsidP="009D5D24">
      <w:pPr>
        <w:pStyle w:val="ListParagraph"/>
        <w:numPr>
          <w:ilvl w:val="0"/>
          <w:numId w:val="15"/>
        </w:numPr>
        <w:spacing w:line="360" w:lineRule="auto"/>
        <w:contextualSpacing w:val="0"/>
        <w:jc w:val="left"/>
        <w:rPr>
          <w:rFonts w:ascii="Times New Roman" w:hAnsi="Times New Roman" w:cs="Times New Roman"/>
          <w:sz w:val="24"/>
          <w:szCs w:val="24"/>
        </w:rPr>
      </w:pPr>
      <w:r w:rsidRPr="00586CCF">
        <w:rPr>
          <w:rFonts w:ascii="Times New Roman" w:hAnsi="Times New Roman" w:cs="Times New Roman"/>
          <w:sz w:val="24"/>
          <w:szCs w:val="24"/>
        </w:rPr>
        <w:t xml:space="preserve">Programme 4: Industrial Development </w:t>
      </w:r>
    </w:p>
    <w:p w14:paraId="21ECC1B2" w14:textId="77777777" w:rsidR="00A41195" w:rsidRPr="00586CCF" w:rsidRDefault="00A41195" w:rsidP="009D5D24">
      <w:pPr>
        <w:pStyle w:val="ListParagraph"/>
        <w:numPr>
          <w:ilvl w:val="0"/>
          <w:numId w:val="15"/>
        </w:numPr>
        <w:spacing w:line="360" w:lineRule="auto"/>
        <w:contextualSpacing w:val="0"/>
        <w:jc w:val="left"/>
        <w:rPr>
          <w:rFonts w:ascii="Times New Roman" w:hAnsi="Times New Roman" w:cs="Times New Roman"/>
          <w:sz w:val="24"/>
          <w:szCs w:val="24"/>
        </w:rPr>
      </w:pPr>
      <w:r w:rsidRPr="00586CCF">
        <w:rPr>
          <w:rFonts w:ascii="Times New Roman" w:hAnsi="Times New Roman" w:cs="Times New Roman"/>
          <w:sz w:val="24"/>
          <w:szCs w:val="24"/>
        </w:rPr>
        <w:t>Programme 6: Incentive Development and Administration</w:t>
      </w:r>
    </w:p>
    <w:p w14:paraId="12CF8D07" w14:textId="77777777" w:rsidR="00A41195" w:rsidRPr="00586CCF" w:rsidRDefault="00A41195" w:rsidP="009D5D24">
      <w:pPr>
        <w:pStyle w:val="ListParagraph"/>
        <w:numPr>
          <w:ilvl w:val="0"/>
          <w:numId w:val="15"/>
        </w:numPr>
        <w:spacing w:line="360" w:lineRule="auto"/>
        <w:contextualSpacing w:val="0"/>
        <w:jc w:val="left"/>
        <w:rPr>
          <w:rFonts w:ascii="Times New Roman" w:hAnsi="Times New Roman" w:cs="Times New Roman"/>
          <w:sz w:val="24"/>
          <w:szCs w:val="24"/>
        </w:rPr>
      </w:pPr>
      <w:r w:rsidRPr="00586CCF">
        <w:rPr>
          <w:rFonts w:ascii="Times New Roman" w:hAnsi="Times New Roman" w:cs="Times New Roman"/>
          <w:sz w:val="24"/>
          <w:szCs w:val="24"/>
        </w:rPr>
        <w:t>Programme 8: Investment South Africa</w:t>
      </w:r>
    </w:p>
    <w:p w14:paraId="3F620455" w14:textId="77777777" w:rsidR="00A41195" w:rsidRPr="00586CCF" w:rsidRDefault="00A41195" w:rsidP="00586CCF">
      <w:pPr>
        <w:spacing w:line="360" w:lineRule="auto"/>
        <w:rPr>
          <w:rFonts w:ascii="Times New Roman" w:hAnsi="Times New Roman" w:cs="Times New Roman"/>
          <w:sz w:val="24"/>
          <w:szCs w:val="24"/>
        </w:rPr>
      </w:pPr>
    </w:p>
    <w:p w14:paraId="2E4D12F6" w14:textId="77777777" w:rsidR="00A41195" w:rsidRPr="00586CCF" w:rsidRDefault="00A41195"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outcome of this assessment was that the </w:t>
      </w:r>
      <w:r w:rsidR="003100D1">
        <w:rPr>
          <w:rFonts w:ascii="Times New Roman" w:hAnsi="Times New Roman" w:cs="Times New Roman"/>
          <w:sz w:val="24"/>
          <w:szCs w:val="24"/>
        </w:rPr>
        <w:t>Auditor-General</w:t>
      </w:r>
      <w:r w:rsidRPr="00586CCF">
        <w:rPr>
          <w:rFonts w:ascii="Times New Roman" w:hAnsi="Times New Roman" w:cs="Times New Roman"/>
          <w:sz w:val="24"/>
          <w:szCs w:val="24"/>
        </w:rPr>
        <w:t xml:space="preserve"> did “…not find any material findings on the usefulness and reliability of the reported performance information for the selected programmes…”</w:t>
      </w:r>
      <w:r w:rsidRPr="00586CCF">
        <w:rPr>
          <w:rStyle w:val="FootnoteReference"/>
          <w:rFonts w:ascii="Times New Roman" w:hAnsi="Times New Roman" w:cs="Times New Roman"/>
          <w:sz w:val="24"/>
          <w:szCs w:val="24"/>
        </w:rPr>
        <w:footnoteReference w:id="6"/>
      </w:r>
    </w:p>
    <w:p w14:paraId="5DDD384A" w14:textId="77777777" w:rsidR="00A41195" w:rsidRPr="00586CCF" w:rsidRDefault="00A41195" w:rsidP="00586CCF">
      <w:pPr>
        <w:spacing w:line="360" w:lineRule="auto"/>
        <w:rPr>
          <w:rFonts w:ascii="Times New Roman" w:hAnsi="Times New Roman" w:cs="Times New Roman"/>
          <w:sz w:val="24"/>
          <w:szCs w:val="24"/>
        </w:rPr>
      </w:pPr>
    </w:p>
    <w:p w14:paraId="0AC54F52" w14:textId="77777777" w:rsidR="00A41195" w:rsidRPr="00586CCF" w:rsidRDefault="00A41195"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The Auditor General note</w:t>
      </w:r>
      <w:r w:rsidR="008317FC">
        <w:rPr>
          <w:rFonts w:ascii="Times New Roman" w:hAnsi="Times New Roman" w:cs="Times New Roman"/>
          <w:sz w:val="24"/>
          <w:szCs w:val="24"/>
        </w:rPr>
        <w:t>d</w:t>
      </w:r>
      <w:r w:rsidRPr="00586CCF">
        <w:rPr>
          <w:rFonts w:ascii="Times New Roman" w:hAnsi="Times New Roman" w:cs="Times New Roman"/>
          <w:sz w:val="24"/>
          <w:szCs w:val="24"/>
        </w:rPr>
        <w:t xml:space="preserve"> that the </w:t>
      </w:r>
      <w:r w:rsidR="008317FC">
        <w:rPr>
          <w:rFonts w:ascii="Times New Roman" w:hAnsi="Times New Roman" w:cs="Times New Roman"/>
          <w:sz w:val="24"/>
          <w:szCs w:val="24"/>
        </w:rPr>
        <w:t xml:space="preserve">DTI had </w:t>
      </w:r>
      <w:r w:rsidRPr="00586CCF">
        <w:rPr>
          <w:rFonts w:ascii="Times New Roman" w:hAnsi="Times New Roman" w:cs="Times New Roman"/>
          <w:sz w:val="24"/>
          <w:szCs w:val="24"/>
        </w:rPr>
        <w:t xml:space="preserve">a clean audit report. However, it is important to note that </w:t>
      </w:r>
      <w:r w:rsidR="00B7215E">
        <w:rPr>
          <w:rFonts w:ascii="Times New Roman" w:hAnsi="Times New Roman" w:cs="Times New Roman"/>
          <w:sz w:val="24"/>
          <w:szCs w:val="24"/>
        </w:rPr>
        <w:t xml:space="preserve">a material impairment </w:t>
      </w:r>
      <w:r w:rsidRPr="00586CCF">
        <w:rPr>
          <w:rFonts w:ascii="Times New Roman" w:hAnsi="Times New Roman" w:cs="Times New Roman"/>
          <w:sz w:val="24"/>
          <w:szCs w:val="24"/>
        </w:rPr>
        <w:t xml:space="preserve">of R35 million </w:t>
      </w:r>
      <w:r w:rsidR="00B7215E">
        <w:rPr>
          <w:rFonts w:ascii="Times New Roman" w:hAnsi="Times New Roman" w:cs="Times New Roman"/>
          <w:sz w:val="24"/>
          <w:szCs w:val="24"/>
        </w:rPr>
        <w:t xml:space="preserve">was provided for </w:t>
      </w:r>
      <w:r w:rsidRPr="00586CCF">
        <w:rPr>
          <w:rFonts w:ascii="Times New Roman" w:hAnsi="Times New Roman" w:cs="Times New Roman"/>
          <w:sz w:val="24"/>
          <w:szCs w:val="24"/>
        </w:rPr>
        <w:t xml:space="preserve">as a result of debtors outstanding for longer than 12 months. </w:t>
      </w:r>
    </w:p>
    <w:p w14:paraId="4E80A77F" w14:textId="77777777" w:rsidR="007D2DB6" w:rsidRPr="00586CCF" w:rsidRDefault="007D2DB6" w:rsidP="00586CCF">
      <w:pPr>
        <w:spacing w:line="360" w:lineRule="auto"/>
        <w:rPr>
          <w:rFonts w:ascii="Times New Roman" w:hAnsi="Times New Roman" w:cs="Times New Roman"/>
          <w:sz w:val="24"/>
          <w:szCs w:val="24"/>
        </w:rPr>
      </w:pPr>
    </w:p>
    <w:p w14:paraId="38A6A182" w14:textId="77777777" w:rsidR="007D2DB6" w:rsidRPr="00432CE0" w:rsidRDefault="007D2DB6" w:rsidP="009D5D24">
      <w:pPr>
        <w:pStyle w:val="Heading2"/>
        <w:numPr>
          <w:ilvl w:val="1"/>
          <w:numId w:val="22"/>
        </w:numPr>
        <w:spacing w:before="0" w:line="360" w:lineRule="auto"/>
        <w:rPr>
          <w:rFonts w:ascii="Times New Roman" w:hAnsi="Times New Roman" w:cs="Times New Roman"/>
          <w:color w:val="auto"/>
          <w:sz w:val="24"/>
          <w:szCs w:val="24"/>
        </w:rPr>
      </w:pPr>
      <w:bookmarkStart w:id="11" w:name="_Toc370119591"/>
      <w:r w:rsidRPr="00432CE0">
        <w:rPr>
          <w:rFonts w:ascii="Times New Roman" w:hAnsi="Times New Roman" w:cs="Times New Roman"/>
          <w:color w:val="auto"/>
          <w:sz w:val="24"/>
          <w:szCs w:val="24"/>
        </w:rPr>
        <w:t xml:space="preserve">Financial and non-financial performance as at </w:t>
      </w:r>
      <w:r w:rsidR="008711B1">
        <w:rPr>
          <w:rFonts w:ascii="Times New Roman" w:hAnsi="Times New Roman" w:cs="Times New Roman"/>
          <w:color w:val="auto"/>
          <w:sz w:val="24"/>
          <w:szCs w:val="24"/>
        </w:rPr>
        <w:t>30</w:t>
      </w:r>
      <w:r w:rsidRPr="00432CE0">
        <w:rPr>
          <w:rFonts w:ascii="Times New Roman" w:hAnsi="Times New Roman" w:cs="Times New Roman"/>
          <w:color w:val="auto"/>
          <w:sz w:val="24"/>
          <w:szCs w:val="24"/>
        </w:rPr>
        <w:t xml:space="preserve"> June 2017</w:t>
      </w:r>
      <w:r w:rsidRPr="00432CE0">
        <w:rPr>
          <w:color w:val="auto"/>
          <w:vertAlign w:val="superscript"/>
        </w:rPr>
        <w:footnoteReference w:id="7"/>
      </w:r>
    </w:p>
    <w:p w14:paraId="6B8EC10E" w14:textId="77777777" w:rsidR="007D2DB6" w:rsidRDefault="007D2DB6" w:rsidP="00586CCF">
      <w:pPr>
        <w:spacing w:line="360" w:lineRule="auto"/>
        <w:rPr>
          <w:rFonts w:ascii="Times New Roman" w:eastAsia="Calibri" w:hAnsi="Times New Roman" w:cs="Times New Roman"/>
          <w:b/>
          <w:sz w:val="24"/>
          <w:szCs w:val="24"/>
        </w:rPr>
      </w:pPr>
    </w:p>
    <w:p w14:paraId="5E912534" w14:textId="77777777" w:rsidR="00432CE0" w:rsidRPr="00432CE0" w:rsidRDefault="00432CE0" w:rsidP="009D5D24">
      <w:pPr>
        <w:pStyle w:val="Heading2"/>
        <w:numPr>
          <w:ilvl w:val="2"/>
          <w:numId w:val="22"/>
        </w:numPr>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Non-</w:t>
      </w:r>
      <w:r w:rsidRPr="00432CE0">
        <w:rPr>
          <w:rFonts w:ascii="Times New Roman" w:hAnsi="Times New Roman" w:cs="Times New Roman"/>
          <w:color w:val="auto"/>
          <w:sz w:val="24"/>
          <w:szCs w:val="24"/>
        </w:rPr>
        <w:t xml:space="preserve">financial Performance </w:t>
      </w:r>
    </w:p>
    <w:p w14:paraId="014D241F" w14:textId="77777777" w:rsidR="00432CE0" w:rsidRPr="00586CCF" w:rsidRDefault="00432CE0" w:rsidP="00586CCF">
      <w:pPr>
        <w:spacing w:line="360" w:lineRule="auto"/>
        <w:rPr>
          <w:rFonts w:ascii="Times New Roman" w:eastAsia="Calibri" w:hAnsi="Times New Roman" w:cs="Times New Roman"/>
          <w:b/>
          <w:sz w:val="24"/>
          <w:szCs w:val="24"/>
        </w:rPr>
      </w:pPr>
    </w:p>
    <w:p w14:paraId="076F5FC7" w14:textId="77777777" w:rsidR="007D2DB6" w:rsidRPr="00586CCF" w:rsidRDefault="007D2DB6" w:rsidP="00586CC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The DTI had 26 performance targets for the</w:t>
      </w:r>
      <w:r w:rsidR="00771448">
        <w:rPr>
          <w:rFonts w:ascii="Times New Roman" w:eastAsia="Calibri" w:hAnsi="Times New Roman" w:cs="Times New Roman"/>
          <w:sz w:val="24"/>
          <w:szCs w:val="24"/>
        </w:rPr>
        <w:t xml:space="preserve"> </w:t>
      </w:r>
      <w:r w:rsidRPr="00586CCF">
        <w:rPr>
          <w:rFonts w:ascii="Times New Roman" w:eastAsia="Calibri" w:hAnsi="Times New Roman" w:cs="Times New Roman"/>
          <w:sz w:val="24"/>
          <w:szCs w:val="24"/>
        </w:rPr>
        <w:t>2017/18 financial year, of which, two quarterly targets were not met. These were th</w:t>
      </w:r>
      <w:r w:rsidR="00771448">
        <w:rPr>
          <w:rFonts w:ascii="Times New Roman" w:eastAsia="Calibri" w:hAnsi="Times New Roman" w:cs="Times New Roman"/>
          <w:sz w:val="24"/>
          <w:szCs w:val="24"/>
        </w:rPr>
        <w:t>at</w:t>
      </w:r>
      <w:r w:rsidRPr="00586CCF">
        <w:rPr>
          <w:rFonts w:ascii="Times New Roman" w:eastAsia="Calibri" w:hAnsi="Times New Roman" w:cs="Times New Roman"/>
          <w:sz w:val="24"/>
          <w:szCs w:val="24"/>
        </w:rPr>
        <w:t>:</w:t>
      </w:r>
    </w:p>
    <w:p w14:paraId="56BA16B5" w14:textId="77777777" w:rsidR="007D2DB6" w:rsidRPr="00586CCF" w:rsidRDefault="007D2DB6" w:rsidP="00586CCF">
      <w:pPr>
        <w:tabs>
          <w:tab w:val="left" w:pos="2399"/>
          <w:tab w:val="left" w:pos="4786"/>
          <w:tab w:val="left" w:pos="7177"/>
          <w:tab w:val="left" w:pos="9568"/>
        </w:tabs>
        <w:spacing w:line="360" w:lineRule="auto"/>
        <w:jc w:val="left"/>
        <w:rPr>
          <w:rFonts w:ascii="Times New Roman" w:eastAsia="Calibri" w:hAnsi="Times New Roman" w:cs="Times New Roman"/>
          <w:sz w:val="24"/>
          <w:szCs w:val="24"/>
        </w:rPr>
      </w:pPr>
    </w:p>
    <w:p w14:paraId="3C05F2B0" w14:textId="77777777" w:rsidR="007D2DB6" w:rsidRPr="00586CCF" w:rsidRDefault="007D2DB6" w:rsidP="009D5D24">
      <w:pPr>
        <w:pStyle w:val="ListParagraph"/>
        <w:numPr>
          <w:ilvl w:val="0"/>
          <w:numId w:val="25"/>
        </w:numPr>
        <w:tabs>
          <w:tab w:val="left" w:pos="2399"/>
          <w:tab w:val="left" w:pos="4786"/>
          <w:tab w:val="left" w:pos="7177"/>
          <w:tab w:val="left" w:pos="9568"/>
        </w:tabs>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Only 163 of the target</w:t>
      </w:r>
      <w:r w:rsidR="00771448">
        <w:rPr>
          <w:rFonts w:ascii="Times New Roman" w:eastAsia="Calibri" w:hAnsi="Times New Roman" w:cs="Times New Roman"/>
          <w:sz w:val="24"/>
          <w:szCs w:val="24"/>
        </w:rPr>
        <w:t>ed</w:t>
      </w:r>
      <w:r w:rsidRPr="00586CCF">
        <w:rPr>
          <w:rFonts w:ascii="Times New Roman" w:eastAsia="Calibri" w:hAnsi="Times New Roman" w:cs="Times New Roman"/>
          <w:sz w:val="24"/>
          <w:szCs w:val="24"/>
        </w:rPr>
        <w:t xml:space="preserve"> 228 companies were assisted under the Export Marketing and Investment Assistance (EMIA). This was due to the following activities being postponed to later in the financial year: ITI Russia, Trade Missions to Cuba, USA and from South Sudan postponed to later in the year. </w:t>
      </w:r>
    </w:p>
    <w:p w14:paraId="4B3C0C53" w14:textId="77777777" w:rsidR="007D2DB6" w:rsidRPr="00586CCF" w:rsidRDefault="007D2DB6" w:rsidP="009D5D24">
      <w:pPr>
        <w:pStyle w:val="ListParagraph"/>
        <w:numPr>
          <w:ilvl w:val="0"/>
          <w:numId w:val="25"/>
        </w:numPr>
        <w:tabs>
          <w:tab w:val="left" w:pos="2399"/>
          <w:tab w:val="left" w:pos="4786"/>
          <w:tab w:val="left" w:pos="7177"/>
          <w:tab w:val="left" w:pos="9568"/>
        </w:tabs>
        <w:spacing w:line="360" w:lineRule="auto"/>
        <w:jc w:val="left"/>
        <w:rPr>
          <w:rFonts w:ascii="Times New Roman" w:eastAsia="Calibri" w:hAnsi="Times New Roman" w:cs="Times New Roman"/>
          <w:sz w:val="24"/>
          <w:szCs w:val="24"/>
        </w:rPr>
      </w:pPr>
      <w:r w:rsidRPr="00586CCF">
        <w:rPr>
          <w:rFonts w:ascii="Times New Roman" w:eastAsia="Calibri" w:hAnsi="Times New Roman" w:cs="Times New Roman"/>
          <w:sz w:val="24"/>
          <w:szCs w:val="24"/>
        </w:rPr>
        <w:t>Twelve out of the targeted 20 outreach engagements and exhibitions were held. This was due to slow demand for outreach engagements. However, the DTI reported that the demand had started to pick up in the second quarter.</w:t>
      </w:r>
    </w:p>
    <w:p w14:paraId="59B1A371" w14:textId="77777777" w:rsidR="007D2DB6" w:rsidRPr="00586CCF" w:rsidRDefault="007D2DB6" w:rsidP="00586CCF">
      <w:pPr>
        <w:spacing w:line="360" w:lineRule="auto"/>
        <w:rPr>
          <w:rFonts w:ascii="Times New Roman" w:eastAsia="Calibri" w:hAnsi="Times New Roman" w:cs="Times New Roman"/>
          <w:sz w:val="24"/>
          <w:szCs w:val="24"/>
        </w:rPr>
      </w:pPr>
    </w:p>
    <w:p w14:paraId="0ED81758" w14:textId="77777777" w:rsidR="007D2DB6" w:rsidRPr="00586CCF" w:rsidRDefault="007D2DB6" w:rsidP="00586CC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The DTI also highlighted a number of achievements in the first quarter. These included:</w:t>
      </w:r>
    </w:p>
    <w:p w14:paraId="13045706" w14:textId="77777777" w:rsidR="007D2DB6" w:rsidRPr="00586CCF" w:rsidRDefault="007D2DB6" w:rsidP="00586CCF">
      <w:pPr>
        <w:spacing w:line="360" w:lineRule="auto"/>
        <w:rPr>
          <w:rFonts w:ascii="Times New Roman" w:eastAsia="Calibri" w:hAnsi="Times New Roman" w:cs="Times New Roman"/>
          <w:sz w:val="24"/>
          <w:szCs w:val="24"/>
        </w:rPr>
      </w:pPr>
    </w:p>
    <w:p w14:paraId="288B42AB" w14:textId="77777777" w:rsidR="007D2DB6" w:rsidRPr="00586CCF" w:rsidRDefault="007D2DB6" w:rsidP="009D5D24">
      <w:pPr>
        <w:pStyle w:val="ListParagraph"/>
        <w:numPr>
          <w:ilvl w:val="0"/>
          <w:numId w:val="26"/>
        </w:num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In terms of Industrial Development</w:t>
      </w:r>
      <w:r w:rsidR="00771448">
        <w:rPr>
          <w:rFonts w:ascii="Times New Roman" w:eastAsia="Calibri" w:hAnsi="Times New Roman" w:cs="Times New Roman"/>
          <w:sz w:val="24"/>
          <w:szCs w:val="24"/>
        </w:rPr>
        <w:t>:</w:t>
      </w:r>
      <w:r w:rsidRPr="00586CCF">
        <w:rPr>
          <w:rFonts w:ascii="Times New Roman" w:eastAsia="Calibri" w:hAnsi="Times New Roman" w:cs="Times New Roman"/>
          <w:sz w:val="24"/>
          <w:szCs w:val="24"/>
        </w:rPr>
        <w:t xml:space="preserve"> </w:t>
      </w:r>
    </w:p>
    <w:p w14:paraId="01896A86"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The Agro-processing Support Scheme (ASS) of R1 billion launched in May 2017.</w:t>
      </w:r>
    </w:p>
    <w:p w14:paraId="0FC84656"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 xml:space="preserve">In terms of designation, water meters have been included under the residential electricity meter designation at 40% local content. The Aberdare Cables will be expanding its facilities to be able to produce up to 66KV cables. The R30 million investment will create an additional 25 </w:t>
      </w:r>
      <w:r w:rsidR="00771448" w:rsidRPr="00586CCF">
        <w:rPr>
          <w:rFonts w:ascii="Times New Roman" w:eastAsia="Calibri" w:hAnsi="Times New Roman" w:cs="Times New Roman"/>
          <w:sz w:val="24"/>
          <w:szCs w:val="24"/>
          <w:lang w:val="en-US"/>
        </w:rPr>
        <w:t xml:space="preserve">jobs </w:t>
      </w:r>
      <w:r w:rsidRPr="00586CCF">
        <w:rPr>
          <w:rFonts w:ascii="Times New Roman" w:eastAsia="Calibri" w:hAnsi="Times New Roman" w:cs="Times New Roman"/>
          <w:sz w:val="24"/>
          <w:szCs w:val="24"/>
          <w:lang w:val="en-US"/>
        </w:rPr>
        <w:t>to start in March 2018.</w:t>
      </w:r>
    </w:p>
    <w:p w14:paraId="113F18CE"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The DTI supported the application from industry to increase the general rate of customs duty on prefabricated buildings from duty free to the maximum bound rate of 20% ad valorem; in order to protect the existing manufacturing capacity and to create new jobs.</w:t>
      </w:r>
    </w:p>
    <w:p w14:paraId="3CA7415C"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The DTI approved R8 million cluster support to the Mining Equipment Manufacturers of S</w:t>
      </w:r>
      <w:r w:rsidR="00771448">
        <w:rPr>
          <w:rFonts w:ascii="Times New Roman" w:eastAsia="Calibri" w:hAnsi="Times New Roman" w:cs="Times New Roman"/>
          <w:sz w:val="24"/>
          <w:szCs w:val="24"/>
          <w:lang w:val="en-US"/>
        </w:rPr>
        <w:t xml:space="preserve">outh </w:t>
      </w:r>
      <w:r w:rsidRPr="00586CCF">
        <w:rPr>
          <w:rFonts w:ascii="Times New Roman" w:eastAsia="Calibri" w:hAnsi="Times New Roman" w:cs="Times New Roman"/>
          <w:sz w:val="24"/>
          <w:szCs w:val="24"/>
          <w:lang w:val="en-US"/>
        </w:rPr>
        <w:t>A</w:t>
      </w:r>
      <w:r w:rsidR="00771448">
        <w:rPr>
          <w:rFonts w:ascii="Times New Roman" w:eastAsia="Calibri" w:hAnsi="Times New Roman" w:cs="Times New Roman"/>
          <w:sz w:val="24"/>
          <w:szCs w:val="24"/>
          <w:lang w:val="en-US"/>
        </w:rPr>
        <w:t>frica</w:t>
      </w:r>
      <w:r w:rsidRPr="00586CCF">
        <w:rPr>
          <w:rFonts w:ascii="Times New Roman" w:eastAsia="Calibri" w:hAnsi="Times New Roman" w:cs="Times New Roman"/>
          <w:sz w:val="24"/>
          <w:szCs w:val="24"/>
          <w:lang w:val="en-US"/>
        </w:rPr>
        <w:t xml:space="preserve"> (MEMSA).</w:t>
      </w:r>
    </w:p>
    <w:p w14:paraId="77833030" w14:textId="77777777" w:rsidR="007D2DB6" w:rsidRPr="00586CCF" w:rsidRDefault="007D2DB6" w:rsidP="009D5D24">
      <w:pPr>
        <w:pStyle w:val="ListParagraph"/>
        <w:numPr>
          <w:ilvl w:val="0"/>
          <w:numId w:val="26"/>
        </w:num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In terms of Trade, Investment and Exports</w:t>
      </w:r>
      <w:r w:rsidR="00771448">
        <w:rPr>
          <w:rFonts w:ascii="Times New Roman" w:eastAsia="Calibri" w:hAnsi="Times New Roman" w:cs="Times New Roman"/>
          <w:sz w:val="24"/>
          <w:szCs w:val="24"/>
        </w:rPr>
        <w:t>:</w:t>
      </w:r>
    </w:p>
    <w:p w14:paraId="7EDC87C9"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South Africa Positions advanced in the Group of 20 to resist a G20 agenda that would undermine the Doha Development Agenda (DDA) in the World Trade Organization (WTO) by advancing new policy issues that would undermine policy space especially for developing countries.</w:t>
      </w:r>
    </w:p>
    <w:p w14:paraId="6D522F04"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 xml:space="preserve">Modalities on Trade in Services approved and parameters for the Trade in Goods modalities agreed by African Union Ministers of Trade (AMOT) for the Continental Free Trade Area (CFTA). </w:t>
      </w:r>
    </w:p>
    <w:p w14:paraId="04E2962E"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Addressed the United State of America’s (USA) concerns with regards to the Tariff Rebate Quota (TRQ) on chicken thus avoiding an out-of-cycle review.</w:t>
      </w:r>
    </w:p>
    <w:p w14:paraId="03A82194"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Significant progress achieved in the Southern African Customs Union–East African Community (SACU-EAC) tariff negotiations with 85% of the tariffs agreed.</w:t>
      </w:r>
    </w:p>
    <w:p w14:paraId="641CED73"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A significant amount of trade leads was generated through the Foreign Offices resulting in 295 leads disseminated to South African exporters against the target of 240.</w:t>
      </w:r>
    </w:p>
    <w:p w14:paraId="44CE47F1"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The Deputy Minister participated in the St Petersburg International Economic Forum and the DTI supported his participation on the Brazil, Russia, India, China and South Africa (BRICS) and Africa-Russia panel sessions.</w:t>
      </w:r>
    </w:p>
    <w:p w14:paraId="38AAC95C"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Exports sales facilitated and recorded in the quarter amounted to R2</w:t>
      </w:r>
      <w:r w:rsidR="00771448">
        <w:rPr>
          <w:rFonts w:ascii="Times New Roman" w:eastAsia="Calibri" w:hAnsi="Times New Roman" w:cs="Times New Roman"/>
          <w:sz w:val="24"/>
          <w:szCs w:val="24"/>
          <w:lang w:val="en-US"/>
        </w:rPr>
        <w:t>.</w:t>
      </w:r>
      <w:r w:rsidRPr="00586CCF">
        <w:rPr>
          <w:rFonts w:ascii="Times New Roman" w:eastAsia="Calibri" w:hAnsi="Times New Roman" w:cs="Times New Roman"/>
          <w:sz w:val="24"/>
          <w:szCs w:val="24"/>
          <w:lang w:val="en-US"/>
        </w:rPr>
        <w:t>2 billion to regions around the world.</w:t>
      </w:r>
    </w:p>
    <w:p w14:paraId="0AFB9BFA" w14:textId="77777777" w:rsidR="007D2DB6" w:rsidRPr="00586CCF" w:rsidRDefault="007D2DB6" w:rsidP="009D5D24">
      <w:pPr>
        <w:pStyle w:val="ListParagraph"/>
        <w:numPr>
          <w:ilvl w:val="0"/>
          <w:numId w:val="26"/>
        </w:num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In terms of Special Economic Zones and Economic Transformation</w:t>
      </w:r>
      <w:r w:rsidR="00771448">
        <w:rPr>
          <w:rFonts w:ascii="Times New Roman" w:eastAsia="Calibri" w:hAnsi="Times New Roman" w:cs="Times New Roman"/>
          <w:sz w:val="24"/>
          <w:szCs w:val="24"/>
        </w:rPr>
        <w:t>:</w:t>
      </w:r>
    </w:p>
    <w:p w14:paraId="719B7938"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Amendment of Draft Statement 005 submitted to the Minister for signing in June 2017; the Statement appoints the Broad-Based Black Economic Empowerment (B-BBEE) Policy Unit as the B-BBEE Verification Professional Regulator as well as introduces Empowerment Standards for Rating Agencies.</w:t>
      </w:r>
    </w:p>
    <w:p w14:paraId="74864A68"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Minister launched Black Industrialist companies</w:t>
      </w:r>
      <w:r w:rsidR="00771448">
        <w:rPr>
          <w:rFonts w:ascii="Times New Roman" w:eastAsia="Calibri" w:hAnsi="Times New Roman" w:cs="Times New Roman"/>
          <w:sz w:val="24"/>
          <w:szCs w:val="24"/>
          <w:lang w:val="en-US"/>
        </w:rPr>
        <w:t>:</w:t>
      </w:r>
      <w:r w:rsidRPr="00586CCF">
        <w:rPr>
          <w:rFonts w:ascii="Times New Roman" w:eastAsia="Calibri" w:hAnsi="Times New Roman" w:cs="Times New Roman"/>
          <w:sz w:val="24"/>
          <w:szCs w:val="24"/>
          <w:lang w:val="en-US"/>
        </w:rPr>
        <w:t xml:space="preserve"> United Industrial Cables in June 2017 and K9 Pet Foods in May 2017. </w:t>
      </w:r>
    </w:p>
    <w:p w14:paraId="5EE17BBA"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The DTI, in con</w:t>
      </w:r>
      <w:r w:rsidR="0055458E">
        <w:rPr>
          <w:rFonts w:ascii="Times New Roman" w:eastAsia="Calibri" w:hAnsi="Times New Roman" w:cs="Times New Roman"/>
          <w:sz w:val="24"/>
          <w:szCs w:val="24"/>
          <w:lang w:val="en-US"/>
        </w:rPr>
        <w:t>junction with the KwaZulu-Natal</w:t>
      </w:r>
      <w:r w:rsidRPr="00586CCF">
        <w:rPr>
          <w:rFonts w:ascii="Times New Roman" w:eastAsia="Calibri" w:hAnsi="Times New Roman" w:cs="Times New Roman"/>
          <w:sz w:val="24"/>
          <w:szCs w:val="24"/>
          <w:lang w:val="en-US"/>
        </w:rPr>
        <w:t xml:space="preserve"> Economic Development and Environmental Affairs Department, launched the Black Industrialist Program in K</w:t>
      </w:r>
      <w:r w:rsidR="0055458E">
        <w:rPr>
          <w:rFonts w:ascii="Times New Roman" w:eastAsia="Calibri" w:hAnsi="Times New Roman" w:cs="Times New Roman"/>
          <w:sz w:val="24"/>
          <w:szCs w:val="24"/>
          <w:lang w:val="en-US"/>
        </w:rPr>
        <w:t>waZulu-Natal</w:t>
      </w:r>
      <w:r w:rsidRPr="00586CCF">
        <w:rPr>
          <w:rFonts w:ascii="Times New Roman" w:eastAsia="Calibri" w:hAnsi="Times New Roman" w:cs="Times New Roman"/>
          <w:sz w:val="24"/>
          <w:szCs w:val="24"/>
          <w:lang w:val="en-US"/>
        </w:rPr>
        <w:t xml:space="preserve"> led by the Minister and MEC Zikalala in June 2017.</w:t>
      </w:r>
    </w:p>
    <w:p w14:paraId="0B5489D5" w14:textId="77777777" w:rsidR="007D2DB6" w:rsidRPr="00586CCF" w:rsidRDefault="007D2DB6" w:rsidP="009D5D24">
      <w:pPr>
        <w:pStyle w:val="ListParagraph"/>
        <w:numPr>
          <w:ilvl w:val="0"/>
          <w:numId w:val="26"/>
        </w:num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In terms of Legislation and Regulation:</w:t>
      </w:r>
    </w:p>
    <w:p w14:paraId="45385C23"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lang w:val="en-US"/>
        </w:rPr>
        <w:t xml:space="preserve">Seven education and awareness workshops were convened in Limpopo (Tshakuma, Tzaneen, Ga-Masemola, Westernburg) and KwaZulu Natal. </w:t>
      </w:r>
    </w:p>
    <w:p w14:paraId="1E33878E"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lang w:val="en-US"/>
        </w:rPr>
        <w:t xml:space="preserve">The Copyright Amendment Bill was introduced in Parliament in May 2017. </w:t>
      </w:r>
    </w:p>
    <w:p w14:paraId="39E40816" w14:textId="77777777" w:rsidR="007D2DB6" w:rsidRPr="00586CCF" w:rsidRDefault="007D2DB6" w:rsidP="009D5D24">
      <w:pPr>
        <w:pStyle w:val="ListParagraph"/>
        <w:numPr>
          <w:ilvl w:val="0"/>
          <w:numId w:val="26"/>
        </w:num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In terms of Administration and Co-ordination:</w:t>
      </w:r>
    </w:p>
    <w:p w14:paraId="7C1701FD"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All eligible creditor payments were processed well within 30 days, with 43% of 4 144 creditors payment processed within 15 days and the remainder within 30 days.</w:t>
      </w:r>
    </w:p>
    <w:p w14:paraId="19B44A7D"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The DTI has 3.34% of all its employees being people with disabilities.</w:t>
      </w:r>
    </w:p>
    <w:p w14:paraId="349A4F63" w14:textId="77777777" w:rsidR="007D2DB6" w:rsidRPr="00586CCF" w:rsidRDefault="007D2DB6" w:rsidP="009D5D24">
      <w:pPr>
        <w:numPr>
          <w:ilvl w:val="0"/>
          <w:numId w:val="27"/>
        </w:numPr>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lang w:val="en-US"/>
        </w:rPr>
        <w:t>The annual target of 50% of senior management being female was met.</w:t>
      </w:r>
    </w:p>
    <w:p w14:paraId="1EE468BA" w14:textId="77777777" w:rsidR="007D2DB6" w:rsidRPr="00586CCF" w:rsidRDefault="007D2DB6" w:rsidP="00586CCF">
      <w:pPr>
        <w:spacing w:line="360" w:lineRule="auto"/>
        <w:rPr>
          <w:rFonts w:ascii="Times New Roman" w:eastAsia="Calibri" w:hAnsi="Times New Roman" w:cs="Times New Roman"/>
          <w:sz w:val="24"/>
          <w:szCs w:val="24"/>
        </w:rPr>
      </w:pPr>
    </w:p>
    <w:p w14:paraId="3B92604B" w14:textId="77777777" w:rsidR="007D2DB6" w:rsidRPr="00432CE0" w:rsidRDefault="007D2DB6" w:rsidP="009D5D24">
      <w:pPr>
        <w:pStyle w:val="Heading2"/>
        <w:numPr>
          <w:ilvl w:val="2"/>
          <w:numId w:val="22"/>
        </w:numPr>
        <w:spacing w:before="0" w:line="360" w:lineRule="auto"/>
        <w:rPr>
          <w:rFonts w:ascii="Times New Roman" w:hAnsi="Times New Roman" w:cs="Times New Roman"/>
          <w:color w:val="auto"/>
          <w:sz w:val="24"/>
          <w:szCs w:val="24"/>
        </w:rPr>
      </w:pPr>
      <w:r w:rsidRPr="00432CE0">
        <w:rPr>
          <w:rFonts w:ascii="Times New Roman" w:hAnsi="Times New Roman" w:cs="Times New Roman"/>
          <w:color w:val="auto"/>
          <w:sz w:val="24"/>
          <w:szCs w:val="24"/>
        </w:rPr>
        <w:t xml:space="preserve">Financial Performance </w:t>
      </w:r>
    </w:p>
    <w:p w14:paraId="7984E3FA" w14:textId="77777777" w:rsidR="007D2DB6" w:rsidRPr="00586CCF" w:rsidRDefault="007D2DB6" w:rsidP="00586CCF">
      <w:pPr>
        <w:spacing w:line="360" w:lineRule="auto"/>
        <w:rPr>
          <w:rFonts w:ascii="Times New Roman" w:eastAsia="Calibri" w:hAnsi="Times New Roman" w:cs="Times New Roman"/>
          <w:sz w:val="24"/>
          <w:szCs w:val="24"/>
        </w:rPr>
      </w:pPr>
    </w:p>
    <w:p w14:paraId="7A2AD9A4" w14:textId="77777777" w:rsidR="007D2DB6" w:rsidRPr="00586CCF" w:rsidRDefault="007D2DB6" w:rsidP="00586CC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 xml:space="preserve">The DTI’s budget for the 2017/18 financial year is R9.3 billion. In the first quarter of the 2017/18 financial year, the </w:t>
      </w:r>
      <w:r w:rsidR="00771448">
        <w:rPr>
          <w:rFonts w:ascii="Times New Roman" w:eastAsia="Calibri" w:hAnsi="Times New Roman" w:cs="Times New Roman"/>
          <w:sz w:val="24"/>
          <w:szCs w:val="24"/>
        </w:rPr>
        <w:t>DTI</w:t>
      </w:r>
      <w:r w:rsidR="00771448" w:rsidRPr="00586CCF">
        <w:rPr>
          <w:rFonts w:ascii="Times New Roman" w:eastAsia="Calibri" w:hAnsi="Times New Roman" w:cs="Times New Roman"/>
          <w:sz w:val="24"/>
          <w:szCs w:val="24"/>
        </w:rPr>
        <w:t xml:space="preserve"> </w:t>
      </w:r>
      <w:r w:rsidRPr="00586CCF">
        <w:rPr>
          <w:rFonts w:ascii="Times New Roman" w:eastAsia="Calibri" w:hAnsi="Times New Roman" w:cs="Times New Roman"/>
          <w:sz w:val="24"/>
          <w:szCs w:val="24"/>
        </w:rPr>
        <w:t xml:space="preserve">had projected spending of R2.5 billion; however, the </w:t>
      </w:r>
      <w:r w:rsidR="00AB63A9">
        <w:rPr>
          <w:rFonts w:ascii="Times New Roman" w:eastAsia="Calibri" w:hAnsi="Times New Roman" w:cs="Times New Roman"/>
          <w:sz w:val="24"/>
          <w:szCs w:val="24"/>
        </w:rPr>
        <w:t>DTI</w:t>
      </w:r>
      <w:r w:rsidRPr="00586CCF">
        <w:rPr>
          <w:rFonts w:ascii="Times New Roman" w:eastAsia="Calibri" w:hAnsi="Times New Roman" w:cs="Times New Roman"/>
          <w:sz w:val="24"/>
          <w:szCs w:val="24"/>
        </w:rPr>
        <w:t xml:space="preserve"> had only spent R1.7 billion or 68% of the year to date budget. By the end of the first quarter, 81% of the total annual budget was available. More than 85% of the budget was spent on incentive payments and other transfers; while 9% was spent on compensation of employees and 6% on goods and services.</w:t>
      </w:r>
    </w:p>
    <w:p w14:paraId="58EC511A" w14:textId="77777777" w:rsidR="007D2DB6" w:rsidRPr="00586CCF" w:rsidRDefault="007D2DB6" w:rsidP="00586CCF">
      <w:pPr>
        <w:spacing w:line="360" w:lineRule="auto"/>
        <w:rPr>
          <w:rFonts w:ascii="Times New Roman" w:eastAsia="Calibri" w:hAnsi="Times New Roman" w:cs="Times New Roman"/>
          <w:sz w:val="24"/>
          <w:szCs w:val="24"/>
        </w:rPr>
      </w:pPr>
    </w:p>
    <w:p w14:paraId="7CF03B44" w14:textId="77777777" w:rsidR="008C06E4" w:rsidRPr="00586CCF" w:rsidRDefault="008C06E4" w:rsidP="008C06E4">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 xml:space="preserve">In terms of programmes, the Industrial Development Programme spent the largest amount (R701.7 million or 40.8% of the first quarter expenditure), followed by the Incentive Development Administration Programme (R558.7 million or 32.5% of the first quarter expenditure). However, the Incentive Development Administration Programme underspent by 59.1%. </w:t>
      </w:r>
      <w:r w:rsidR="00771448" w:rsidRPr="00586CCF">
        <w:rPr>
          <w:rFonts w:ascii="Times New Roman" w:eastAsia="Calibri" w:hAnsi="Times New Roman" w:cs="Times New Roman"/>
          <w:sz w:val="24"/>
          <w:szCs w:val="24"/>
        </w:rPr>
        <w:t xml:space="preserve">The </w:t>
      </w:r>
      <w:r w:rsidRPr="00586CCF">
        <w:rPr>
          <w:rFonts w:ascii="Times New Roman" w:eastAsia="Calibri" w:hAnsi="Times New Roman" w:cs="Times New Roman"/>
          <w:sz w:val="24"/>
          <w:szCs w:val="24"/>
        </w:rPr>
        <w:t xml:space="preserve">DTI explained that this was due to (i) outstanding compliance documentation required from applicants to finalise claims, (ii) claims that could not be processed as they were found to be non-compliant with the guidelines, (iii) funding agreements still being finalised, and (iv) a slow inflow of claims across the various incentives. There had also been significant underspending within the Trade Export </w:t>
      </w:r>
      <w:r w:rsidR="00771448" w:rsidRPr="00586CCF">
        <w:rPr>
          <w:rFonts w:ascii="Times New Roman" w:eastAsia="Calibri" w:hAnsi="Times New Roman" w:cs="Times New Roman"/>
          <w:sz w:val="24"/>
          <w:szCs w:val="24"/>
        </w:rPr>
        <w:t xml:space="preserve">South </w:t>
      </w:r>
      <w:r w:rsidRPr="00586CCF">
        <w:rPr>
          <w:rFonts w:ascii="Times New Roman" w:eastAsia="Calibri" w:hAnsi="Times New Roman" w:cs="Times New Roman"/>
          <w:sz w:val="24"/>
          <w:szCs w:val="24"/>
        </w:rPr>
        <w:t>Africa Programme (22.8% of the projected spending) and the Investment South Africa Programme (7.8% of the projected spending).</w:t>
      </w:r>
    </w:p>
    <w:p w14:paraId="271EA454" w14:textId="77777777" w:rsidR="008C06E4" w:rsidRPr="00586CCF" w:rsidRDefault="008C06E4" w:rsidP="008C06E4">
      <w:pPr>
        <w:spacing w:line="360" w:lineRule="auto"/>
        <w:rPr>
          <w:rFonts w:ascii="Times New Roman" w:eastAsia="Times New Roman" w:hAnsi="Times New Roman" w:cs="Times New Roman"/>
          <w:b/>
          <w:color w:val="000000"/>
          <w:sz w:val="24"/>
          <w:szCs w:val="24"/>
          <w:lang w:val="en-GB" w:eastAsia="en-GB"/>
        </w:rPr>
      </w:pPr>
    </w:p>
    <w:p w14:paraId="5D92F179" w14:textId="77777777" w:rsidR="007D2DB6" w:rsidRPr="00586CCF" w:rsidRDefault="007D2DB6" w:rsidP="00586CC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T</w:t>
      </w:r>
      <w:r w:rsidR="00432CE0">
        <w:rPr>
          <w:rFonts w:ascii="Times New Roman" w:eastAsia="Calibri" w:hAnsi="Times New Roman" w:cs="Times New Roman"/>
          <w:sz w:val="24"/>
          <w:szCs w:val="24"/>
        </w:rPr>
        <w:t>he t</w:t>
      </w:r>
      <w:r w:rsidRPr="00586CCF">
        <w:rPr>
          <w:rFonts w:ascii="Times New Roman" w:eastAsia="Calibri" w:hAnsi="Times New Roman" w:cs="Times New Roman"/>
          <w:sz w:val="24"/>
          <w:szCs w:val="24"/>
        </w:rPr>
        <w:t xml:space="preserve">able below shows the </w:t>
      </w:r>
      <w:r w:rsidR="00771448">
        <w:rPr>
          <w:rFonts w:ascii="Times New Roman" w:eastAsia="Calibri" w:hAnsi="Times New Roman" w:cs="Times New Roman"/>
          <w:sz w:val="24"/>
          <w:szCs w:val="24"/>
        </w:rPr>
        <w:t>DTI</w:t>
      </w:r>
      <w:r w:rsidR="00771448" w:rsidRPr="00586CCF">
        <w:rPr>
          <w:rFonts w:ascii="Times New Roman" w:eastAsia="Calibri" w:hAnsi="Times New Roman" w:cs="Times New Roman"/>
          <w:sz w:val="24"/>
          <w:szCs w:val="24"/>
        </w:rPr>
        <w:t xml:space="preserve">’s </w:t>
      </w:r>
      <w:r w:rsidRPr="00586CCF">
        <w:rPr>
          <w:rFonts w:ascii="Times New Roman" w:eastAsia="Calibri" w:hAnsi="Times New Roman" w:cs="Times New Roman"/>
          <w:sz w:val="24"/>
          <w:szCs w:val="24"/>
        </w:rPr>
        <w:t xml:space="preserve">expenditure for the first quarter by programme. </w:t>
      </w:r>
    </w:p>
    <w:p w14:paraId="69468951" w14:textId="77777777" w:rsidR="007D2DB6" w:rsidRPr="00586CCF" w:rsidRDefault="007D2DB6" w:rsidP="00586CCF">
      <w:pPr>
        <w:spacing w:line="360" w:lineRule="auto"/>
        <w:rPr>
          <w:rFonts w:ascii="Times New Roman" w:eastAsia="Calibri" w:hAnsi="Times New Roman" w:cs="Times New Roman"/>
          <w:sz w:val="24"/>
          <w:szCs w:val="24"/>
        </w:rPr>
      </w:pPr>
    </w:p>
    <w:p w14:paraId="520EEAE0" w14:textId="77777777" w:rsidR="007D2DB6" w:rsidRPr="00586CCF" w:rsidRDefault="007D2DB6" w:rsidP="00586CCF">
      <w:pPr>
        <w:spacing w:line="360" w:lineRule="auto"/>
        <w:rPr>
          <w:rFonts w:ascii="Times New Roman" w:eastAsia="Calibri" w:hAnsi="Times New Roman" w:cs="Times New Roman"/>
          <w:b/>
          <w:sz w:val="24"/>
          <w:szCs w:val="24"/>
        </w:rPr>
      </w:pPr>
      <w:r w:rsidRPr="00586CCF">
        <w:rPr>
          <w:rFonts w:ascii="Times New Roman" w:eastAsia="Calibri" w:hAnsi="Times New Roman" w:cs="Times New Roman"/>
          <w:b/>
          <w:sz w:val="24"/>
          <w:szCs w:val="24"/>
        </w:rPr>
        <w:t xml:space="preserve">Table </w:t>
      </w:r>
      <w:r w:rsidR="00A474C6">
        <w:rPr>
          <w:rFonts w:ascii="Times New Roman" w:eastAsia="Calibri" w:hAnsi="Times New Roman" w:cs="Times New Roman"/>
          <w:b/>
          <w:sz w:val="24"/>
          <w:szCs w:val="24"/>
        </w:rPr>
        <w:t>7</w:t>
      </w:r>
      <w:r w:rsidRPr="00586CCF">
        <w:rPr>
          <w:rFonts w:ascii="Times New Roman" w:eastAsia="Calibri" w:hAnsi="Times New Roman" w:cs="Times New Roman"/>
          <w:b/>
          <w:sz w:val="24"/>
          <w:szCs w:val="24"/>
        </w:rPr>
        <w:t xml:space="preserve">: Budget and Expenditure </w:t>
      </w:r>
      <w:r w:rsidR="00771448">
        <w:rPr>
          <w:rFonts w:ascii="Times New Roman" w:eastAsia="Calibri" w:hAnsi="Times New Roman" w:cs="Times New Roman"/>
          <w:b/>
          <w:sz w:val="24"/>
          <w:szCs w:val="24"/>
        </w:rPr>
        <w:t>for the first quarter of the 2017/18 financial year</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473"/>
        <w:gridCol w:w="1201"/>
        <w:gridCol w:w="1428"/>
        <w:gridCol w:w="1141"/>
        <w:gridCol w:w="1139"/>
      </w:tblGrid>
      <w:tr w:rsidR="007D2DB6" w:rsidRPr="00771448" w14:paraId="42696540" w14:textId="77777777" w:rsidTr="00586CCF">
        <w:trPr>
          <w:trHeight w:val="315"/>
        </w:trPr>
        <w:tc>
          <w:tcPr>
            <w:tcW w:w="1604" w:type="pct"/>
            <w:vMerge w:val="restart"/>
            <w:shd w:val="clear" w:color="auto" w:fill="BFBFBF" w:themeFill="background1" w:themeFillShade="BF"/>
            <w:noWrap/>
            <w:vAlign w:val="center"/>
            <w:hideMark/>
          </w:tcPr>
          <w:p w14:paraId="21557648" w14:textId="77777777" w:rsidR="007D2DB6" w:rsidRPr="006D18C5" w:rsidRDefault="007D2DB6" w:rsidP="00586CCF">
            <w:pPr>
              <w:spacing w:line="360" w:lineRule="auto"/>
              <w:jc w:val="center"/>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Programme</w:t>
            </w:r>
          </w:p>
        </w:tc>
        <w:tc>
          <w:tcPr>
            <w:tcW w:w="784" w:type="pct"/>
            <w:vMerge w:val="restart"/>
            <w:shd w:val="clear" w:color="auto" w:fill="BFBFBF" w:themeFill="background1" w:themeFillShade="BF"/>
            <w:noWrap/>
            <w:vAlign w:val="center"/>
            <w:hideMark/>
          </w:tcPr>
          <w:p w14:paraId="66A77900" w14:textId="77777777" w:rsidR="007D2DB6" w:rsidRPr="006D18C5" w:rsidRDefault="007D2DB6" w:rsidP="00586CCF">
            <w:pPr>
              <w:spacing w:line="360" w:lineRule="auto"/>
              <w:jc w:val="center"/>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Budget 2017/18 (R’000)</w:t>
            </w:r>
          </w:p>
        </w:tc>
        <w:tc>
          <w:tcPr>
            <w:tcW w:w="2006" w:type="pct"/>
            <w:gridSpan w:val="3"/>
            <w:shd w:val="clear" w:color="auto" w:fill="BFBFBF" w:themeFill="background1" w:themeFillShade="BF"/>
            <w:noWrap/>
            <w:vAlign w:val="center"/>
            <w:hideMark/>
          </w:tcPr>
          <w:p w14:paraId="41D9F4D4" w14:textId="77777777" w:rsidR="007D2DB6" w:rsidRPr="006D18C5" w:rsidRDefault="007D2DB6" w:rsidP="00586CCF">
            <w:pPr>
              <w:spacing w:line="360" w:lineRule="auto"/>
              <w:jc w:val="center"/>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Year-to-date</w:t>
            </w:r>
          </w:p>
        </w:tc>
        <w:tc>
          <w:tcPr>
            <w:tcW w:w="606" w:type="pct"/>
            <w:vMerge w:val="restart"/>
            <w:shd w:val="clear" w:color="auto" w:fill="BFBFBF" w:themeFill="background1" w:themeFillShade="BF"/>
            <w:noWrap/>
            <w:vAlign w:val="center"/>
            <w:hideMark/>
          </w:tcPr>
          <w:p w14:paraId="61923E35" w14:textId="77777777" w:rsidR="007D2DB6" w:rsidRPr="006D18C5" w:rsidRDefault="007D2DB6" w:rsidP="00586CCF">
            <w:pPr>
              <w:spacing w:line="360" w:lineRule="auto"/>
              <w:jc w:val="center"/>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 Budget Available</w:t>
            </w:r>
          </w:p>
        </w:tc>
      </w:tr>
      <w:tr w:rsidR="007D2DB6" w:rsidRPr="00771448" w14:paraId="1012F0D8" w14:textId="77777777" w:rsidTr="00586CCF">
        <w:trPr>
          <w:trHeight w:val="645"/>
        </w:trPr>
        <w:tc>
          <w:tcPr>
            <w:tcW w:w="1604" w:type="pct"/>
            <w:vMerge/>
            <w:shd w:val="clear" w:color="auto" w:fill="auto"/>
            <w:noWrap/>
            <w:vAlign w:val="bottom"/>
            <w:hideMark/>
          </w:tcPr>
          <w:p w14:paraId="605E149A" w14:textId="77777777" w:rsidR="007D2DB6" w:rsidRPr="006D18C5" w:rsidRDefault="007D2DB6" w:rsidP="00586CCF">
            <w:pPr>
              <w:spacing w:line="360" w:lineRule="auto"/>
              <w:jc w:val="left"/>
              <w:rPr>
                <w:rFonts w:ascii="Times New Roman" w:eastAsia="Times New Roman" w:hAnsi="Times New Roman" w:cs="Times New Roman"/>
                <w:color w:val="000000"/>
                <w:szCs w:val="23"/>
                <w:lang w:eastAsia="en-ZA"/>
              </w:rPr>
            </w:pPr>
          </w:p>
        </w:tc>
        <w:tc>
          <w:tcPr>
            <w:tcW w:w="784" w:type="pct"/>
            <w:vMerge/>
            <w:shd w:val="clear" w:color="auto" w:fill="auto"/>
            <w:noWrap/>
            <w:vAlign w:val="bottom"/>
            <w:hideMark/>
          </w:tcPr>
          <w:p w14:paraId="1449354F" w14:textId="77777777" w:rsidR="007D2DB6" w:rsidRPr="006D18C5" w:rsidRDefault="007D2DB6" w:rsidP="00586CCF">
            <w:pPr>
              <w:spacing w:line="360" w:lineRule="auto"/>
              <w:jc w:val="left"/>
              <w:rPr>
                <w:rFonts w:ascii="Times New Roman" w:eastAsia="Times New Roman" w:hAnsi="Times New Roman" w:cs="Times New Roman"/>
                <w:szCs w:val="23"/>
                <w:lang w:eastAsia="en-ZA"/>
              </w:rPr>
            </w:pPr>
          </w:p>
        </w:tc>
        <w:tc>
          <w:tcPr>
            <w:tcW w:w="639" w:type="pct"/>
            <w:shd w:val="clear" w:color="auto" w:fill="BFBFBF" w:themeFill="background1" w:themeFillShade="BF"/>
            <w:noWrap/>
            <w:vAlign w:val="center"/>
            <w:hideMark/>
          </w:tcPr>
          <w:p w14:paraId="578ED79D" w14:textId="77777777" w:rsidR="007D2DB6" w:rsidRPr="006D18C5" w:rsidRDefault="007D2DB6" w:rsidP="00586CCF">
            <w:pPr>
              <w:spacing w:line="360" w:lineRule="auto"/>
              <w:jc w:val="center"/>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Budget (R'000)</w:t>
            </w:r>
          </w:p>
        </w:tc>
        <w:tc>
          <w:tcPr>
            <w:tcW w:w="760" w:type="pct"/>
            <w:shd w:val="clear" w:color="auto" w:fill="BFBFBF" w:themeFill="background1" w:themeFillShade="BF"/>
            <w:noWrap/>
            <w:vAlign w:val="center"/>
            <w:hideMark/>
          </w:tcPr>
          <w:p w14:paraId="1DF2798E" w14:textId="77777777" w:rsidR="007D2DB6" w:rsidRPr="006D18C5" w:rsidRDefault="007D2DB6" w:rsidP="00586CCF">
            <w:pPr>
              <w:spacing w:line="360" w:lineRule="auto"/>
              <w:jc w:val="center"/>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Expenditure (R'000)</w:t>
            </w:r>
          </w:p>
        </w:tc>
        <w:tc>
          <w:tcPr>
            <w:tcW w:w="607" w:type="pct"/>
            <w:shd w:val="clear" w:color="auto" w:fill="BFBFBF" w:themeFill="background1" w:themeFillShade="BF"/>
            <w:noWrap/>
            <w:vAlign w:val="center"/>
            <w:hideMark/>
          </w:tcPr>
          <w:p w14:paraId="7A2DF60D" w14:textId="77777777" w:rsidR="007D2DB6" w:rsidRPr="006D18C5" w:rsidRDefault="007D2DB6" w:rsidP="00586CCF">
            <w:pPr>
              <w:spacing w:line="360" w:lineRule="auto"/>
              <w:jc w:val="center"/>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 Variance</w:t>
            </w:r>
          </w:p>
        </w:tc>
        <w:tc>
          <w:tcPr>
            <w:tcW w:w="606" w:type="pct"/>
            <w:vMerge/>
            <w:shd w:val="clear" w:color="auto" w:fill="auto"/>
            <w:noWrap/>
            <w:vAlign w:val="bottom"/>
            <w:hideMark/>
          </w:tcPr>
          <w:p w14:paraId="50455D23" w14:textId="77777777" w:rsidR="007D2DB6" w:rsidRPr="006D18C5" w:rsidRDefault="007D2DB6" w:rsidP="00586CCF">
            <w:pPr>
              <w:spacing w:line="360" w:lineRule="auto"/>
              <w:jc w:val="left"/>
              <w:rPr>
                <w:rFonts w:ascii="Times New Roman" w:eastAsia="Times New Roman" w:hAnsi="Times New Roman" w:cs="Times New Roman"/>
                <w:szCs w:val="23"/>
                <w:lang w:eastAsia="en-ZA"/>
              </w:rPr>
            </w:pPr>
          </w:p>
        </w:tc>
      </w:tr>
      <w:tr w:rsidR="007D2DB6" w:rsidRPr="00771448" w14:paraId="54954C5E" w14:textId="77777777" w:rsidTr="006D18C5">
        <w:trPr>
          <w:trHeight w:val="403"/>
        </w:trPr>
        <w:tc>
          <w:tcPr>
            <w:tcW w:w="1604" w:type="pct"/>
            <w:shd w:val="clear" w:color="auto" w:fill="auto"/>
            <w:noWrap/>
            <w:vAlign w:val="center"/>
            <w:hideMark/>
          </w:tcPr>
          <w:p w14:paraId="41AE3BE0" w14:textId="77777777" w:rsidR="007D2DB6" w:rsidRPr="006D18C5" w:rsidRDefault="007D2DB6" w:rsidP="00586CCF">
            <w:pPr>
              <w:spacing w:line="360" w:lineRule="auto"/>
              <w:jc w:val="lef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Administration</w:t>
            </w:r>
          </w:p>
        </w:tc>
        <w:tc>
          <w:tcPr>
            <w:tcW w:w="784" w:type="pct"/>
            <w:shd w:val="clear" w:color="auto" w:fill="auto"/>
            <w:vAlign w:val="center"/>
            <w:hideMark/>
          </w:tcPr>
          <w:p w14:paraId="543BDD0F"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731 820</w:t>
            </w:r>
          </w:p>
        </w:tc>
        <w:tc>
          <w:tcPr>
            <w:tcW w:w="639" w:type="pct"/>
            <w:shd w:val="clear" w:color="auto" w:fill="auto"/>
            <w:vAlign w:val="center"/>
            <w:hideMark/>
          </w:tcPr>
          <w:p w14:paraId="179C7CBE"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171 733</w:t>
            </w:r>
          </w:p>
        </w:tc>
        <w:tc>
          <w:tcPr>
            <w:tcW w:w="760" w:type="pct"/>
            <w:shd w:val="clear" w:color="auto" w:fill="auto"/>
            <w:vAlign w:val="center"/>
            <w:hideMark/>
          </w:tcPr>
          <w:p w14:paraId="696A34E7"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180 166</w:t>
            </w:r>
          </w:p>
        </w:tc>
        <w:tc>
          <w:tcPr>
            <w:tcW w:w="607" w:type="pct"/>
            <w:shd w:val="clear" w:color="auto" w:fill="auto"/>
            <w:vAlign w:val="center"/>
            <w:hideMark/>
          </w:tcPr>
          <w:p w14:paraId="2A7C5E62"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4.9</w:t>
            </w:r>
            <w:r w:rsidR="00771448">
              <w:rPr>
                <w:rFonts w:ascii="Times New Roman" w:eastAsia="Times New Roman" w:hAnsi="Times New Roman" w:cs="Times New Roman"/>
                <w:color w:val="000000"/>
                <w:szCs w:val="23"/>
                <w:lang w:eastAsia="en-ZA"/>
              </w:rPr>
              <w:t>%</w:t>
            </w:r>
          </w:p>
        </w:tc>
        <w:tc>
          <w:tcPr>
            <w:tcW w:w="606" w:type="pct"/>
            <w:shd w:val="clear" w:color="auto" w:fill="auto"/>
            <w:noWrap/>
            <w:vAlign w:val="center"/>
            <w:hideMark/>
          </w:tcPr>
          <w:p w14:paraId="003D8EA0"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75.4</w:t>
            </w:r>
            <w:r w:rsidR="00DA3EAD">
              <w:rPr>
                <w:rFonts w:ascii="Times New Roman" w:eastAsia="Times New Roman" w:hAnsi="Times New Roman" w:cs="Times New Roman"/>
                <w:color w:val="000000"/>
                <w:szCs w:val="23"/>
                <w:lang w:eastAsia="en-ZA"/>
              </w:rPr>
              <w:t>%</w:t>
            </w:r>
          </w:p>
        </w:tc>
      </w:tr>
      <w:tr w:rsidR="007D2DB6" w:rsidRPr="00771448" w14:paraId="792923D0" w14:textId="77777777" w:rsidTr="006D18C5">
        <w:trPr>
          <w:trHeight w:val="550"/>
        </w:trPr>
        <w:tc>
          <w:tcPr>
            <w:tcW w:w="1604" w:type="pct"/>
            <w:shd w:val="clear" w:color="auto" w:fill="auto"/>
            <w:noWrap/>
            <w:vAlign w:val="center"/>
            <w:hideMark/>
          </w:tcPr>
          <w:p w14:paraId="7E9F8D7C" w14:textId="77777777" w:rsidR="007D2DB6" w:rsidRPr="006D18C5" w:rsidRDefault="007D2DB6" w:rsidP="00586CCF">
            <w:pPr>
              <w:spacing w:line="360" w:lineRule="auto"/>
              <w:jc w:val="lef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International Trade and Economic Development</w:t>
            </w:r>
          </w:p>
        </w:tc>
        <w:tc>
          <w:tcPr>
            <w:tcW w:w="784" w:type="pct"/>
            <w:shd w:val="clear" w:color="auto" w:fill="auto"/>
            <w:noWrap/>
            <w:vAlign w:val="center"/>
            <w:hideMark/>
          </w:tcPr>
          <w:p w14:paraId="4A03C662"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119 818</w:t>
            </w:r>
          </w:p>
        </w:tc>
        <w:tc>
          <w:tcPr>
            <w:tcW w:w="639" w:type="pct"/>
            <w:shd w:val="clear" w:color="auto" w:fill="auto"/>
            <w:noWrap/>
            <w:vAlign w:val="center"/>
            <w:hideMark/>
          </w:tcPr>
          <w:p w14:paraId="0DDE6CA8"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23 276</w:t>
            </w:r>
          </w:p>
        </w:tc>
        <w:tc>
          <w:tcPr>
            <w:tcW w:w="760" w:type="pct"/>
            <w:shd w:val="clear" w:color="auto" w:fill="auto"/>
            <w:noWrap/>
            <w:vAlign w:val="center"/>
            <w:hideMark/>
          </w:tcPr>
          <w:p w14:paraId="28FB0E59"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24 488</w:t>
            </w:r>
          </w:p>
        </w:tc>
        <w:tc>
          <w:tcPr>
            <w:tcW w:w="607" w:type="pct"/>
            <w:shd w:val="clear" w:color="auto" w:fill="auto"/>
            <w:vAlign w:val="center"/>
            <w:hideMark/>
          </w:tcPr>
          <w:p w14:paraId="42623157"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5.2</w:t>
            </w:r>
            <w:r w:rsidR="00771448">
              <w:rPr>
                <w:rFonts w:ascii="Times New Roman" w:eastAsia="Times New Roman" w:hAnsi="Times New Roman" w:cs="Times New Roman"/>
                <w:color w:val="000000"/>
                <w:szCs w:val="23"/>
                <w:lang w:eastAsia="en-ZA"/>
              </w:rPr>
              <w:t>%</w:t>
            </w:r>
          </w:p>
        </w:tc>
        <w:tc>
          <w:tcPr>
            <w:tcW w:w="606" w:type="pct"/>
            <w:shd w:val="clear" w:color="auto" w:fill="auto"/>
            <w:noWrap/>
            <w:vAlign w:val="center"/>
            <w:hideMark/>
          </w:tcPr>
          <w:p w14:paraId="4C0BBB9C"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79.6</w:t>
            </w:r>
            <w:r w:rsidR="00771448">
              <w:rPr>
                <w:rFonts w:ascii="Times New Roman" w:eastAsia="Times New Roman" w:hAnsi="Times New Roman" w:cs="Times New Roman"/>
                <w:color w:val="000000"/>
                <w:szCs w:val="23"/>
                <w:lang w:eastAsia="en-ZA"/>
              </w:rPr>
              <w:t>%</w:t>
            </w:r>
          </w:p>
        </w:tc>
      </w:tr>
      <w:tr w:rsidR="007D2DB6" w:rsidRPr="00771448" w14:paraId="02C531D0" w14:textId="77777777" w:rsidTr="006D18C5">
        <w:trPr>
          <w:trHeight w:val="497"/>
        </w:trPr>
        <w:tc>
          <w:tcPr>
            <w:tcW w:w="1604" w:type="pct"/>
            <w:shd w:val="clear" w:color="auto" w:fill="auto"/>
            <w:noWrap/>
            <w:vAlign w:val="center"/>
            <w:hideMark/>
          </w:tcPr>
          <w:p w14:paraId="3A4FE217" w14:textId="77777777" w:rsidR="007D2DB6" w:rsidRPr="006D18C5" w:rsidRDefault="007D2DB6" w:rsidP="00586CCF">
            <w:pPr>
              <w:spacing w:line="360" w:lineRule="auto"/>
              <w:jc w:val="lef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Special Economic Zones and Economic Transformation</w:t>
            </w:r>
          </w:p>
        </w:tc>
        <w:tc>
          <w:tcPr>
            <w:tcW w:w="784" w:type="pct"/>
            <w:shd w:val="clear" w:color="auto" w:fill="auto"/>
            <w:noWrap/>
            <w:vAlign w:val="center"/>
            <w:hideMark/>
          </w:tcPr>
          <w:p w14:paraId="25A16C31"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119 410</w:t>
            </w:r>
          </w:p>
        </w:tc>
        <w:tc>
          <w:tcPr>
            <w:tcW w:w="639" w:type="pct"/>
            <w:shd w:val="clear" w:color="auto" w:fill="auto"/>
            <w:noWrap/>
            <w:vAlign w:val="center"/>
            <w:hideMark/>
          </w:tcPr>
          <w:p w14:paraId="3CC0537E"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24 764</w:t>
            </w:r>
          </w:p>
        </w:tc>
        <w:tc>
          <w:tcPr>
            <w:tcW w:w="760" w:type="pct"/>
            <w:shd w:val="clear" w:color="auto" w:fill="auto"/>
            <w:noWrap/>
            <w:vAlign w:val="center"/>
            <w:hideMark/>
          </w:tcPr>
          <w:p w14:paraId="394FCB63"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24 001</w:t>
            </w:r>
          </w:p>
        </w:tc>
        <w:tc>
          <w:tcPr>
            <w:tcW w:w="607" w:type="pct"/>
            <w:shd w:val="clear" w:color="auto" w:fill="auto"/>
            <w:vAlign w:val="center"/>
            <w:hideMark/>
          </w:tcPr>
          <w:p w14:paraId="453A5ACC"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-3.1</w:t>
            </w:r>
            <w:r w:rsidR="00771448">
              <w:rPr>
                <w:rFonts w:ascii="Times New Roman" w:eastAsia="Times New Roman" w:hAnsi="Times New Roman" w:cs="Times New Roman"/>
                <w:color w:val="000000"/>
                <w:szCs w:val="23"/>
                <w:lang w:eastAsia="en-ZA"/>
              </w:rPr>
              <w:t>%</w:t>
            </w:r>
          </w:p>
        </w:tc>
        <w:tc>
          <w:tcPr>
            <w:tcW w:w="606" w:type="pct"/>
            <w:shd w:val="clear" w:color="auto" w:fill="auto"/>
            <w:noWrap/>
            <w:vAlign w:val="center"/>
            <w:hideMark/>
          </w:tcPr>
          <w:p w14:paraId="6ABA2909"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79.9</w:t>
            </w:r>
            <w:r w:rsidR="00771448">
              <w:rPr>
                <w:rFonts w:ascii="Times New Roman" w:eastAsia="Times New Roman" w:hAnsi="Times New Roman" w:cs="Times New Roman"/>
                <w:color w:val="000000"/>
                <w:szCs w:val="23"/>
                <w:lang w:eastAsia="en-ZA"/>
              </w:rPr>
              <w:t>%</w:t>
            </w:r>
          </w:p>
        </w:tc>
      </w:tr>
      <w:tr w:rsidR="007D2DB6" w:rsidRPr="00771448" w14:paraId="63B52C7F" w14:textId="77777777" w:rsidTr="006D18C5">
        <w:trPr>
          <w:trHeight w:val="330"/>
        </w:trPr>
        <w:tc>
          <w:tcPr>
            <w:tcW w:w="1604" w:type="pct"/>
            <w:shd w:val="clear" w:color="auto" w:fill="auto"/>
            <w:noWrap/>
            <w:vAlign w:val="center"/>
            <w:hideMark/>
          </w:tcPr>
          <w:p w14:paraId="6214AF7C" w14:textId="77777777" w:rsidR="007D2DB6" w:rsidRPr="006D18C5" w:rsidRDefault="007D2DB6" w:rsidP="00586CCF">
            <w:pPr>
              <w:spacing w:line="360" w:lineRule="auto"/>
              <w:jc w:val="lef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Industrial Development</w:t>
            </w:r>
          </w:p>
        </w:tc>
        <w:tc>
          <w:tcPr>
            <w:tcW w:w="784" w:type="pct"/>
            <w:shd w:val="clear" w:color="auto" w:fill="auto"/>
            <w:noWrap/>
            <w:vAlign w:val="center"/>
            <w:hideMark/>
          </w:tcPr>
          <w:p w14:paraId="4E9D075C"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1 819 277</w:t>
            </w:r>
          </w:p>
        </w:tc>
        <w:tc>
          <w:tcPr>
            <w:tcW w:w="639" w:type="pct"/>
            <w:shd w:val="clear" w:color="auto" w:fill="auto"/>
            <w:noWrap/>
            <w:vAlign w:val="center"/>
            <w:hideMark/>
          </w:tcPr>
          <w:p w14:paraId="793020B2"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702 059</w:t>
            </w:r>
          </w:p>
        </w:tc>
        <w:tc>
          <w:tcPr>
            <w:tcW w:w="760" w:type="pct"/>
            <w:shd w:val="clear" w:color="auto" w:fill="auto"/>
            <w:noWrap/>
            <w:vAlign w:val="center"/>
            <w:hideMark/>
          </w:tcPr>
          <w:p w14:paraId="4663496B"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701 675</w:t>
            </w:r>
          </w:p>
        </w:tc>
        <w:tc>
          <w:tcPr>
            <w:tcW w:w="607" w:type="pct"/>
            <w:shd w:val="clear" w:color="auto" w:fill="auto"/>
            <w:vAlign w:val="center"/>
            <w:hideMark/>
          </w:tcPr>
          <w:p w14:paraId="6A047858"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-0.1</w:t>
            </w:r>
            <w:r w:rsidR="00771448">
              <w:rPr>
                <w:rFonts w:ascii="Times New Roman" w:eastAsia="Times New Roman" w:hAnsi="Times New Roman" w:cs="Times New Roman"/>
                <w:color w:val="000000"/>
                <w:szCs w:val="23"/>
                <w:lang w:eastAsia="en-ZA"/>
              </w:rPr>
              <w:t>%</w:t>
            </w:r>
          </w:p>
        </w:tc>
        <w:tc>
          <w:tcPr>
            <w:tcW w:w="606" w:type="pct"/>
            <w:shd w:val="clear" w:color="auto" w:fill="auto"/>
            <w:noWrap/>
            <w:vAlign w:val="center"/>
            <w:hideMark/>
          </w:tcPr>
          <w:p w14:paraId="4889A614"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61.4</w:t>
            </w:r>
            <w:r w:rsidR="00771448">
              <w:rPr>
                <w:rFonts w:ascii="Times New Roman" w:eastAsia="Times New Roman" w:hAnsi="Times New Roman" w:cs="Times New Roman"/>
                <w:color w:val="000000"/>
                <w:szCs w:val="23"/>
                <w:lang w:eastAsia="en-ZA"/>
              </w:rPr>
              <w:t>%</w:t>
            </w:r>
          </w:p>
        </w:tc>
      </w:tr>
      <w:tr w:rsidR="007D2DB6" w:rsidRPr="00771448" w14:paraId="6BC65A15" w14:textId="77777777" w:rsidTr="006D18C5">
        <w:trPr>
          <w:trHeight w:val="494"/>
        </w:trPr>
        <w:tc>
          <w:tcPr>
            <w:tcW w:w="1604" w:type="pct"/>
            <w:shd w:val="clear" w:color="auto" w:fill="auto"/>
            <w:vAlign w:val="center"/>
            <w:hideMark/>
          </w:tcPr>
          <w:p w14:paraId="3878FF2B" w14:textId="77777777" w:rsidR="007D2DB6" w:rsidRPr="006D18C5" w:rsidRDefault="007D2DB6" w:rsidP="00586CCF">
            <w:pPr>
              <w:spacing w:line="360" w:lineRule="auto"/>
              <w:jc w:val="lef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Consumer and Corporate Regulation</w:t>
            </w:r>
          </w:p>
        </w:tc>
        <w:tc>
          <w:tcPr>
            <w:tcW w:w="784" w:type="pct"/>
            <w:shd w:val="clear" w:color="auto" w:fill="auto"/>
            <w:noWrap/>
            <w:vAlign w:val="center"/>
            <w:hideMark/>
          </w:tcPr>
          <w:p w14:paraId="14E1F834"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298 629</w:t>
            </w:r>
          </w:p>
        </w:tc>
        <w:tc>
          <w:tcPr>
            <w:tcW w:w="639" w:type="pct"/>
            <w:shd w:val="clear" w:color="auto" w:fill="auto"/>
            <w:noWrap/>
            <w:vAlign w:val="center"/>
            <w:hideMark/>
          </w:tcPr>
          <w:p w14:paraId="3BFBA5BA"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148 988</w:t>
            </w:r>
          </w:p>
        </w:tc>
        <w:tc>
          <w:tcPr>
            <w:tcW w:w="760" w:type="pct"/>
            <w:shd w:val="clear" w:color="auto" w:fill="auto"/>
            <w:noWrap/>
            <w:vAlign w:val="center"/>
            <w:hideMark/>
          </w:tcPr>
          <w:p w14:paraId="4011AB4F"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148 475</w:t>
            </w:r>
          </w:p>
        </w:tc>
        <w:tc>
          <w:tcPr>
            <w:tcW w:w="607" w:type="pct"/>
            <w:shd w:val="clear" w:color="auto" w:fill="auto"/>
            <w:vAlign w:val="center"/>
            <w:hideMark/>
          </w:tcPr>
          <w:p w14:paraId="00E5CE45"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-0.3</w:t>
            </w:r>
            <w:r w:rsidR="00771448">
              <w:rPr>
                <w:rFonts w:ascii="Times New Roman" w:eastAsia="Times New Roman" w:hAnsi="Times New Roman" w:cs="Times New Roman"/>
                <w:color w:val="000000"/>
                <w:szCs w:val="23"/>
                <w:lang w:eastAsia="en-ZA"/>
              </w:rPr>
              <w:t>%</w:t>
            </w:r>
          </w:p>
        </w:tc>
        <w:tc>
          <w:tcPr>
            <w:tcW w:w="606" w:type="pct"/>
            <w:shd w:val="clear" w:color="auto" w:fill="auto"/>
            <w:noWrap/>
            <w:vAlign w:val="center"/>
            <w:hideMark/>
          </w:tcPr>
          <w:p w14:paraId="0B26D502"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50.3</w:t>
            </w:r>
            <w:r w:rsidR="00771448">
              <w:rPr>
                <w:rFonts w:ascii="Times New Roman" w:eastAsia="Times New Roman" w:hAnsi="Times New Roman" w:cs="Times New Roman"/>
                <w:color w:val="000000"/>
                <w:szCs w:val="23"/>
                <w:lang w:eastAsia="en-ZA"/>
              </w:rPr>
              <w:t>%</w:t>
            </w:r>
          </w:p>
        </w:tc>
      </w:tr>
      <w:tr w:rsidR="007D2DB6" w:rsidRPr="00771448" w14:paraId="35EEA31F" w14:textId="77777777" w:rsidTr="006D18C5">
        <w:trPr>
          <w:trHeight w:val="557"/>
        </w:trPr>
        <w:tc>
          <w:tcPr>
            <w:tcW w:w="1604" w:type="pct"/>
            <w:shd w:val="clear" w:color="auto" w:fill="auto"/>
            <w:vAlign w:val="center"/>
            <w:hideMark/>
          </w:tcPr>
          <w:p w14:paraId="337AD15A" w14:textId="77777777" w:rsidR="007D2DB6" w:rsidRPr="006D18C5" w:rsidRDefault="007D2DB6" w:rsidP="00586CCF">
            <w:pPr>
              <w:spacing w:line="360" w:lineRule="auto"/>
              <w:jc w:val="lef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Incentive Development Administration</w:t>
            </w:r>
          </w:p>
        </w:tc>
        <w:tc>
          <w:tcPr>
            <w:tcW w:w="784" w:type="pct"/>
            <w:shd w:val="clear" w:color="auto" w:fill="auto"/>
            <w:noWrap/>
            <w:vAlign w:val="center"/>
            <w:hideMark/>
          </w:tcPr>
          <w:p w14:paraId="09BE335A"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5 746 519</w:t>
            </w:r>
          </w:p>
        </w:tc>
        <w:tc>
          <w:tcPr>
            <w:tcW w:w="639" w:type="pct"/>
            <w:shd w:val="clear" w:color="auto" w:fill="auto"/>
            <w:noWrap/>
            <w:vAlign w:val="center"/>
            <w:hideMark/>
          </w:tcPr>
          <w:p w14:paraId="60C4CC60"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1 367 360</w:t>
            </w:r>
          </w:p>
        </w:tc>
        <w:tc>
          <w:tcPr>
            <w:tcW w:w="760" w:type="pct"/>
            <w:shd w:val="clear" w:color="auto" w:fill="auto"/>
            <w:noWrap/>
            <w:vAlign w:val="center"/>
            <w:hideMark/>
          </w:tcPr>
          <w:p w14:paraId="78E1600E"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558 677</w:t>
            </w:r>
          </w:p>
        </w:tc>
        <w:tc>
          <w:tcPr>
            <w:tcW w:w="607" w:type="pct"/>
            <w:shd w:val="clear" w:color="auto" w:fill="auto"/>
            <w:vAlign w:val="center"/>
            <w:hideMark/>
          </w:tcPr>
          <w:p w14:paraId="792EE97A"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-59.1</w:t>
            </w:r>
            <w:r w:rsidR="00771448">
              <w:rPr>
                <w:rFonts w:ascii="Times New Roman" w:eastAsia="Times New Roman" w:hAnsi="Times New Roman" w:cs="Times New Roman"/>
                <w:color w:val="000000"/>
                <w:szCs w:val="23"/>
                <w:lang w:eastAsia="en-ZA"/>
              </w:rPr>
              <w:t>%</w:t>
            </w:r>
          </w:p>
        </w:tc>
        <w:tc>
          <w:tcPr>
            <w:tcW w:w="606" w:type="pct"/>
            <w:shd w:val="clear" w:color="auto" w:fill="auto"/>
            <w:noWrap/>
            <w:vAlign w:val="center"/>
            <w:hideMark/>
          </w:tcPr>
          <w:p w14:paraId="17BFD8D8"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90.3</w:t>
            </w:r>
            <w:r w:rsidR="00771448">
              <w:rPr>
                <w:rFonts w:ascii="Times New Roman" w:eastAsia="Times New Roman" w:hAnsi="Times New Roman" w:cs="Times New Roman"/>
                <w:color w:val="000000"/>
                <w:szCs w:val="23"/>
                <w:lang w:eastAsia="en-ZA"/>
              </w:rPr>
              <w:t>%</w:t>
            </w:r>
          </w:p>
        </w:tc>
      </w:tr>
      <w:tr w:rsidR="007D2DB6" w:rsidRPr="00771448" w14:paraId="22A6226C" w14:textId="77777777" w:rsidTr="006D18C5">
        <w:trPr>
          <w:trHeight w:val="269"/>
        </w:trPr>
        <w:tc>
          <w:tcPr>
            <w:tcW w:w="1604" w:type="pct"/>
            <w:shd w:val="clear" w:color="auto" w:fill="auto"/>
            <w:vAlign w:val="center"/>
            <w:hideMark/>
          </w:tcPr>
          <w:p w14:paraId="1EF4AF22" w14:textId="77777777" w:rsidR="007D2DB6" w:rsidRPr="006D18C5" w:rsidRDefault="007D2DB6" w:rsidP="00586CCF">
            <w:pPr>
              <w:spacing w:line="360" w:lineRule="auto"/>
              <w:jc w:val="lef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Trade Export South Africa</w:t>
            </w:r>
          </w:p>
        </w:tc>
        <w:tc>
          <w:tcPr>
            <w:tcW w:w="784" w:type="pct"/>
            <w:shd w:val="clear" w:color="auto" w:fill="auto"/>
            <w:noWrap/>
            <w:vAlign w:val="center"/>
            <w:hideMark/>
          </w:tcPr>
          <w:p w14:paraId="2BEF8125"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388 463</w:t>
            </w:r>
          </w:p>
        </w:tc>
        <w:tc>
          <w:tcPr>
            <w:tcW w:w="639" w:type="pct"/>
            <w:shd w:val="clear" w:color="auto" w:fill="auto"/>
            <w:noWrap/>
            <w:vAlign w:val="center"/>
            <w:hideMark/>
          </w:tcPr>
          <w:p w14:paraId="1E3A4175"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89 265</w:t>
            </w:r>
          </w:p>
        </w:tc>
        <w:tc>
          <w:tcPr>
            <w:tcW w:w="760" w:type="pct"/>
            <w:shd w:val="clear" w:color="auto" w:fill="auto"/>
            <w:noWrap/>
            <w:vAlign w:val="center"/>
            <w:hideMark/>
          </w:tcPr>
          <w:p w14:paraId="3BEDF740"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68 909</w:t>
            </w:r>
          </w:p>
        </w:tc>
        <w:tc>
          <w:tcPr>
            <w:tcW w:w="607" w:type="pct"/>
            <w:shd w:val="clear" w:color="auto" w:fill="auto"/>
            <w:vAlign w:val="center"/>
            <w:hideMark/>
          </w:tcPr>
          <w:p w14:paraId="3333329C"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-22.8</w:t>
            </w:r>
            <w:r w:rsidR="00771448">
              <w:rPr>
                <w:rFonts w:ascii="Times New Roman" w:eastAsia="Times New Roman" w:hAnsi="Times New Roman" w:cs="Times New Roman"/>
                <w:color w:val="000000"/>
                <w:szCs w:val="23"/>
                <w:lang w:eastAsia="en-ZA"/>
              </w:rPr>
              <w:t>%</w:t>
            </w:r>
          </w:p>
        </w:tc>
        <w:tc>
          <w:tcPr>
            <w:tcW w:w="606" w:type="pct"/>
            <w:shd w:val="clear" w:color="auto" w:fill="auto"/>
            <w:noWrap/>
            <w:vAlign w:val="center"/>
            <w:hideMark/>
          </w:tcPr>
          <w:p w14:paraId="4E2954C7"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82.3</w:t>
            </w:r>
            <w:r w:rsidR="00771448">
              <w:rPr>
                <w:rFonts w:ascii="Times New Roman" w:eastAsia="Times New Roman" w:hAnsi="Times New Roman" w:cs="Times New Roman"/>
                <w:color w:val="000000"/>
                <w:szCs w:val="23"/>
                <w:lang w:eastAsia="en-ZA"/>
              </w:rPr>
              <w:t>%</w:t>
            </w:r>
          </w:p>
        </w:tc>
      </w:tr>
      <w:tr w:rsidR="007D2DB6" w:rsidRPr="00771448" w14:paraId="58845178" w14:textId="77777777" w:rsidTr="006D18C5">
        <w:trPr>
          <w:trHeight w:val="334"/>
        </w:trPr>
        <w:tc>
          <w:tcPr>
            <w:tcW w:w="1604" w:type="pct"/>
            <w:shd w:val="clear" w:color="auto" w:fill="auto"/>
            <w:vAlign w:val="center"/>
            <w:hideMark/>
          </w:tcPr>
          <w:p w14:paraId="5A8351B0" w14:textId="77777777" w:rsidR="007D2DB6" w:rsidRPr="006D18C5" w:rsidRDefault="007D2DB6" w:rsidP="00586CCF">
            <w:pPr>
              <w:spacing w:line="360" w:lineRule="auto"/>
              <w:jc w:val="lef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Investment South Africa</w:t>
            </w:r>
          </w:p>
        </w:tc>
        <w:tc>
          <w:tcPr>
            <w:tcW w:w="784" w:type="pct"/>
            <w:shd w:val="clear" w:color="auto" w:fill="auto"/>
            <w:noWrap/>
            <w:vAlign w:val="center"/>
            <w:hideMark/>
          </w:tcPr>
          <w:p w14:paraId="7AE1BF93"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50 859</w:t>
            </w:r>
          </w:p>
        </w:tc>
        <w:tc>
          <w:tcPr>
            <w:tcW w:w="639" w:type="pct"/>
            <w:shd w:val="clear" w:color="auto" w:fill="auto"/>
            <w:noWrap/>
            <w:vAlign w:val="center"/>
            <w:hideMark/>
          </w:tcPr>
          <w:p w14:paraId="417F6728"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12 681</w:t>
            </w:r>
          </w:p>
        </w:tc>
        <w:tc>
          <w:tcPr>
            <w:tcW w:w="760" w:type="pct"/>
            <w:shd w:val="clear" w:color="auto" w:fill="auto"/>
            <w:noWrap/>
            <w:vAlign w:val="center"/>
            <w:hideMark/>
          </w:tcPr>
          <w:p w14:paraId="4FA55401" w14:textId="77777777" w:rsidR="007D2DB6" w:rsidRPr="006D18C5" w:rsidRDefault="007D2DB6" w:rsidP="00586CCF">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11 686</w:t>
            </w:r>
          </w:p>
        </w:tc>
        <w:tc>
          <w:tcPr>
            <w:tcW w:w="607" w:type="pct"/>
            <w:shd w:val="clear" w:color="auto" w:fill="auto"/>
            <w:vAlign w:val="center"/>
            <w:hideMark/>
          </w:tcPr>
          <w:p w14:paraId="1494887A"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-7.8</w:t>
            </w:r>
            <w:r w:rsidR="00771448">
              <w:rPr>
                <w:rFonts w:ascii="Times New Roman" w:eastAsia="Times New Roman" w:hAnsi="Times New Roman" w:cs="Times New Roman"/>
                <w:color w:val="000000"/>
                <w:szCs w:val="23"/>
                <w:lang w:eastAsia="en-ZA"/>
              </w:rPr>
              <w:t>%</w:t>
            </w:r>
          </w:p>
        </w:tc>
        <w:tc>
          <w:tcPr>
            <w:tcW w:w="606" w:type="pct"/>
            <w:shd w:val="clear" w:color="auto" w:fill="auto"/>
            <w:noWrap/>
            <w:vAlign w:val="center"/>
            <w:hideMark/>
          </w:tcPr>
          <w:p w14:paraId="21446931" w14:textId="77777777" w:rsidR="007D2DB6" w:rsidRPr="006D18C5" w:rsidRDefault="007D2DB6" w:rsidP="006D18C5">
            <w:pPr>
              <w:spacing w:line="360" w:lineRule="auto"/>
              <w:jc w:val="right"/>
              <w:rPr>
                <w:rFonts w:ascii="Times New Roman" w:eastAsia="Times New Roman" w:hAnsi="Times New Roman" w:cs="Times New Roman"/>
                <w:color w:val="000000"/>
                <w:szCs w:val="23"/>
                <w:lang w:eastAsia="en-ZA"/>
              </w:rPr>
            </w:pPr>
            <w:r w:rsidRPr="006D18C5">
              <w:rPr>
                <w:rFonts w:ascii="Times New Roman" w:eastAsia="Times New Roman" w:hAnsi="Times New Roman" w:cs="Times New Roman"/>
                <w:color w:val="000000"/>
                <w:szCs w:val="23"/>
                <w:lang w:eastAsia="en-ZA"/>
              </w:rPr>
              <w:t>77.0</w:t>
            </w:r>
            <w:r w:rsidR="00771448">
              <w:rPr>
                <w:rFonts w:ascii="Times New Roman" w:eastAsia="Times New Roman" w:hAnsi="Times New Roman" w:cs="Times New Roman"/>
                <w:color w:val="000000"/>
                <w:szCs w:val="23"/>
                <w:lang w:eastAsia="en-ZA"/>
              </w:rPr>
              <w:t>%</w:t>
            </w:r>
          </w:p>
        </w:tc>
      </w:tr>
      <w:tr w:rsidR="007D2DB6" w:rsidRPr="00771448" w14:paraId="4E4E492A" w14:textId="77777777" w:rsidTr="006D18C5">
        <w:trPr>
          <w:trHeight w:val="267"/>
        </w:trPr>
        <w:tc>
          <w:tcPr>
            <w:tcW w:w="1604" w:type="pct"/>
            <w:shd w:val="clear" w:color="auto" w:fill="auto"/>
            <w:vAlign w:val="center"/>
            <w:hideMark/>
          </w:tcPr>
          <w:p w14:paraId="67364C2C" w14:textId="77777777" w:rsidR="007D2DB6" w:rsidRPr="006D18C5" w:rsidRDefault="007D2DB6" w:rsidP="00586CCF">
            <w:pPr>
              <w:spacing w:line="360" w:lineRule="auto"/>
              <w:jc w:val="left"/>
              <w:rPr>
                <w:rFonts w:ascii="Times New Roman" w:eastAsia="Times New Roman" w:hAnsi="Times New Roman" w:cs="Times New Roman"/>
                <w:b/>
                <w:bCs/>
                <w:color w:val="000000"/>
                <w:szCs w:val="23"/>
                <w:lang w:eastAsia="en-ZA"/>
              </w:rPr>
            </w:pPr>
            <w:r w:rsidRPr="006D18C5">
              <w:rPr>
                <w:rFonts w:ascii="Times New Roman" w:eastAsia="Times New Roman" w:hAnsi="Times New Roman" w:cs="Times New Roman"/>
                <w:b/>
                <w:bCs/>
                <w:color w:val="000000"/>
                <w:szCs w:val="23"/>
                <w:lang w:eastAsia="en-ZA"/>
              </w:rPr>
              <w:t>TOTAL</w:t>
            </w:r>
          </w:p>
        </w:tc>
        <w:tc>
          <w:tcPr>
            <w:tcW w:w="784" w:type="pct"/>
            <w:shd w:val="clear" w:color="auto" w:fill="auto"/>
            <w:noWrap/>
            <w:vAlign w:val="center"/>
            <w:hideMark/>
          </w:tcPr>
          <w:p w14:paraId="29151D2F" w14:textId="77777777" w:rsidR="007D2DB6" w:rsidRPr="006D18C5" w:rsidRDefault="007D2DB6" w:rsidP="00586CCF">
            <w:pPr>
              <w:spacing w:line="360" w:lineRule="auto"/>
              <w:jc w:val="right"/>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9 274 795</w:t>
            </w:r>
          </w:p>
        </w:tc>
        <w:tc>
          <w:tcPr>
            <w:tcW w:w="639" w:type="pct"/>
            <w:shd w:val="clear" w:color="auto" w:fill="auto"/>
            <w:noWrap/>
            <w:vAlign w:val="center"/>
            <w:hideMark/>
          </w:tcPr>
          <w:p w14:paraId="2A0D6ED0" w14:textId="77777777" w:rsidR="007D2DB6" w:rsidRPr="006D18C5" w:rsidRDefault="007D2DB6" w:rsidP="00586CCF">
            <w:pPr>
              <w:spacing w:line="360" w:lineRule="auto"/>
              <w:jc w:val="right"/>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2 540 126</w:t>
            </w:r>
          </w:p>
        </w:tc>
        <w:tc>
          <w:tcPr>
            <w:tcW w:w="760" w:type="pct"/>
            <w:shd w:val="clear" w:color="auto" w:fill="auto"/>
            <w:noWrap/>
            <w:vAlign w:val="center"/>
            <w:hideMark/>
          </w:tcPr>
          <w:p w14:paraId="6060FA20" w14:textId="77777777" w:rsidR="007D2DB6" w:rsidRPr="006D18C5" w:rsidRDefault="007D2DB6" w:rsidP="00586CCF">
            <w:pPr>
              <w:spacing w:line="360" w:lineRule="auto"/>
              <w:jc w:val="right"/>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1 718 077</w:t>
            </w:r>
          </w:p>
        </w:tc>
        <w:tc>
          <w:tcPr>
            <w:tcW w:w="607" w:type="pct"/>
            <w:shd w:val="clear" w:color="auto" w:fill="auto"/>
            <w:vAlign w:val="center"/>
            <w:hideMark/>
          </w:tcPr>
          <w:p w14:paraId="0368924B" w14:textId="77777777" w:rsidR="007D2DB6" w:rsidRPr="006D18C5" w:rsidRDefault="007D2DB6" w:rsidP="006D18C5">
            <w:pPr>
              <w:spacing w:line="360" w:lineRule="auto"/>
              <w:jc w:val="right"/>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-32.4</w:t>
            </w:r>
            <w:r w:rsidR="00771448">
              <w:rPr>
                <w:rFonts w:ascii="Times New Roman" w:eastAsia="Times New Roman" w:hAnsi="Times New Roman" w:cs="Times New Roman"/>
                <w:b/>
                <w:color w:val="000000"/>
                <w:szCs w:val="23"/>
                <w:lang w:eastAsia="en-ZA"/>
              </w:rPr>
              <w:t>%</w:t>
            </w:r>
          </w:p>
        </w:tc>
        <w:tc>
          <w:tcPr>
            <w:tcW w:w="606" w:type="pct"/>
            <w:shd w:val="clear" w:color="auto" w:fill="auto"/>
            <w:noWrap/>
            <w:vAlign w:val="center"/>
            <w:hideMark/>
          </w:tcPr>
          <w:p w14:paraId="5DC0F39A" w14:textId="77777777" w:rsidR="007D2DB6" w:rsidRPr="006D18C5" w:rsidRDefault="007D2DB6" w:rsidP="006D18C5">
            <w:pPr>
              <w:spacing w:line="360" w:lineRule="auto"/>
              <w:jc w:val="right"/>
              <w:rPr>
                <w:rFonts w:ascii="Times New Roman" w:eastAsia="Times New Roman" w:hAnsi="Times New Roman" w:cs="Times New Roman"/>
                <w:b/>
                <w:color w:val="000000"/>
                <w:szCs w:val="23"/>
                <w:lang w:eastAsia="en-ZA"/>
              </w:rPr>
            </w:pPr>
            <w:r w:rsidRPr="006D18C5">
              <w:rPr>
                <w:rFonts w:ascii="Times New Roman" w:eastAsia="Times New Roman" w:hAnsi="Times New Roman" w:cs="Times New Roman"/>
                <w:b/>
                <w:color w:val="000000"/>
                <w:szCs w:val="23"/>
                <w:lang w:eastAsia="en-ZA"/>
              </w:rPr>
              <w:t>81.5</w:t>
            </w:r>
            <w:r w:rsidR="00771448">
              <w:rPr>
                <w:rFonts w:ascii="Times New Roman" w:eastAsia="Times New Roman" w:hAnsi="Times New Roman" w:cs="Times New Roman"/>
                <w:b/>
                <w:color w:val="000000"/>
                <w:szCs w:val="23"/>
                <w:lang w:eastAsia="en-ZA"/>
              </w:rPr>
              <w:t>%</w:t>
            </w:r>
          </w:p>
        </w:tc>
      </w:tr>
    </w:tbl>
    <w:p w14:paraId="2C59B184" w14:textId="77777777" w:rsidR="007D2DB6" w:rsidRPr="00586CCF" w:rsidRDefault="007D2DB6" w:rsidP="00586CC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Source: Department of Trade and Industry (2017b)</w:t>
      </w:r>
    </w:p>
    <w:p w14:paraId="07FBE5F4" w14:textId="77777777" w:rsidR="009E4457" w:rsidRPr="00586CCF" w:rsidRDefault="009E4457" w:rsidP="00586CCF">
      <w:pPr>
        <w:spacing w:line="360" w:lineRule="auto"/>
        <w:rPr>
          <w:rFonts w:ascii="Times New Roman" w:eastAsia="Calibri" w:hAnsi="Times New Roman" w:cs="Times New Roman"/>
          <w:sz w:val="24"/>
          <w:szCs w:val="24"/>
        </w:rPr>
      </w:pPr>
    </w:p>
    <w:p w14:paraId="65B182AD" w14:textId="77777777" w:rsidR="002B7DDC" w:rsidRPr="00432CE0" w:rsidRDefault="002B7DDC" w:rsidP="009D5D24">
      <w:pPr>
        <w:pStyle w:val="Heading2"/>
        <w:numPr>
          <w:ilvl w:val="1"/>
          <w:numId w:val="22"/>
        </w:numPr>
        <w:spacing w:before="0" w:line="360" w:lineRule="auto"/>
        <w:rPr>
          <w:rFonts w:ascii="Times New Roman" w:hAnsi="Times New Roman" w:cs="Times New Roman"/>
          <w:color w:val="auto"/>
          <w:sz w:val="24"/>
          <w:szCs w:val="24"/>
        </w:rPr>
      </w:pPr>
      <w:r w:rsidRPr="00432CE0">
        <w:rPr>
          <w:rFonts w:ascii="Times New Roman" w:hAnsi="Times New Roman" w:cs="Times New Roman"/>
          <w:color w:val="auto"/>
          <w:sz w:val="24"/>
          <w:szCs w:val="24"/>
        </w:rPr>
        <w:t>Issues raised during the deliberations</w:t>
      </w:r>
      <w:bookmarkEnd w:id="11"/>
      <w:r w:rsidRPr="00432CE0">
        <w:rPr>
          <w:rFonts w:ascii="Times New Roman" w:hAnsi="Times New Roman" w:cs="Times New Roman"/>
          <w:color w:val="auto"/>
          <w:sz w:val="24"/>
          <w:szCs w:val="24"/>
        </w:rPr>
        <w:t xml:space="preserve"> </w:t>
      </w:r>
    </w:p>
    <w:p w14:paraId="65EF1A29" w14:textId="77777777" w:rsidR="00055A65" w:rsidRPr="00586CCF" w:rsidRDefault="00055A65" w:rsidP="00586CCF">
      <w:pPr>
        <w:spacing w:line="360" w:lineRule="auto"/>
        <w:rPr>
          <w:rFonts w:ascii="Times New Roman" w:hAnsi="Times New Roman" w:cs="Times New Roman"/>
          <w:b/>
          <w:sz w:val="24"/>
          <w:szCs w:val="24"/>
        </w:rPr>
      </w:pPr>
    </w:p>
    <w:p w14:paraId="20CB85A4" w14:textId="77777777" w:rsidR="00646826" w:rsidRPr="00586CCF" w:rsidRDefault="00646826"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following concerns were raised related to the performance of the </w:t>
      </w:r>
      <w:r w:rsidR="00F15A9E" w:rsidRPr="00586CCF">
        <w:rPr>
          <w:rFonts w:ascii="Times New Roman" w:hAnsi="Times New Roman" w:cs="Times New Roman"/>
          <w:sz w:val="24"/>
          <w:szCs w:val="24"/>
        </w:rPr>
        <w:t xml:space="preserve">DTI </w:t>
      </w:r>
      <w:r w:rsidRPr="00586CCF">
        <w:rPr>
          <w:rFonts w:ascii="Times New Roman" w:hAnsi="Times New Roman" w:cs="Times New Roman"/>
          <w:sz w:val="24"/>
          <w:szCs w:val="24"/>
        </w:rPr>
        <w:t xml:space="preserve">during the </w:t>
      </w:r>
      <w:r w:rsidR="00F15A9E" w:rsidRPr="00586CCF">
        <w:rPr>
          <w:rFonts w:ascii="Times New Roman" w:hAnsi="Times New Roman" w:cs="Times New Roman"/>
          <w:sz w:val="24"/>
          <w:szCs w:val="24"/>
        </w:rPr>
        <w:t>C</w:t>
      </w:r>
      <w:r w:rsidRPr="00586CCF">
        <w:rPr>
          <w:rFonts w:ascii="Times New Roman" w:hAnsi="Times New Roman" w:cs="Times New Roman"/>
          <w:sz w:val="24"/>
          <w:szCs w:val="24"/>
        </w:rPr>
        <w:t>ommittee’s deliberations:</w:t>
      </w:r>
    </w:p>
    <w:p w14:paraId="3AD2A9E3" w14:textId="77777777" w:rsidR="008F45B7" w:rsidRPr="00586CCF" w:rsidRDefault="008F45B7" w:rsidP="00586CCF">
      <w:pPr>
        <w:spacing w:line="360" w:lineRule="auto"/>
        <w:rPr>
          <w:rFonts w:ascii="Times New Roman" w:hAnsi="Times New Roman" w:cs="Times New Roman"/>
          <w:sz w:val="24"/>
          <w:szCs w:val="24"/>
        </w:rPr>
      </w:pPr>
    </w:p>
    <w:p w14:paraId="3ECC43FB" w14:textId="77777777" w:rsidR="00167F9D" w:rsidRPr="000C1D84" w:rsidRDefault="008F45B7"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Failure of State Owned Entities (SOEs) to support localisation and local public procurement:</w:t>
      </w:r>
      <w:r w:rsidRPr="000C1D84">
        <w:rPr>
          <w:rFonts w:ascii="Times New Roman" w:hAnsi="Times New Roman" w:cs="Times New Roman"/>
          <w:sz w:val="24"/>
          <w:szCs w:val="24"/>
        </w:rPr>
        <w:t xml:space="preserve"> </w:t>
      </w:r>
      <w:r w:rsidR="006D18C5" w:rsidRPr="000C1D84">
        <w:rPr>
          <w:rFonts w:ascii="Times New Roman" w:hAnsi="Times New Roman" w:cs="Times New Roman"/>
          <w:sz w:val="24"/>
          <w:szCs w:val="24"/>
        </w:rPr>
        <w:t xml:space="preserve">The Committee raised a number of concerns with respect to the failure of SOEs </w:t>
      </w:r>
      <w:r w:rsidR="00DA22BC" w:rsidRPr="000C1D84">
        <w:rPr>
          <w:rFonts w:ascii="Times New Roman" w:hAnsi="Times New Roman" w:cs="Times New Roman"/>
          <w:sz w:val="24"/>
          <w:szCs w:val="24"/>
        </w:rPr>
        <w:t xml:space="preserve">to </w:t>
      </w:r>
      <w:r w:rsidR="006D18C5" w:rsidRPr="000C1D84">
        <w:rPr>
          <w:rFonts w:ascii="Times New Roman" w:hAnsi="Times New Roman" w:cs="Times New Roman"/>
          <w:sz w:val="24"/>
          <w:szCs w:val="24"/>
        </w:rPr>
        <w:t xml:space="preserve">support localisation and local public procurement in South Africa. Also, a view was expressed that the Minister </w:t>
      </w:r>
      <w:r w:rsidR="00DA22BC" w:rsidRPr="000C1D84">
        <w:rPr>
          <w:rFonts w:ascii="Times New Roman" w:hAnsi="Times New Roman" w:cs="Times New Roman"/>
          <w:sz w:val="24"/>
          <w:szCs w:val="24"/>
        </w:rPr>
        <w:t xml:space="preserve">had been </w:t>
      </w:r>
      <w:r w:rsidR="006D18C5" w:rsidRPr="000C1D84">
        <w:rPr>
          <w:rFonts w:ascii="Times New Roman" w:hAnsi="Times New Roman" w:cs="Times New Roman"/>
          <w:sz w:val="24"/>
          <w:szCs w:val="24"/>
        </w:rPr>
        <w:t>paint</w:t>
      </w:r>
      <w:r w:rsidR="00DA22BC" w:rsidRPr="000C1D84">
        <w:rPr>
          <w:rFonts w:ascii="Times New Roman" w:hAnsi="Times New Roman" w:cs="Times New Roman"/>
          <w:sz w:val="24"/>
          <w:szCs w:val="24"/>
        </w:rPr>
        <w:t>ing</w:t>
      </w:r>
      <w:r w:rsidR="006D18C5" w:rsidRPr="000C1D84">
        <w:rPr>
          <w:rFonts w:ascii="Times New Roman" w:hAnsi="Times New Roman" w:cs="Times New Roman"/>
          <w:sz w:val="24"/>
          <w:szCs w:val="24"/>
        </w:rPr>
        <w:t xml:space="preserve"> an alternative economic reality tha</w:t>
      </w:r>
      <w:r w:rsidR="00DA22BC" w:rsidRPr="000C1D84">
        <w:rPr>
          <w:rFonts w:ascii="Times New Roman" w:hAnsi="Times New Roman" w:cs="Times New Roman"/>
          <w:sz w:val="24"/>
          <w:szCs w:val="24"/>
        </w:rPr>
        <w:t>n</w:t>
      </w:r>
      <w:r w:rsidR="006D18C5" w:rsidRPr="000C1D84">
        <w:rPr>
          <w:rFonts w:ascii="Times New Roman" w:hAnsi="Times New Roman" w:cs="Times New Roman"/>
          <w:sz w:val="24"/>
          <w:szCs w:val="24"/>
        </w:rPr>
        <w:t xml:space="preserve"> what currently exists. The Committee enquired whether the Minister </w:t>
      </w:r>
      <w:r w:rsidR="00DA22BC" w:rsidRPr="000C1D84">
        <w:rPr>
          <w:rFonts w:ascii="Times New Roman" w:hAnsi="Times New Roman" w:cs="Times New Roman"/>
          <w:sz w:val="24"/>
          <w:szCs w:val="24"/>
        </w:rPr>
        <w:t>was</w:t>
      </w:r>
      <w:r w:rsidR="006D18C5" w:rsidRPr="000C1D84">
        <w:rPr>
          <w:rFonts w:ascii="Times New Roman" w:hAnsi="Times New Roman" w:cs="Times New Roman"/>
          <w:sz w:val="24"/>
          <w:szCs w:val="24"/>
        </w:rPr>
        <w:t xml:space="preserve"> considering any measures that would compel government and SOEs to support the local public procurement process and localisation. The Minister informed the Committee that in no way was he trying to paint an alternative picture in relation to the current economic realities facing South Africa. He acknowledged that there were challenges with respect to local public procurement and localisation and that </w:t>
      </w:r>
      <w:r w:rsidR="00DA22BC" w:rsidRPr="000C1D84">
        <w:rPr>
          <w:rFonts w:ascii="Times New Roman" w:hAnsi="Times New Roman" w:cs="Times New Roman"/>
          <w:sz w:val="24"/>
          <w:szCs w:val="24"/>
        </w:rPr>
        <w:t>this</w:t>
      </w:r>
      <w:r w:rsidR="006D18C5" w:rsidRPr="000C1D84">
        <w:rPr>
          <w:rFonts w:ascii="Times New Roman" w:hAnsi="Times New Roman" w:cs="Times New Roman"/>
          <w:sz w:val="24"/>
          <w:szCs w:val="24"/>
        </w:rPr>
        <w:t xml:space="preserve"> need</w:t>
      </w:r>
      <w:r w:rsidR="00DA22BC" w:rsidRPr="000C1D84">
        <w:rPr>
          <w:rFonts w:ascii="Times New Roman" w:hAnsi="Times New Roman" w:cs="Times New Roman"/>
          <w:sz w:val="24"/>
          <w:szCs w:val="24"/>
        </w:rPr>
        <w:t>ed</w:t>
      </w:r>
      <w:r w:rsidR="006D18C5" w:rsidRPr="000C1D84">
        <w:rPr>
          <w:rFonts w:ascii="Times New Roman" w:hAnsi="Times New Roman" w:cs="Times New Roman"/>
          <w:sz w:val="24"/>
          <w:szCs w:val="24"/>
        </w:rPr>
        <w:t xml:space="preserve"> to be contextualised. He informed the Committee that different procurement regulations exist that governs SOEs such as Transnet and Eskom, which is the Competitive Supplier Development Programme (CSDP). The aim of CSDP is to increase the competitiveness, capacity and capability of the South African supply base where there are comparative advantages and potential competitive advantages of local supply. This can be achieved through skills transfer, increasing the local content of items procured as well as building new capability in the local supplier base. These entities were required to develop their own localisation programme and d</w:t>
      </w:r>
      <w:r w:rsidR="00DA22BC" w:rsidRPr="000C1D84">
        <w:rPr>
          <w:rFonts w:ascii="Times New Roman" w:hAnsi="Times New Roman" w:cs="Times New Roman"/>
          <w:sz w:val="24"/>
          <w:szCs w:val="24"/>
        </w:rPr>
        <w:t>id</w:t>
      </w:r>
      <w:r w:rsidR="006D18C5" w:rsidRPr="000C1D84">
        <w:rPr>
          <w:rFonts w:ascii="Times New Roman" w:hAnsi="Times New Roman" w:cs="Times New Roman"/>
          <w:sz w:val="24"/>
          <w:szCs w:val="24"/>
        </w:rPr>
        <w:t xml:space="preserve"> not fall under the DTI. The Minister informed the Committee that on numerous occasions he</w:t>
      </w:r>
      <w:r w:rsidR="00DA22BC" w:rsidRPr="000C1D84">
        <w:rPr>
          <w:rFonts w:ascii="Times New Roman" w:hAnsi="Times New Roman" w:cs="Times New Roman"/>
          <w:sz w:val="24"/>
          <w:szCs w:val="24"/>
        </w:rPr>
        <w:t xml:space="preserve"> had</w:t>
      </w:r>
      <w:r w:rsidR="006D18C5" w:rsidRPr="000C1D84">
        <w:rPr>
          <w:rFonts w:ascii="Times New Roman" w:hAnsi="Times New Roman" w:cs="Times New Roman"/>
          <w:sz w:val="24"/>
          <w:szCs w:val="24"/>
        </w:rPr>
        <w:t xml:space="preserve"> raised his concerns around the non-compliance of SOEs</w:t>
      </w:r>
      <w:r w:rsidR="00DA22BC" w:rsidRPr="000C1D84">
        <w:rPr>
          <w:rFonts w:ascii="Times New Roman" w:hAnsi="Times New Roman" w:cs="Times New Roman"/>
          <w:sz w:val="24"/>
          <w:szCs w:val="24"/>
        </w:rPr>
        <w:t>,</w:t>
      </w:r>
      <w:r w:rsidR="006D18C5" w:rsidRPr="000C1D84">
        <w:rPr>
          <w:rFonts w:ascii="Times New Roman" w:hAnsi="Times New Roman" w:cs="Times New Roman"/>
          <w:sz w:val="24"/>
          <w:szCs w:val="24"/>
        </w:rPr>
        <w:t xml:space="preserve"> as </w:t>
      </w:r>
      <w:r w:rsidR="00DA22BC" w:rsidRPr="000C1D84">
        <w:rPr>
          <w:rFonts w:ascii="Times New Roman" w:hAnsi="Times New Roman" w:cs="Times New Roman"/>
          <w:sz w:val="24"/>
          <w:szCs w:val="24"/>
        </w:rPr>
        <w:t xml:space="preserve">this </w:t>
      </w:r>
      <w:r w:rsidR="006D18C5" w:rsidRPr="000C1D84">
        <w:rPr>
          <w:rFonts w:ascii="Times New Roman" w:hAnsi="Times New Roman" w:cs="Times New Roman"/>
          <w:sz w:val="24"/>
          <w:szCs w:val="24"/>
        </w:rPr>
        <w:t>undermine</w:t>
      </w:r>
      <w:r w:rsidR="00DA22BC" w:rsidRPr="000C1D84">
        <w:rPr>
          <w:rFonts w:ascii="Times New Roman" w:hAnsi="Times New Roman" w:cs="Times New Roman"/>
          <w:sz w:val="24"/>
          <w:szCs w:val="24"/>
        </w:rPr>
        <w:t>d</w:t>
      </w:r>
      <w:r w:rsidR="006D18C5" w:rsidRPr="000C1D84">
        <w:rPr>
          <w:rFonts w:ascii="Times New Roman" w:hAnsi="Times New Roman" w:cs="Times New Roman"/>
          <w:sz w:val="24"/>
          <w:szCs w:val="24"/>
        </w:rPr>
        <w:t xml:space="preserve"> the </w:t>
      </w:r>
      <w:r w:rsidR="00DA22BC" w:rsidRPr="000C1D84">
        <w:rPr>
          <w:rFonts w:ascii="Times New Roman" w:hAnsi="Times New Roman" w:cs="Times New Roman"/>
          <w:sz w:val="24"/>
          <w:szCs w:val="24"/>
        </w:rPr>
        <w:t xml:space="preserve">local public procurement and localisation </w:t>
      </w:r>
      <w:r w:rsidR="006D18C5" w:rsidRPr="000C1D84">
        <w:rPr>
          <w:rFonts w:ascii="Times New Roman" w:hAnsi="Times New Roman" w:cs="Times New Roman"/>
          <w:sz w:val="24"/>
          <w:szCs w:val="24"/>
        </w:rPr>
        <w:t>objectives . He welcomed and encouraged the approach of the South African Clothing and Textile Workers Union that identif</w:t>
      </w:r>
      <w:r w:rsidR="00DA22BC" w:rsidRPr="000C1D84">
        <w:rPr>
          <w:rFonts w:ascii="Times New Roman" w:hAnsi="Times New Roman" w:cs="Times New Roman"/>
          <w:sz w:val="24"/>
          <w:szCs w:val="24"/>
        </w:rPr>
        <w:t>ies</w:t>
      </w:r>
      <w:r w:rsidR="006D18C5" w:rsidRPr="000C1D84">
        <w:rPr>
          <w:rFonts w:ascii="Times New Roman" w:hAnsi="Times New Roman" w:cs="Times New Roman"/>
          <w:sz w:val="24"/>
          <w:szCs w:val="24"/>
        </w:rPr>
        <w:t xml:space="preserve"> companies that do not procure </w:t>
      </w:r>
      <w:r w:rsidR="00DA22BC" w:rsidRPr="000C1D84">
        <w:rPr>
          <w:rFonts w:ascii="Times New Roman" w:hAnsi="Times New Roman" w:cs="Times New Roman"/>
          <w:sz w:val="24"/>
          <w:szCs w:val="24"/>
        </w:rPr>
        <w:t>local and engages with them</w:t>
      </w:r>
      <w:r w:rsidR="006D18C5" w:rsidRPr="000C1D84">
        <w:rPr>
          <w:rFonts w:ascii="Times New Roman" w:hAnsi="Times New Roman" w:cs="Times New Roman"/>
          <w:sz w:val="24"/>
          <w:szCs w:val="24"/>
        </w:rPr>
        <w:t>. He also raised the concerns that some tenders were granted in the name of Black Economic Empowerment with these companies importing most of their products</w:t>
      </w:r>
      <w:r w:rsidR="00DA22BC" w:rsidRPr="000C1D84">
        <w:rPr>
          <w:rFonts w:ascii="Times New Roman" w:hAnsi="Times New Roman" w:cs="Times New Roman"/>
          <w:sz w:val="24"/>
          <w:szCs w:val="24"/>
        </w:rPr>
        <w:t xml:space="preserve"> rather than producing them locally</w:t>
      </w:r>
      <w:r w:rsidR="006D18C5" w:rsidRPr="000C1D84">
        <w:rPr>
          <w:rFonts w:ascii="Times New Roman" w:hAnsi="Times New Roman" w:cs="Times New Roman"/>
          <w:sz w:val="24"/>
          <w:szCs w:val="24"/>
        </w:rPr>
        <w:t xml:space="preserve">. He </w:t>
      </w:r>
      <w:r w:rsidR="00DA22BC" w:rsidRPr="000C1D84">
        <w:rPr>
          <w:rFonts w:ascii="Times New Roman" w:hAnsi="Times New Roman" w:cs="Times New Roman"/>
          <w:sz w:val="24"/>
          <w:szCs w:val="24"/>
        </w:rPr>
        <w:t xml:space="preserve">reemphasised </w:t>
      </w:r>
      <w:r w:rsidR="006D18C5" w:rsidRPr="000C1D84">
        <w:rPr>
          <w:rFonts w:ascii="Times New Roman" w:hAnsi="Times New Roman" w:cs="Times New Roman"/>
          <w:sz w:val="24"/>
          <w:szCs w:val="24"/>
        </w:rPr>
        <w:t xml:space="preserve">that localisation and empowerment are necessary for economic development and job creation. </w:t>
      </w:r>
    </w:p>
    <w:p w14:paraId="3D58B7D8" w14:textId="77777777" w:rsidR="00167F9D" w:rsidRPr="000C1D84" w:rsidRDefault="00167F9D" w:rsidP="000C1D84">
      <w:pPr>
        <w:pStyle w:val="ListParagraph"/>
        <w:spacing w:line="360" w:lineRule="auto"/>
        <w:rPr>
          <w:rFonts w:ascii="Times New Roman" w:hAnsi="Times New Roman" w:cs="Times New Roman"/>
          <w:sz w:val="24"/>
          <w:szCs w:val="24"/>
        </w:rPr>
      </w:pPr>
    </w:p>
    <w:p w14:paraId="0F91B423" w14:textId="77777777" w:rsidR="00167F9D" w:rsidRPr="000C1D84" w:rsidRDefault="00414A29"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Effective implementation of and adherence to local public procurement policy:</w:t>
      </w:r>
      <w:r w:rsidRPr="000C1D84">
        <w:rPr>
          <w:rFonts w:ascii="Times New Roman" w:hAnsi="Times New Roman" w:cs="Times New Roman"/>
          <w:sz w:val="24"/>
          <w:szCs w:val="24"/>
        </w:rPr>
        <w:t xml:space="preserve"> The Committee enquired whether the DTI would consider developing a mechanism to monitor localisation. The Minister informed the Committee that when National Treasury issue</w:t>
      </w:r>
      <w:r w:rsidR="00787AF2" w:rsidRPr="000C1D84">
        <w:rPr>
          <w:rFonts w:ascii="Times New Roman" w:hAnsi="Times New Roman" w:cs="Times New Roman"/>
          <w:sz w:val="24"/>
          <w:szCs w:val="24"/>
        </w:rPr>
        <w:t>s</w:t>
      </w:r>
      <w:r w:rsidRPr="000C1D84">
        <w:rPr>
          <w:rFonts w:ascii="Times New Roman" w:hAnsi="Times New Roman" w:cs="Times New Roman"/>
          <w:sz w:val="24"/>
          <w:szCs w:val="24"/>
        </w:rPr>
        <w:t xml:space="preserve"> an instruction note, non-compliance is in direct contravention of applicable legislation. It is therefore important that </w:t>
      </w:r>
      <w:r w:rsidR="00787AF2" w:rsidRPr="000C1D84">
        <w:rPr>
          <w:rFonts w:ascii="Times New Roman" w:hAnsi="Times New Roman" w:cs="Times New Roman"/>
          <w:sz w:val="24"/>
          <w:szCs w:val="24"/>
        </w:rPr>
        <w:t xml:space="preserve">the </w:t>
      </w:r>
      <w:r w:rsidRPr="000C1D84">
        <w:rPr>
          <w:rFonts w:ascii="Times New Roman" w:hAnsi="Times New Roman" w:cs="Times New Roman"/>
          <w:sz w:val="24"/>
          <w:szCs w:val="24"/>
        </w:rPr>
        <w:t>DTI improve</w:t>
      </w:r>
      <w:r w:rsidR="00965683" w:rsidRPr="000C1D84">
        <w:rPr>
          <w:rFonts w:ascii="Times New Roman" w:hAnsi="Times New Roman" w:cs="Times New Roman"/>
          <w:sz w:val="24"/>
          <w:szCs w:val="24"/>
        </w:rPr>
        <w:t>s</w:t>
      </w:r>
      <w:r w:rsidRPr="000C1D84">
        <w:rPr>
          <w:rFonts w:ascii="Times New Roman" w:hAnsi="Times New Roman" w:cs="Times New Roman"/>
          <w:sz w:val="24"/>
          <w:szCs w:val="24"/>
        </w:rPr>
        <w:t xml:space="preserve"> its monitoring capacity that would contribute in ensuring compliance with local content requirements, but</w:t>
      </w:r>
      <w:r w:rsidR="00965683" w:rsidRPr="000C1D84">
        <w:rPr>
          <w:rFonts w:ascii="Times New Roman" w:hAnsi="Times New Roman" w:cs="Times New Roman"/>
          <w:sz w:val="24"/>
          <w:szCs w:val="24"/>
        </w:rPr>
        <w:t xml:space="preserve"> this</w:t>
      </w:r>
      <w:r w:rsidRPr="000C1D84">
        <w:rPr>
          <w:rFonts w:ascii="Times New Roman" w:hAnsi="Times New Roman" w:cs="Times New Roman"/>
          <w:sz w:val="24"/>
          <w:szCs w:val="24"/>
        </w:rPr>
        <w:t xml:space="preserve"> should be done in conjuction with the Office of Auditor-General, and </w:t>
      </w:r>
      <w:r w:rsidR="00965683" w:rsidRPr="000C1D84">
        <w:rPr>
          <w:rFonts w:ascii="Times New Roman" w:hAnsi="Times New Roman" w:cs="Times New Roman"/>
          <w:sz w:val="24"/>
          <w:szCs w:val="24"/>
        </w:rPr>
        <w:t>form part of</w:t>
      </w:r>
      <w:r w:rsidRPr="000C1D84">
        <w:rPr>
          <w:rFonts w:ascii="Times New Roman" w:hAnsi="Times New Roman" w:cs="Times New Roman"/>
          <w:sz w:val="24"/>
          <w:szCs w:val="24"/>
        </w:rPr>
        <w:t xml:space="preserve"> the auditing process. He also informed the Committee that the Department of </w:t>
      </w:r>
      <w:r w:rsidR="00787AF2" w:rsidRPr="000C1D84">
        <w:rPr>
          <w:rFonts w:ascii="Times New Roman" w:hAnsi="Times New Roman" w:cs="Times New Roman"/>
          <w:sz w:val="24"/>
          <w:szCs w:val="24"/>
        </w:rPr>
        <w:t xml:space="preserve">Planning, </w:t>
      </w:r>
      <w:r w:rsidRPr="000C1D84">
        <w:rPr>
          <w:rFonts w:ascii="Times New Roman" w:hAnsi="Times New Roman" w:cs="Times New Roman"/>
          <w:sz w:val="24"/>
          <w:szCs w:val="24"/>
        </w:rPr>
        <w:t xml:space="preserve">Monitoring and Evaluation would be looking at the entire scope of localisation as to ensure that localisation and incentives, which are the most powerful tools for industrialization, are implemented more effectively. Through effective monitoring, government should be able to stop the leakages associated with </w:t>
      </w:r>
      <w:r w:rsidR="00787AF2" w:rsidRPr="000C1D84">
        <w:rPr>
          <w:rFonts w:ascii="Times New Roman" w:hAnsi="Times New Roman" w:cs="Times New Roman"/>
          <w:sz w:val="24"/>
          <w:szCs w:val="24"/>
        </w:rPr>
        <w:t xml:space="preserve">non-compliance with the </w:t>
      </w:r>
      <w:r w:rsidRPr="000C1D84">
        <w:rPr>
          <w:rFonts w:ascii="Times New Roman" w:hAnsi="Times New Roman" w:cs="Times New Roman"/>
          <w:sz w:val="24"/>
          <w:szCs w:val="24"/>
        </w:rPr>
        <w:t>localisation</w:t>
      </w:r>
      <w:r w:rsidR="00787AF2" w:rsidRPr="000C1D84">
        <w:rPr>
          <w:rFonts w:ascii="Times New Roman" w:hAnsi="Times New Roman" w:cs="Times New Roman"/>
          <w:sz w:val="24"/>
          <w:szCs w:val="24"/>
        </w:rPr>
        <w:t>-related legislation</w:t>
      </w:r>
      <w:r w:rsidRPr="000C1D84">
        <w:rPr>
          <w:rFonts w:ascii="Times New Roman" w:hAnsi="Times New Roman" w:cs="Times New Roman"/>
          <w:sz w:val="24"/>
          <w:szCs w:val="24"/>
        </w:rPr>
        <w:t xml:space="preserve">. The Minister also informed the Committee that the present government would not become a signatory to the “Revised </w:t>
      </w:r>
      <w:r w:rsidR="00EF516C" w:rsidRPr="000C1D84">
        <w:rPr>
          <w:rFonts w:ascii="Times New Roman" w:hAnsi="Times New Roman" w:cs="Times New Roman"/>
          <w:sz w:val="24"/>
          <w:szCs w:val="24"/>
        </w:rPr>
        <w:t xml:space="preserve">World Trade Organisation’s </w:t>
      </w:r>
      <w:r w:rsidRPr="000C1D84">
        <w:rPr>
          <w:rFonts w:ascii="Times New Roman" w:hAnsi="Times New Roman" w:cs="Times New Roman"/>
          <w:sz w:val="24"/>
          <w:szCs w:val="24"/>
        </w:rPr>
        <w:t>Agreement of Government Procurement” as it would effectively n</w:t>
      </w:r>
      <w:r w:rsidR="00787AF2" w:rsidRPr="000C1D84">
        <w:rPr>
          <w:rFonts w:ascii="Times New Roman" w:hAnsi="Times New Roman" w:cs="Times New Roman"/>
          <w:sz w:val="24"/>
          <w:szCs w:val="24"/>
        </w:rPr>
        <w:t>e</w:t>
      </w:r>
      <w:r w:rsidRPr="000C1D84">
        <w:rPr>
          <w:rFonts w:ascii="Times New Roman" w:hAnsi="Times New Roman" w:cs="Times New Roman"/>
          <w:sz w:val="24"/>
          <w:szCs w:val="24"/>
        </w:rPr>
        <w:t xml:space="preserve">utralise the </w:t>
      </w:r>
      <w:r w:rsidR="00787AF2" w:rsidRPr="000C1D84">
        <w:rPr>
          <w:rFonts w:ascii="Times New Roman" w:hAnsi="Times New Roman" w:cs="Times New Roman"/>
          <w:sz w:val="24"/>
          <w:szCs w:val="24"/>
        </w:rPr>
        <w:t xml:space="preserve">use </w:t>
      </w:r>
      <w:r w:rsidRPr="000C1D84">
        <w:rPr>
          <w:rFonts w:ascii="Times New Roman" w:hAnsi="Times New Roman" w:cs="Times New Roman"/>
          <w:sz w:val="24"/>
          <w:szCs w:val="24"/>
        </w:rPr>
        <w:t xml:space="preserve">of the localisation </w:t>
      </w:r>
      <w:r w:rsidR="00787AF2" w:rsidRPr="000C1D84">
        <w:rPr>
          <w:rFonts w:ascii="Times New Roman" w:hAnsi="Times New Roman" w:cs="Times New Roman"/>
          <w:sz w:val="24"/>
          <w:szCs w:val="24"/>
        </w:rPr>
        <w:t xml:space="preserve">tool </w:t>
      </w:r>
      <w:r w:rsidRPr="000C1D84">
        <w:rPr>
          <w:rFonts w:ascii="Times New Roman" w:hAnsi="Times New Roman" w:cs="Times New Roman"/>
          <w:sz w:val="24"/>
          <w:szCs w:val="24"/>
        </w:rPr>
        <w:t xml:space="preserve">for local economic development. Furthermore, </w:t>
      </w:r>
      <w:r w:rsidR="00787AF2" w:rsidRPr="000C1D84">
        <w:rPr>
          <w:rFonts w:ascii="Times New Roman" w:hAnsi="Times New Roman" w:cs="Times New Roman"/>
          <w:sz w:val="24"/>
          <w:szCs w:val="24"/>
        </w:rPr>
        <w:t xml:space="preserve">he </w:t>
      </w:r>
      <w:r w:rsidRPr="000C1D84">
        <w:rPr>
          <w:rFonts w:ascii="Times New Roman" w:hAnsi="Times New Roman" w:cs="Times New Roman"/>
          <w:sz w:val="24"/>
          <w:szCs w:val="24"/>
        </w:rPr>
        <w:t>also note</w:t>
      </w:r>
      <w:r w:rsidR="00787AF2" w:rsidRPr="000C1D84">
        <w:rPr>
          <w:rFonts w:ascii="Times New Roman" w:hAnsi="Times New Roman" w:cs="Times New Roman"/>
          <w:sz w:val="24"/>
          <w:szCs w:val="24"/>
        </w:rPr>
        <w:t>d</w:t>
      </w:r>
      <w:r w:rsidRPr="000C1D84">
        <w:rPr>
          <w:rFonts w:ascii="Times New Roman" w:hAnsi="Times New Roman" w:cs="Times New Roman"/>
          <w:sz w:val="24"/>
          <w:szCs w:val="24"/>
        </w:rPr>
        <w:t xml:space="preserve"> that localisation and local public procurement applies to municipalities, provincial d</w:t>
      </w:r>
      <w:r w:rsidR="00965683" w:rsidRPr="000C1D84">
        <w:rPr>
          <w:rFonts w:ascii="Times New Roman" w:hAnsi="Times New Roman" w:cs="Times New Roman"/>
          <w:sz w:val="24"/>
          <w:szCs w:val="24"/>
        </w:rPr>
        <w:t>epartments, and any other enti</w:t>
      </w:r>
      <w:r w:rsidR="00787AF2" w:rsidRPr="000C1D84">
        <w:rPr>
          <w:rFonts w:ascii="Times New Roman" w:hAnsi="Times New Roman" w:cs="Times New Roman"/>
          <w:sz w:val="24"/>
          <w:szCs w:val="24"/>
        </w:rPr>
        <w:t>ty</w:t>
      </w:r>
      <w:r w:rsidRPr="000C1D84">
        <w:rPr>
          <w:rFonts w:ascii="Times New Roman" w:hAnsi="Times New Roman" w:cs="Times New Roman"/>
          <w:sz w:val="24"/>
          <w:szCs w:val="24"/>
        </w:rPr>
        <w:t xml:space="preserve"> operating in the public space.</w:t>
      </w:r>
    </w:p>
    <w:p w14:paraId="63B84DF2" w14:textId="77777777" w:rsidR="00167F9D" w:rsidRPr="000C1D84" w:rsidRDefault="00167F9D" w:rsidP="000C1D84">
      <w:pPr>
        <w:pStyle w:val="ListParagraph"/>
        <w:spacing w:line="360" w:lineRule="auto"/>
        <w:rPr>
          <w:rFonts w:ascii="Times New Roman" w:hAnsi="Times New Roman" w:cs="Times New Roman"/>
          <w:sz w:val="24"/>
          <w:szCs w:val="24"/>
        </w:rPr>
      </w:pPr>
    </w:p>
    <w:p w14:paraId="309335B3" w14:textId="77777777" w:rsidR="00167F9D" w:rsidRPr="000C1D84" w:rsidRDefault="00787AF2"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 xml:space="preserve">Contract </w:t>
      </w:r>
      <w:r w:rsidR="0017107C" w:rsidRPr="000C1D84">
        <w:rPr>
          <w:rFonts w:ascii="Times New Roman" w:hAnsi="Times New Roman" w:cs="Times New Roman"/>
          <w:b/>
          <w:i/>
          <w:sz w:val="24"/>
          <w:szCs w:val="24"/>
        </w:rPr>
        <w:t xml:space="preserve">between government and Chinese parastatals: </w:t>
      </w:r>
      <w:r w:rsidR="0017107C" w:rsidRPr="000C1D84">
        <w:rPr>
          <w:rFonts w:ascii="Times New Roman" w:hAnsi="Times New Roman" w:cs="Times New Roman"/>
          <w:sz w:val="24"/>
          <w:szCs w:val="24"/>
        </w:rPr>
        <w:t xml:space="preserve">The Committee enquired to the status of the R70 billion contract and how South African industry would benefit from such an investment. The Minister informed the Committee that the investment refers to two infrastructure projects, the Moloto Corridor and the Imzivuvo dam. The Minister was of the view that all infrastructure projects should seek </w:t>
      </w:r>
      <w:r w:rsidRPr="000C1D84">
        <w:rPr>
          <w:rFonts w:ascii="Times New Roman" w:hAnsi="Times New Roman" w:cs="Times New Roman"/>
          <w:sz w:val="24"/>
          <w:szCs w:val="24"/>
        </w:rPr>
        <w:t>to use local suppliers and locally manufactured products</w:t>
      </w:r>
      <w:r w:rsidR="0017107C" w:rsidRPr="000C1D84">
        <w:rPr>
          <w:rFonts w:ascii="Times New Roman" w:hAnsi="Times New Roman" w:cs="Times New Roman"/>
          <w:sz w:val="24"/>
          <w:szCs w:val="24"/>
        </w:rPr>
        <w:t>, and that localisation d</w:t>
      </w:r>
      <w:r w:rsidRPr="000C1D84">
        <w:rPr>
          <w:rFonts w:ascii="Times New Roman" w:hAnsi="Times New Roman" w:cs="Times New Roman"/>
          <w:sz w:val="24"/>
          <w:szCs w:val="24"/>
        </w:rPr>
        <w:t>id</w:t>
      </w:r>
      <w:r w:rsidR="0017107C" w:rsidRPr="000C1D84">
        <w:rPr>
          <w:rFonts w:ascii="Times New Roman" w:hAnsi="Times New Roman" w:cs="Times New Roman"/>
          <w:sz w:val="24"/>
          <w:szCs w:val="24"/>
        </w:rPr>
        <w:t xml:space="preserve"> not imply that the company had to be a South African company. A foreign investor invest</w:t>
      </w:r>
      <w:r w:rsidRPr="000C1D84">
        <w:rPr>
          <w:rFonts w:ascii="Times New Roman" w:hAnsi="Times New Roman" w:cs="Times New Roman"/>
          <w:sz w:val="24"/>
          <w:szCs w:val="24"/>
        </w:rPr>
        <w:t>ing</w:t>
      </w:r>
      <w:r w:rsidR="0017107C" w:rsidRPr="000C1D84">
        <w:rPr>
          <w:rFonts w:ascii="Times New Roman" w:hAnsi="Times New Roman" w:cs="Times New Roman"/>
          <w:sz w:val="24"/>
          <w:szCs w:val="24"/>
        </w:rPr>
        <w:t xml:space="preserve"> </w:t>
      </w:r>
      <w:r w:rsidRPr="000C1D84">
        <w:rPr>
          <w:rFonts w:ascii="Times New Roman" w:hAnsi="Times New Roman" w:cs="Times New Roman"/>
          <w:sz w:val="24"/>
          <w:szCs w:val="24"/>
        </w:rPr>
        <w:t>and manufacturing with</w:t>
      </w:r>
      <w:r w:rsidR="0017107C" w:rsidRPr="000C1D84">
        <w:rPr>
          <w:rFonts w:ascii="Times New Roman" w:hAnsi="Times New Roman" w:cs="Times New Roman"/>
          <w:sz w:val="24"/>
          <w:szCs w:val="24"/>
        </w:rPr>
        <w:t>in the country</w:t>
      </w:r>
      <w:r w:rsidRPr="000C1D84">
        <w:rPr>
          <w:rFonts w:ascii="Times New Roman" w:hAnsi="Times New Roman" w:cs="Times New Roman"/>
          <w:sz w:val="24"/>
          <w:szCs w:val="24"/>
        </w:rPr>
        <w:t>; thus,</w:t>
      </w:r>
      <w:r w:rsidR="0017107C" w:rsidRPr="000C1D84">
        <w:rPr>
          <w:rFonts w:ascii="Times New Roman" w:hAnsi="Times New Roman" w:cs="Times New Roman"/>
          <w:sz w:val="24"/>
          <w:szCs w:val="24"/>
        </w:rPr>
        <w:t xml:space="preserve"> contribut</w:t>
      </w:r>
      <w:r w:rsidRPr="000C1D84">
        <w:rPr>
          <w:rFonts w:ascii="Times New Roman" w:hAnsi="Times New Roman" w:cs="Times New Roman"/>
          <w:sz w:val="24"/>
          <w:szCs w:val="24"/>
        </w:rPr>
        <w:t>ing</w:t>
      </w:r>
      <w:r w:rsidR="0017107C" w:rsidRPr="000C1D84">
        <w:rPr>
          <w:rFonts w:ascii="Times New Roman" w:hAnsi="Times New Roman" w:cs="Times New Roman"/>
          <w:sz w:val="24"/>
          <w:szCs w:val="24"/>
        </w:rPr>
        <w:t xml:space="preserve"> towards job creation and economic growth</w:t>
      </w:r>
      <w:r w:rsidRPr="000C1D84">
        <w:rPr>
          <w:rFonts w:ascii="Times New Roman" w:hAnsi="Times New Roman" w:cs="Times New Roman"/>
          <w:sz w:val="24"/>
          <w:szCs w:val="24"/>
        </w:rPr>
        <w:t xml:space="preserve"> could also meet local content requirements</w:t>
      </w:r>
      <w:r w:rsidR="0017107C" w:rsidRPr="000C1D84">
        <w:rPr>
          <w:rFonts w:ascii="Times New Roman" w:hAnsi="Times New Roman" w:cs="Times New Roman"/>
          <w:sz w:val="24"/>
          <w:szCs w:val="24"/>
        </w:rPr>
        <w:t xml:space="preserve">. The Minister informed the Committee that he </w:t>
      </w:r>
      <w:r w:rsidR="003B624E" w:rsidRPr="000C1D84">
        <w:rPr>
          <w:rFonts w:ascii="Times New Roman" w:hAnsi="Times New Roman" w:cs="Times New Roman"/>
          <w:sz w:val="24"/>
          <w:szCs w:val="24"/>
        </w:rPr>
        <w:t xml:space="preserve">was unable to respond to the Committee  in terms of </w:t>
      </w:r>
      <w:r w:rsidR="0017107C" w:rsidRPr="000C1D84">
        <w:rPr>
          <w:rFonts w:ascii="Times New Roman" w:hAnsi="Times New Roman" w:cs="Times New Roman"/>
          <w:sz w:val="24"/>
          <w:szCs w:val="24"/>
        </w:rPr>
        <w:t>these projects as it falls under the Presidential Infrastructu</w:t>
      </w:r>
      <w:r w:rsidR="00EF0C57">
        <w:rPr>
          <w:rFonts w:ascii="Times New Roman" w:hAnsi="Times New Roman" w:cs="Times New Roman"/>
          <w:sz w:val="24"/>
          <w:szCs w:val="24"/>
        </w:rPr>
        <w:t>re Coordinating Committee</w:t>
      </w:r>
      <w:r w:rsidR="0017107C" w:rsidRPr="000C1D84">
        <w:rPr>
          <w:rFonts w:ascii="Times New Roman" w:hAnsi="Times New Roman" w:cs="Times New Roman"/>
          <w:sz w:val="24"/>
          <w:szCs w:val="24"/>
        </w:rPr>
        <w:t xml:space="preserve">. </w:t>
      </w:r>
    </w:p>
    <w:p w14:paraId="1A7FE660" w14:textId="77777777" w:rsidR="00167F9D" w:rsidRPr="000C1D84" w:rsidRDefault="00167F9D" w:rsidP="000C1D84">
      <w:pPr>
        <w:pStyle w:val="ListParagraph"/>
        <w:spacing w:line="360" w:lineRule="auto"/>
        <w:rPr>
          <w:rFonts w:ascii="Times New Roman" w:hAnsi="Times New Roman" w:cs="Times New Roman"/>
          <w:sz w:val="24"/>
          <w:szCs w:val="24"/>
        </w:rPr>
      </w:pPr>
    </w:p>
    <w:p w14:paraId="37B5BC41" w14:textId="77777777" w:rsidR="008F45B7" w:rsidRDefault="008F45B7"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Black Industrialist programme</w:t>
      </w:r>
      <w:r w:rsidR="003B624E" w:rsidRPr="000C1D84">
        <w:rPr>
          <w:rFonts w:ascii="Times New Roman" w:hAnsi="Times New Roman" w:cs="Times New Roman"/>
          <w:b/>
          <w:i/>
          <w:sz w:val="24"/>
          <w:szCs w:val="24"/>
        </w:rPr>
        <w:t>:</w:t>
      </w:r>
      <w:r w:rsidRPr="000C1D84">
        <w:rPr>
          <w:rFonts w:ascii="Times New Roman" w:hAnsi="Times New Roman" w:cs="Times New Roman"/>
          <w:sz w:val="24"/>
          <w:szCs w:val="24"/>
        </w:rPr>
        <w:t xml:space="preserve"> </w:t>
      </w:r>
      <w:r w:rsidR="00C07B49" w:rsidRPr="000C1D84">
        <w:rPr>
          <w:rFonts w:ascii="Times New Roman" w:hAnsi="Times New Roman" w:cs="Times New Roman"/>
          <w:sz w:val="24"/>
          <w:szCs w:val="24"/>
        </w:rPr>
        <w:t xml:space="preserve">The Committee welcomed the progress of the programme as it promotes the growth of black-owned and managed companies within the manufacturing sector in support of industrialisation as outlined in the IPAP. </w:t>
      </w:r>
      <w:r w:rsidR="003B624E" w:rsidRPr="000C1D84">
        <w:rPr>
          <w:rFonts w:ascii="Times New Roman" w:hAnsi="Times New Roman" w:cs="Times New Roman"/>
          <w:sz w:val="24"/>
          <w:szCs w:val="24"/>
        </w:rPr>
        <w:t>Sixty-two</w:t>
      </w:r>
      <w:r w:rsidR="00C07B49" w:rsidRPr="000C1D84">
        <w:rPr>
          <w:rFonts w:ascii="Times New Roman" w:hAnsi="Times New Roman" w:cs="Times New Roman"/>
          <w:sz w:val="24"/>
          <w:szCs w:val="24"/>
        </w:rPr>
        <w:t xml:space="preserve"> persons were approved under the Black Industrialist programme with the target of 100 persons to be approved set to be achieved by the end of the financial year. To date, R3 billion had been spen</w:t>
      </w:r>
      <w:r w:rsidR="003B624E" w:rsidRPr="000C1D84">
        <w:rPr>
          <w:rFonts w:ascii="Times New Roman" w:hAnsi="Times New Roman" w:cs="Times New Roman"/>
          <w:sz w:val="24"/>
          <w:szCs w:val="24"/>
        </w:rPr>
        <w:t>t</w:t>
      </w:r>
      <w:r w:rsidR="00C07B49" w:rsidRPr="000C1D84">
        <w:rPr>
          <w:rFonts w:ascii="Times New Roman" w:hAnsi="Times New Roman" w:cs="Times New Roman"/>
          <w:sz w:val="24"/>
          <w:szCs w:val="24"/>
        </w:rPr>
        <w:t xml:space="preserve"> on the programme. The Committee enquired that of the 7</w:t>
      </w:r>
      <w:r w:rsidR="003B624E" w:rsidRPr="000C1D84">
        <w:rPr>
          <w:rFonts w:ascii="Times New Roman" w:hAnsi="Times New Roman" w:cs="Times New Roman"/>
          <w:sz w:val="24"/>
          <w:szCs w:val="24"/>
        </w:rPr>
        <w:t> </w:t>
      </w:r>
      <w:r w:rsidR="00C07B49" w:rsidRPr="000C1D84">
        <w:rPr>
          <w:rFonts w:ascii="Times New Roman" w:hAnsi="Times New Roman" w:cs="Times New Roman"/>
          <w:sz w:val="24"/>
          <w:szCs w:val="24"/>
        </w:rPr>
        <w:t>000 jobs created</w:t>
      </w:r>
      <w:r w:rsidR="003B624E" w:rsidRPr="000C1D84">
        <w:rPr>
          <w:rFonts w:ascii="Times New Roman" w:hAnsi="Times New Roman" w:cs="Times New Roman"/>
          <w:sz w:val="24"/>
          <w:szCs w:val="24"/>
        </w:rPr>
        <w:t>,</w:t>
      </w:r>
      <w:r w:rsidR="00C07B49" w:rsidRPr="000C1D84">
        <w:rPr>
          <w:rFonts w:ascii="Times New Roman" w:hAnsi="Times New Roman" w:cs="Times New Roman"/>
          <w:sz w:val="24"/>
          <w:szCs w:val="24"/>
        </w:rPr>
        <w:t xml:space="preserve"> how many were permanent, and whether the minimum wages were paid. The DTI informed the Committee that one of the requirements of the DTI, before it approve</w:t>
      </w:r>
      <w:r w:rsidR="003B624E" w:rsidRPr="000C1D84">
        <w:rPr>
          <w:rFonts w:ascii="Times New Roman" w:hAnsi="Times New Roman" w:cs="Times New Roman"/>
          <w:sz w:val="24"/>
          <w:szCs w:val="24"/>
        </w:rPr>
        <w:t>d</w:t>
      </w:r>
      <w:r w:rsidR="00C07B49" w:rsidRPr="000C1D84">
        <w:rPr>
          <w:rFonts w:ascii="Times New Roman" w:hAnsi="Times New Roman" w:cs="Times New Roman"/>
          <w:sz w:val="24"/>
          <w:szCs w:val="24"/>
        </w:rPr>
        <w:t xml:space="preserve"> any incentives, </w:t>
      </w:r>
      <w:r w:rsidR="003B624E" w:rsidRPr="000C1D84">
        <w:rPr>
          <w:rFonts w:ascii="Times New Roman" w:hAnsi="Times New Roman" w:cs="Times New Roman"/>
          <w:sz w:val="24"/>
          <w:szCs w:val="24"/>
        </w:rPr>
        <w:t>was</w:t>
      </w:r>
      <w:r w:rsidR="00C07B49" w:rsidRPr="000C1D84">
        <w:rPr>
          <w:rFonts w:ascii="Times New Roman" w:hAnsi="Times New Roman" w:cs="Times New Roman"/>
          <w:sz w:val="24"/>
          <w:szCs w:val="24"/>
        </w:rPr>
        <w:t xml:space="preserve"> that companies must comply with the Labour Relations Act </w:t>
      </w:r>
      <w:r w:rsidR="003B624E" w:rsidRPr="000C1D84">
        <w:rPr>
          <w:rFonts w:ascii="Times New Roman" w:hAnsi="Times New Roman" w:cs="Times New Roman"/>
          <w:sz w:val="24"/>
          <w:szCs w:val="24"/>
        </w:rPr>
        <w:t>(No.</w:t>
      </w:r>
      <w:r w:rsidR="00C07B49" w:rsidRPr="000C1D84">
        <w:rPr>
          <w:rFonts w:ascii="Times New Roman" w:hAnsi="Times New Roman" w:cs="Times New Roman"/>
          <w:sz w:val="24"/>
          <w:szCs w:val="24"/>
        </w:rPr>
        <w:t xml:space="preserve"> 66 of 1996</w:t>
      </w:r>
      <w:r w:rsidR="003B624E" w:rsidRPr="000C1D84">
        <w:rPr>
          <w:rFonts w:ascii="Times New Roman" w:hAnsi="Times New Roman" w:cs="Times New Roman"/>
          <w:sz w:val="24"/>
          <w:szCs w:val="24"/>
        </w:rPr>
        <w:t>)</w:t>
      </w:r>
      <w:r w:rsidR="00C07B49" w:rsidRPr="000C1D84">
        <w:rPr>
          <w:rFonts w:ascii="Times New Roman" w:hAnsi="Times New Roman" w:cs="Times New Roman"/>
          <w:sz w:val="24"/>
          <w:szCs w:val="24"/>
        </w:rPr>
        <w:t xml:space="preserve">, and the Basic Conditions of Employment Act </w:t>
      </w:r>
      <w:r w:rsidR="003B624E" w:rsidRPr="000C1D84">
        <w:rPr>
          <w:rFonts w:ascii="Times New Roman" w:hAnsi="Times New Roman" w:cs="Times New Roman"/>
          <w:sz w:val="24"/>
          <w:szCs w:val="24"/>
        </w:rPr>
        <w:t xml:space="preserve">(No. </w:t>
      </w:r>
      <w:r w:rsidR="00C07B49" w:rsidRPr="000C1D84">
        <w:rPr>
          <w:rFonts w:ascii="Times New Roman" w:hAnsi="Times New Roman" w:cs="Times New Roman"/>
          <w:sz w:val="24"/>
          <w:szCs w:val="24"/>
        </w:rPr>
        <w:t xml:space="preserve">75 </w:t>
      </w:r>
      <w:r w:rsidR="003B624E" w:rsidRPr="000C1D84">
        <w:rPr>
          <w:rFonts w:ascii="Times New Roman" w:hAnsi="Times New Roman" w:cs="Times New Roman"/>
          <w:sz w:val="24"/>
          <w:szCs w:val="24"/>
        </w:rPr>
        <w:t>o</w:t>
      </w:r>
      <w:r w:rsidR="00C07B49" w:rsidRPr="000C1D84">
        <w:rPr>
          <w:rFonts w:ascii="Times New Roman" w:hAnsi="Times New Roman" w:cs="Times New Roman"/>
          <w:sz w:val="24"/>
          <w:szCs w:val="24"/>
        </w:rPr>
        <w:t>f 1997</w:t>
      </w:r>
      <w:r w:rsidR="003B624E" w:rsidRPr="000C1D84">
        <w:rPr>
          <w:rFonts w:ascii="Times New Roman" w:hAnsi="Times New Roman" w:cs="Times New Roman"/>
          <w:sz w:val="24"/>
          <w:szCs w:val="24"/>
        </w:rPr>
        <w:t>)</w:t>
      </w:r>
      <w:r w:rsidR="00C07B49" w:rsidRPr="000C1D84">
        <w:rPr>
          <w:rFonts w:ascii="Times New Roman" w:hAnsi="Times New Roman" w:cs="Times New Roman"/>
          <w:sz w:val="24"/>
          <w:szCs w:val="24"/>
        </w:rPr>
        <w:t xml:space="preserve">. The DTI informed the Committee that it monitors commitments by companies with regard to employment creation, and whether it complies with the relevant employment legislation. Non-compliance results in cancellation of contracts or a delay in payment to ensure compliance. </w:t>
      </w:r>
      <w:r w:rsidR="003B624E" w:rsidRPr="000C1D84">
        <w:rPr>
          <w:rFonts w:ascii="Times New Roman" w:hAnsi="Times New Roman" w:cs="Times New Roman"/>
          <w:sz w:val="24"/>
          <w:szCs w:val="24"/>
        </w:rPr>
        <w:t xml:space="preserve">As part of this, companies </w:t>
      </w:r>
      <w:r w:rsidR="00C07B49" w:rsidRPr="000C1D84">
        <w:rPr>
          <w:rFonts w:ascii="Times New Roman" w:hAnsi="Times New Roman" w:cs="Times New Roman"/>
          <w:sz w:val="24"/>
          <w:szCs w:val="24"/>
        </w:rPr>
        <w:t xml:space="preserve">must comply with the new minimum wage requirement. </w:t>
      </w:r>
    </w:p>
    <w:p w14:paraId="5203D91D" w14:textId="77777777" w:rsidR="00443C0F" w:rsidRPr="000C1D84" w:rsidRDefault="00443C0F" w:rsidP="000C1D84">
      <w:pPr>
        <w:pStyle w:val="ListParagraph"/>
        <w:spacing w:line="360" w:lineRule="auto"/>
        <w:rPr>
          <w:rFonts w:ascii="Times New Roman" w:hAnsi="Times New Roman" w:cs="Times New Roman"/>
          <w:sz w:val="24"/>
          <w:szCs w:val="24"/>
        </w:rPr>
      </w:pPr>
    </w:p>
    <w:p w14:paraId="78ACFCA8" w14:textId="77777777" w:rsidR="00443C0F" w:rsidRDefault="003B624E"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B-B</w:t>
      </w:r>
      <w:r w:rsidR="0017107C" w:rsidRPr="000C1D84">
        <w:rPr>
          <w:rFonts w:ascii="Times New Roman" w:hAnsi="Times New Roman" w:cs="Times New Roman"/>
          <w:b/>
          <w:i/>
          <w:sz w:val="24"/>
          <w:szCs w:val="24"/>
        </w:rPr>
        <w:t>BEE compliance:</w:t>
      </w:r>
      <w:r w:rsidR="0017107C" w:rsidRPr="00B66308">
        <w:rPr>
          <w:rFonts w:ascii="Times New Roman" w:hAnsi="Times New Roman" w:cs="Times New Roman"/>
          <w:sz w:val="24"/>
          <w:szCs w:val="24"/>
        </w:rPr>
        <w:t xml:space="preserve"> The Committee raised concerns around the compliance with the Broad-Based Black Economic Empowerment legislation.  The Minister informed the Committee that the new threshold for major B-BBEE transactions </w:t>
      </w:r>
      <w:r w:rsidR="00E23FD9">
        <w:rPr>
          <w:rFonts w:ascii="Times New Roman" w:hAnsi="Times New Roman" w:cs="Times New Roman"/>
          <w:sz w:val="24"/>
          <w:szCs w:val="24"/>
        </w:rPr>
        <w:t>would</w:t>
      </w:r>
      <w:r w:rsidR="0017107C" w:rsidRPr="00B66308">
        <w:rPr>
          <w:rFonts w:ascii="Times New Roman" w:hAnsi="Times New Roman" w:cs="Times New Roman"/>
          <w:sz w:val="24"/>
          <w:szCs w:val="24"/>
        </w:rPr>
        <w:t xml:space="preserve"> be R25</w:t>
      </w:r>
      <w:r w:rsidR="00E23FD9">
        <w:rPr>
          <w:rFonts w:ascii="Times New Roman" w:hAnsi="Times New Roman" w:cs="Times New Roman"/>
          <w:sz w:val="24"/>
          <w:szCs w:val="24"/>
        </w:rPr>
        <w:t> </w:t>
      </w:r>
      <w:r w:rsidR="0017107C" w:rsidRPr="00B66308">
        <w:rPr>
          <w:rFonts w:ascii="Times New Roman" w:hAnsi="Times New Roman" w:cs="Times New Roman"/>
          <w:sz w:val="24"/>
          <w:szCs w:val="24"/>
        </w:rPr>
        <w:t xml:space="preserve">million. According to the new definition, a major B-BBEE transaction is any transaction that has resulted or will result in a measured entity claiming ownership points in terms of the ownership scorecard of the applicable BEE codes of good practice, and where the B-BBEE transaction value </w:t>
      </w:r>
      <w:r w:rsidR="00E23FD9">
        <w:rPr>
          <w:rFonts w:ascii="Times New Roman" w:hAnsi="Times New Roman" w:cs="Times New Roman"/>
          <w:sz w:val="24"/>
          <w:szCs w:val="24"/>
        </w:rPr>
        <w:t xml:space="preserve">is </w:t>
      </w:r>
      <w:r w:rsidR="0017107C" w:rsidRPr="00B66308">
        <w:rPr>
          <w:rFonts w:ascii="Times New Roman" w:hAnsi="Times New Roman" w:cs="Times New Roman"/>
          <w:sz w:val="24"/>
          <w:szCs w:val="24"/>
        </w:rPr>
        <w:t xml:space="preserve">equal or more than R25 million. This threshold must be applied retrospectively, and all major B-BBEE ownership transactions concluded on or after </w:t>
      </w:r>
      <w:r w:rsidR="00241C20" w:rsidRPr="00241C20">
        <w:rPr>
          <w:rFonts w:ascii="Times New Roman" w:hAnsi="Times New Roman" w:cs="Times New Roman"/>
          <w:sz w:val="24"/>
          <w:szCs w:val="24"/>
        </w:rPr>
        <w:t>24 October 2014</w:t>
      </w:r>
      <w:r w:rsidR="0017107C" w:rsidRPr="00B66308">
        <w:rPr>
          <w:rFonts w:ascii="Times New Roman" w:hAnsi="Times New Roman" w:cs="Times New Roman"/>
          <w:sz w:val="24"/>
          <w:szCs w:val="24"/>
        </w:rPr>
        <w:t xml:space="preserve"> must be registered with the B-BBEE Commission within 60 calendar days of the final publication of the announcement. The Minister also informed the Committee that all state entities must comply with </w:t>
      </w:r>
      <w:r w:rsidR="00E23FD9">
        <w:rPr>
          <w:rFonts w:ascii="Times New Roman" w:hAnsi="Times New Roman" w:cs="Times New Roman"/>
          <w:sz w:val="24"/>
          <w:szCs w:val="24"/>
        </w:rPr>
        <w:t>B-B</w:t>
      </w:r>
      <w:r w:rsidR="0017107C" w:rsidRPr="00B66308">
        <w:rPr>
          <w:rFonts w:ascii="Times New Roman" w:hAnsi="Times New Roman" w:cs="Times New Roman"/>
          <w:sz w:val="24"/>
          <w:szCs w:val="24"/>
        </w:rPr>
        <w:t xml:space="preserve">BEE legislation. The </w:t>
      </w:r>
      <w:r w:rsidR="00E23FD9">
        <w:rPr>
          <w:rFonts w:ascii="Times New Roman" w:hAnsi="Times New Roman" w:cs="Times New Roman"/>
          <w:sz w:val="24"/>
          <w:szCs w:val="24"/>
        </w:rPr>
        <w:t>B-B</w:t>
      </w:r>
      <w:r w:rsidR="0017107C" w:rsidRPr="00B66308">
        <w:rPr>
          <w:rFonts w:ascii="Times New Roman" w:hAnsi="Times New Roman" w:cs="Times New Roman"/>
          <w:sz w:val="24"/>
          <w:szCs w:val="24"/>
        </w:rPr>
        <w:t>BEE Commissioner had initiated investigations against specific entities for possible violation of B-BBEE relating to the</w:t>
      </w:r>
      <w:r w:rsidR="00E23FD9">
        <w:rPr>
          <w:rFonts w:ascii="Times New Roman" w:hAnsi="Times New Roman" w:cs="Times New Roman"/>
          <w:sz w:val="24"/>
          <w:szCs w:val="24"/>
        </w:rPr>
        <w:t>ir</w:t>
      </w:r>
      <w:r w:rsidR="0017107C" w:rsidRPr="00B66308">
        <w:rPr>
          <w:rFonts w:ascii="Times New Roman" w:hAnsi="Times New Roman" w:cs="Times New Roman"/>
          <w:sz w:val="24"/>
          <w:szCs w:val="24"/>
        </w:rPr>
        <w:t xml:space="preserve"> ownership structure and non-compliance with the Codes of Good Practice in respect of the verification process. If found to have violated the B-BBEE Act, the entities may be referred for prosecution and exposed to a fines of up to 10% of the entit</w:t>
      </w:r>
      <w:r w:rsidR="00E23FD9">
        <w:rPr>
          <w:rFonts w:ascii="Times New Roman" w:hAnsi="Times New Roman" w:cs="Times New Roman"/>
          <w:sz w:val="24"/>
          <w:szCs w:val="24"/>
        </w:rPr>
        <w:t>y’</w:t>
      </w:r>
      <w:r w:rsidR="0017107C" w:rsidRPr="00B66308">
        <w:rPr>
          <w:rFonts w:ascii="Times New Roman" w:hAnsi="Times New Roman" w:cs="Times New Roman"/>
          <w:sz w:val="24"/>
          <w:szCs w:val="24"/>
        </w:rPr>
        <w:t>s annual turnover and the individuals involved can be fined or imprisoned for up to 10 years.</w:t>
      </w:r>
      <w:r w:rsidR="0017107C" w:rsidRPr="000C1D84">
        <w:rPr>
          <w:rFonts w:ascii="Times New Roman" w:hAnsi="Times New Roman" w:cs="Times New Roman"/>
          <w:sz w:val="24"/>
          <w:szCs w:val="24"/>
        </w:rPr>
        <w:t xml:space="preserve"> </w:t>
      </w:r>
      <w:r w:rsidR="0017107C" w:rsidRPr="00B66308">
        <w:rPr>
          <w:rFonts w:ascii="Times New Roman" w:hAnsi="Times New Roman" w:cs="Times New Roman"/>
          <w:sz w:val="24"/>
          <w:szCs w:val="24"/>
        </w:rPr>
        <w:t>The entities can also be excluded from doing business with government for a period of up to 10 years, and the contracts they have with any state</w:t>
      </w:r>
      <w:r w:rsidR="00E23FD9">
        <w:rPr>
          <w:rFonts w:ascii="Times New Roman" w:hAnsi="Times New Roman" w:cs="Times New Roman"/>
          <w:sz w:val="24"/>
          <w:szCs w:val="24"/>
        </w:rPr>
        <w:t>-</w:t>
      </w:r>
      <w:r w:rsidR="0017107C" w:rsidRPr="00B66308">
        <w:rPr>
          <w:rFonts w:ascii="Times New Roman" w:hAnsi="Times New Roman" w:cs="Times New Roman"/>
          <w:sz w:val="24"/>
          <w:szCs w:val="24"/>
        </w:rPr>
        <w:t>owned entity or government department can be cancelled.</w:t>
      </w:r>
    </w:p>
    <w:p w14:paraId="1F65B20B" w14:textId="77777777" w:rsidR="0017107C" w:rsidRDefault="0017107C" w:rsidP="000C1D84">
      <w:pPr>
        <w:pStyle w:val="ListParagraph"/>
        <w:spacing w:line="360" w:lineRule="auto"/>
        <w:rPr>
          <w:rFonts w:ascii="Times New Roman" w:hAnsi="Times New Roman" w:cs="Times New Roman"/>
          <w:sz w:val="24"/>
          <w:szCs w:val="24"/>
        </w:rPr>
      </w:pPr>
    </w:p>
    <w:p w14:paraId="1B6C10F6" w14:textId="77777777" w:rsidR="0017107C" w:rsidRDefault="00901213"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 xml:space="preserve">The </w:t>
      </w:r>
      <w:r w:rsidR="0017107C" w:rsidRPr="000C1D84">
        <w:rPr>
          <w:rFonts w:ascii="Times New Roman" w:hAnsi="Times New Roman" w:cs="Times New Roman"/>
          <w:b/>
          <w:i/>
          <w:sz w:val="24"/>
          <w:szCs w:val="24"/>
        </w:rPr>
        <w:t>DTI’s role in developing the Mining Charter:</w:t>
      </w:r>
      <w:r w:rsidR="0017107C" w:rsidRPr="00B66308">
        <w:rPr>
          <w:rFonts w:ascii="Times New Roman" w:hAnsi="Times New Roman" w:cs="Times New Roman"/>
          <w:sz w:val="24"/>
          <w:szCs w:val="24"/>
        </w:rPr>
        <w:t xml:space="preserve"> The Committee enquired to the role</w:t>
      </w:r>
      <w:r w:rsidR="00D21F9D">
        <w:rPr>
          <w:rFonts w:ascii="Times New Roman" w:hAnsi="Times New Roman" w:cs="Times New Roman"/>
          <w:sz w:val="24"/>
          <w:szCs w:val="24"/>
        </w:rPr>
        <w:t xml:space="preserve"> the</w:t>
      </w:r>
      <w:r w:rsidR="0017107C" w:rsidRPr="00B66308">
        <w:rPr>
          <w:rFonts w:ascii="Times New Roman" w:hAnsi="Times New Roman" w:cs="Times New Roman"/>
          <w:sz w:val="24"/>
          <w:szCs w:val="24"/>
        </w:rPr>
        <w:t xml:space="preserve"> DTI played in the development of the </w:t>
      </w:r>
      <w:r w:rsidR="00D21F9D" w:rsidRPr="00B66308">
        <w:rPr>
          <w:rFonts w:ascii="Times New Roman" w:hAnsi="Times New Roman" w:cs="Times New Roman"/>
          <w:sz w:val="24"/>
          <w:szCs w:val="24"/>
        </w:rPr>
        <w:t>Mining Charter</w:t>
      </w:r>
      <w:r w:rsidR="0017107C" w:rsidRPr="00B66308">
        <w:rPr>
          <w:rFonts w:ascii="Times New Roman" w:hAnsi="Times New Roman" w:cs="Times New Roman"/>
          <w:sz w:val="24"/>
          <w:szCs w:val="24"/>
        </w:rPr>
        <w:t xml:space="preserve">, and whether </w:t>
      </w:r>
      <w:r w:rsidR="00D21F9D">
        <w:rPr>
          <w:rFonts w:ascii="Times New Roman" w:hAnsi="Times New Roman" w:cs="Times New Roman"/>
          <w:sz w:val="24"/>
          <w:szCs w:val="24"/>
        </w:rPr>
        <w:t xml:space="preserve">this </w:t>
      </w:r>
      <w:r w:rsidR="0017107C" w:rsidRPr="00B66308">
        <w:rPr>
          <w:rFonts w:ascii="Times New Roman" w:hAnsi="Times New Roman" w:cs="Times New Roman"/>
          <w:sz w:val="24"/>
          <w:szCs w:val="24"/>
        </w:rPr>
        <w:t xml:space="preserve">would contribute to investment and job creation. The Minister informed the Committee that the </w:t>
      </w:r>
      <w:r w:rsidR="00D21F9D" w:rsidRPr="00B66308">
        <w:rPr>
          <w:rFonts w:ascii="Times New Roman" w:hAnsi="Times New Roman" w:cs="Times New Roman"/>
          <w:sz w:val="24"/>
          <w:szCs w:val="24"/>
        </w:rPr>
        <w:t xml:space="preserve">Mining Charter </w:t>
      </w:r>
      <w:r w:rsidR="0017107C" w:rsidRPr="00B66308">
        <w:rPr>
          <w:rFonts w:ascii="Times New Roman" w:hAnsi="Times New Roman" w:cs="Times New Roman"/>
          <w:sz w:val="24"/>
          <w:szCs w:val="24"/>
        </w:rPr>
        <w:t>was develop</w:t>
      </w:r>
      <w:r w:rsidR="00D21F9D">
        <w:rPr>
          <w:rFonts w:ascii="Times New Roman" w:hAnsi="Times New Roman" w:cs="Times New Roman"/>
          <w:sz w:val="24"/>
          <w:szCs w:val="24"/>
        </w:rPr>
        <w:t>ed</w:t>
      </w:r>
      <w:r w:rsidR="003B2E56">
        <w:rPr>
          <w:rFonts w:ascii="Times New Roman" w:hAnsi="Times New Roman" w:cs="Times New Roman"/>
          <w:sz w:val="24"/>
          <w:szCs w:val="24"/>
        </w:rPr>
        <w:t xml:space="preserve"> by the Department of Mineral</w:t>
      </w:r>
      <w:r w:rsidR="0017107C" w:rsidRPr="00B66308">
        <w:rPr>
          <w:rFonts w:ascii="Times New Roman" w:hAnsi="Times New Roman" w:cs="Times New Roman"/>
          <w:sz w:val="24"/>
          <w:szCs w:val="24"/>
        </w:rPr>
        <w:t xml:space="preserve"> Resources </w:t>
      </w:r>
      <w:r w:rsidR="003B2E56">
        <w:rPr>
          <w:rFonts w:ascii="Times New Roman" w:hAnsi="Times New Roman" w:cs="Times New Roman"/>
          <w:sz w:val="24"/>
          <w:szCs w:val="24"/>
        </w:rPr>
        <w:t xml:space="preserve">in compliance with </w:t>
      </w:r>
      <w:r w:rsidR="0017107C" w:rsidRPr="00B66308">
        <w:rPr>
          <w:rFonts w:ascii="Times New Roman" w:hAnsi="Times New Roman" w:cs="Times New Roman"/>
          <w:sz w:val="24"/>
          <w:szCs w:val="24"/>
        </w:rPr>
        <w:t>the Mineral and Petroleum Resource</w:t>
      </w:r>
      <w:r w:rsidR="00D21F9D">
        <w:rPr>
          <w:rFonts w:ascii="Times New Roman" w:hAnsi="Times New Roman" w:cs="Times New Roman"/>
          <w:sz w:val="24"/>
          <w:szCs w:val="24"/>
        </w:rPr>
        <w:t>s</w:t>
      </w:r>
      <w:r w:rsidR="0017107C" w:rsidRPr="00B66308">
        <w:rPr>
          <w:rFonts w:ascii="Times New Roman" w:hAnsi="Times New Roman" w:cs="Times New Roman"/>
          <w:sz w:val="24"/>
          <w:szCs w:val="24"/>
        </w:rPr>
        <w:t xml:space="preserve"> Development Act</w:t>
      </w:r>
      <w:r w:rsidR="00894911">
        <w:rPr>
          <w:rFonts w:ascii="Times New Roman" w:hAnsi="Times New Roman" w:cs="Times New Roman"/>
          <w:sz w:val="24"/>
          <w:szCs w:val="24"/>
        </w:rPr>
        <w:t xml:space="preserve"> (No. 28 of 2002)</w:t>
      </w:r>
      <w:r w:rsidR="0017107C" w:rsidRPr="00B66308">
        <w:rPr>
          <w:rFonts w:ascii="Times New Roman" w:hAnsi="Times New Roman" w:cs="Times New Roman"/>
          <w:sz w:val="24"/>
          <w:szCs w:val="24"/>
        </w:rPr>
        <w:t xml:space="preserve">, and not </w:t>
      </w:r>
      <w:r w:rsidR="003B2E56">
        <w:rPr>
          <w:rFonts w:ascii="Times New Roman" w:hAnsi="Times New Roman" w:cs="Times New Roman"/>
          <w:sz w:val="24"/>
          <w:szCs w:val="24"/>
        </w:rPr>
        <w:t xml:space="preserve">with the B-BBEE </w:t>
      </w:r>
      <w:r w:rsidR="0017107C" w:rsidRPr="00B66308">
        <w:rPr>
          <w:rFonts w:ascii="Times New Roman" w:hAnsi="Times New Roman" w:cs="Times New Roman"/>
          <w:sz w:val="24"/>
          <w:szCs w:val="24"/>
        </w:rPr>
        <w:t xml:space="preserve">legislation. </w:t>
      </w:r>
      <w:r w:rsidR="003B2E56">
        <w:rPr>
          <w:rFonts w:ascii="Times New Roman" w:hAnsi="Times New Roman" w:cs="Times New Roman"/>
          <w:sz w:val="24"/>
          <w:szCs w:val="24"/>
        </w:rPr>
        <w:t xml:space="preserve">The </w:t>
      </w:r>
      <w:r w:rsidR="0017107C" w:rsidRPr="00B66308">
        <w:rPr>
          <w:rFonts w:ascii="Times New Roman" w:hAnsi="Times New Roman" w:cs="Times New Roman"/>
          <w:sz w:val="24"/>
          <w:szCs w:val="24"/>
        </w:rPr>
        <w:t>DTI</w:t>
      </w:r>
      <w:r w:rsidR="003B2E56">
        <w:rPr>
          <w:rFonts w:ascii="Times New Roman" w:hAnsi="Times New Roman" w:cs="Times New Roman"/>
          <w:sz w:val="24"/>
          <w:szCs w:val="24"/>
        </w:rPr>
        <w:t>’</w:t>
      </w:r>
      <w:r w:rsidR="0017107C" w:rsidRPr="00B66308">
        <w:rPr>
          <w:rFonts w:ascii="Times New Roman" w:hAnsi="Times New Roman" w:cs="Times New Roman"/>
          <w:sz w:val="24"/>
          <w:szCs w:val="24"/>
        </w:rPr>
        <w:t>s contribution was merely technical. The Minister was of the view that ownership patterns in the industry need</w:t>
      </w:r>
      <w:r w:rsidR="003B2E56">
        <w:rPr>
          <w:rFonts w:ascii="Times New Roman" w:hAnsi="Times New Roman" w:cs="Times New Roman"/>
          <w:sz w:val="24"/>
          <w:szCs w:val="24"/>
        </w:rPr>
        <w:t>ed</w:t>
      </w:r>
      <w:r w:rsidR="0017107C" w:rsidRPr="00B66308">
        <w:rPr>
          <w:rFonts w:ascii="Times New Roman" w:hAnsi="Times New Roman" w:cs="Times New Roman"/>
          <w:sz w:val="24"/>
          <w:szCs w:val="24"/>
        </w:rPr>
        <w:t xml:space="preserve"> to change, but this should be through robust engagement with all role-players in the mining industry. </w:t>
      </w:r>
    </w:p>
    <w:p w14:paraId="1BD3735A" w14:textId="77777777" w:rsidR="00443C0F" w:rsidRPr="000C1D84" w:rsidRDefault="00443C0F" w:rsidP="000C1D84">
      <w:pPr>
        <w:spacing w:line="360" w:lineRule="auto"/>
        <w:rPr>
          <w:rFonts w:ascii="Times New Roman" w:hAnsi="Times New Roman" w:cs="Times New Roman"/>
          <w:sz w:val="24"/>
          <w:szCs w:val="24"/>
        </w:rPr>
      </w:pPr>
    </w:p>
    <w:p w14:paraId="19FD1033" w14:textId="77777777" w:rsidR="00AA7172" w:rsidRDefault="00AA7172"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Virement:</w:t>
      </w:r>
      <w:r w:rsidRPr="000C1D84">
        <w:rPr>
          <w:rFonts w:ascii="Times New Roman" w:hAnsi="Times New Roman" w:cs="Times New Roman"/>
          <w:sz w:val="24"/>
          <w:szCs w:val="24"/>
        </w:rPr>
        <w:t xml:space="preserve"> </w:t>
      </w:r>
      <w:r w:rsidRPr="00B66308">
        <w:rPr>
          <w:rFonts w:ascii="Times New Roman" w:hAnsi="Times New Roman" w:cs="Times New Roman"/>
          <w:sz w:val="24"/>
          <w:szCs w:val="24"/>
        </w:rPr>
        <w:t>The Committee noted that the budget for the Consumer and Corporate Regulation</w:t>
      </w:r>
      <w:r w:rsidR="003B2E56">
        <w:rPr>
          <w:rFonts w:ascii="Times New Roman" w:hAnsi="Times New Roman" w:cs="Times New Roman"/>
          <w:sz w:val="24"/>
          <w:szCs w:val="24"/>
        </w:rPr>
        <w:t xml:space="preserve"> Division</w:t>
      </w:r>
      <w:r w:rsidRPr="00B66308">
        <w:rPr>
          <w:rFonts w:ascii="Times New Roman" w:hAnsi="Times New Roman" w:cs="Times New Roman"/>
          <w:sz w:val="24"/>
          <w:szCs w:val="24"/>
        </w:rPr>
        <w:t xml:space="preserve"> (CCR</w:t>
      </w:r>
      <w:r w:rsidR="00901213">
        <w:rPr>
          <w:rFonts w:ascii="Times New Roman" w:hAnsi="Times New Roman" w:cs="Times New Roman"/>
          <w:sz w:val="24"/>
          <w:szCs w:val="24"/>
        </w:rPr>
        <w:t>D</w:t>
      </w:r>
      <w:r w:rsidRPr="00B66308">
        <w:rPr>
          <w:rFonts w:ascii="Times New Roman" w:hAnsi="Times New Roman" w:cs="Times New Roman"/>
          <w:sz w:val="24"/>
          <w:szCs w:val="24"/>
        </w:rPr>
        <w:t xml:space="preserve">) </w:t>
      </w:r>
      <w:r w:rsidR="003B2E56">
        <w:rPr>
          <w:rFonts w:ascii="Times New Roman" w:hAnsi="Times New Roman" w:cs="Times New Roman"/>
          <w:sz w:val="24"/>
          <w:szCs w:val="24"/>
        </w:rPr>
        <w:t xml:space="preserve">had been </w:t>
      </w:r>
      <w:r w:rsidR="003B2E56" w:rsidRPr="00B66308">
        <w:rPr>
          <w:rFonts w:ascii="Times New Roman" w:hAnsi="Times New Roman" w:cs="Times New Roman"/>
          <w:sz w:val="24"/>
          <w:szCs w:val="24"/>
        </w:rPr>
        <w:t xml:space="preserve">fully </w:t>
      </w:r>
      <w:r w:rsidRPr="00B66308">
        <w:rPr>
          <w:rFonts w:ascii="Times New Roman" w:hAnsi="Times New Roman" w:cs="Times New Roman"/>
          <w:sz w:val="24"/>
          <w:szCs w:val="24"/>
        </w:rPr>
        <w:t>spent, but a request for a virement of R1.4</w:t>
      </w:r>
      <w:r w:rsidR="003B2E56">
        <w:rPr>
          <w:rFonts w:ascii="Times New Roman" w:hAnsi="Times New Roman" w:cs="Times New Roman"/>
          <w:sz w:val="24"/>
          <w:szCs w:val="24"/>
        </w:rPr>
        <w:t> </w:t>
      </w:r>
      <w:r w:rsidRPr="00B66308">
        <w:rPr>
          <w:rFonts w:ascii="Times New Roman" w:hAnsi="Times New Roman" w:cs="Times New Roman"/>
          <w:sz w:val="24"/>
          <w:szCs w:val="24"/>
        </w:rPr>
        <w:t xml:space="preserve">million to this programme was approved. This was done notwithstanding the fact that the </w:t>
      </w:r>
      <w:r w:rsidR="003B2E56" w:rsidRPr="00B66308">
        <w:rPr>
          <w:rFonts w:ascii="Times New Roman" w:hAnsi="Times New Roman" w:cs="Times New Roman"/>
          <w:sz w:val="24"/>
          <w:szCs w:val="24"/>
        </w:rPr>
        <w:t xml:space="preserve">Division </w:t>
      </w:r>
      <w:r w:rsidR="003B2E56">
        <w:rPr>
          <w:rFonts w:ascii="Times New Roman" w:hAnsi="Times New Roman" w:cs="Times New Roman"/>
          <w:sz w:val="24"/>
          <w:szCs w:val="24"/>
        </w:rPr>
        <w:t xml:space="preserve">had </w:t>
      </w:r>
      <w:r w:rsidRPr="00B66308">
        <w:rPr>
          <w:rFonts w:ascii="Times New Roman" w:hAnsi="Times New Roman" w:cs="Times New Roman"/>
          <w:sz w:val="24"/>
          <w:szCs w:val="24"/>
        </w:rPr>
        <w:t xml:space="preserve">not met all its targets. The Committee enquired to the reasons for the allocation of the R1.4 million virement. The DTI informed the Committee that all virements require National Treasury approval. The request for additional funding was for legal fees with respect to the legislation introduced in Parliament, and to augment their operational budget.  </w:t>
      </w:r>
    </w:p>
    <w:p w14:paraId="1C633977" w14:textId="77777777" w:rsidR="00443C0F" w:rsidRPr="000C1D84" w:rsidRDefault="00443C0F" w:rsidP="000C1D84">
      <w:pPr>
        <w:spacing w:line="360" w:lineRule="auto"/>
        <w:rPr>
          <w:rFonts w:ascii="Times New Roman" w:hAnsi="Times New Roman" w:cs="Times New Roman"/>
          <w:sz w:val="24"/>
          <w:szCs w:val="24"/>
        </w:rPr>
      </w:pPr>
    </w:p>
    <w:p w14:paraId="25A041E7" w14:textId="77777777" w:rsidR="001937F2" w:rsidRDefault="001937F2"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Overpayment of salaries:</w:t>
      </w:r>
      <w:r w:rsidRPr="000C1D84">
        <w:rPr>
          <w:rFonts w:ascii="Times New Roman" w:hAnsi="Times New Roman" w:cs="Times New Roman"/>
          <w:sz w:val="24"/>
          <w:szCs w:val="24"/>
        </w:rPr>
        <w:t xml:space="preserve"> </w:t>
      </w:r>
      <w:r w:rsidRPr="00B66308">
        <w:rPr>
          <w:rFonts w:ascii="Times New Roman" w:hAnsi="Times New Roman" w:cs="Times New Roman"/>
          <w:sz w:val="24"/>
          <w:szCs w:val="24"/>
        </w:rPr>
        <w:t>The Committee enquired to the reasons for the overpayment of salaries. The DTI informed the Committee that the overpayment of salaries relate</w:t>
      </w:r>
      <w:r w:rsidR="003B2E56">
        <w:rPr>
          <w:rFonts w:ascii="Times New Roman" w:hAnsi="Times New Roman" w:cs="Times New Roman"/>
          <w:sz w:val="24"/>
          <w:szCs w:val="24"/>
        </w:rPr>
        <w:t>d</w:t>
      </w:r>
      <w:r w:rsidRPr="00B66308">
        <w:rPr>
          <w:rFonts w:ascii="Times New Roman" w:hAnsi="Times New Roman" w:cs="Times New Roman"/>
          <w:sz w:val="24"/>
          <w:szCs w:val="24"/>
        </w:rPr>
        <w:t xml:space="preserve"> to employees that resigned during the year. One of the inherent limitations </w:t>
      </w:r>
      <w:r w:rsidR="003B2E56">
        <w:rPr>
          <w:rFonts w:ascii="Times New Roman" w:hAnsi="Times New Roman" w:cs="Times New Roman"/>
          <w:sz w:val="24"/>
          <w:szCs w:val="24"/>
        </w:rPr>
        <w:t>to the salary system was</w:t>
      </w:r>
      <w:r w:rsidRPr="00B66308">
        <w:rPr>
          <w:rFonts w:ascii="Times New Roman" w:hAnsi="Times New Roman" w:cs="Times New Roman"/>
          <w:sz w:val="24"/>
          <w:szCs w:val="24"/>
        </w:rPr>
        <w:t xml:space="preserve"> that all government employees receive</w:t>
      </w:r>
      <w:r w:rsidR="003B2E56">
        <w:rPr>
          <w:rFonts w:ascii="Times New Roman" w:hAnsi="Times New Roman" w:cs="Times New Roman"/>
          <w:sz w:val="24"/>
          <w:szCs w:val="24"/>
        </w:rPr>
        <w:t>d</w:t>
      </w:r>
      <w:r w:rsidRPr="00B66308">
        <w:rPr>
          <w:rFonts w:ascii="Times New Roman" w:hAnsi="Times New Roman" w:cs="Times New Roman"/>
          <w:sz w:val="24"/>
          <w:szCs w:val="24"/>
        </w:rPr>
        <w:t xml:space="preserve"> their salaries on </w:t>
      </w:r>
      <w:r w:rsidR="003B2E56">
        <w:rPr>
          <w:rFonts w:ascii="Times New Roman" w:hAnsi="Times New Roman" w:cs="Times New Roman"/>
          <w:sz w:val="24"/>
          <w:szCs w:val="24"/>
        </w:rPr>
        <w:t xml:space="preserve">the </w:t>
      </w:r>
      <w:r w:rsidRPr="00B66308">
        <w:rPr>
          <w:rFonts w:ascii="Times New Roman" w:hAnsi="Times New Roman" w:cs="Times New Roman"/>
          <w:sz w:val="24"/>
          <w:szCs w:val="24"/>
        </w:rPr>
        <w:t>15</w:t>
      </w:r>
      <w:r w:rsidR="003B2E56">
        <w:rPr>
          <w:rFonts w:ascii="Times New Roman" w:hAnsi="Times New Roman" w:cs="Times New Roman"/>
          <w:sz w:val="24"/>
          <w:szCs w:val="24"/>
        </w:rPr>
        <w:t>th</w:t>
      </w:r>
      <w:r w:rsidRPr="00B66308">
        <w:rPr>
          <w:rFonts w:ascii="Times New Roman" w:hAnsi="Times New Roman" w:cs="Times New Roman"/>
          <w:sz w:val="24"/>
          <w:szCs w:val="24"/>
        </w:rPr>
        <w:t xml:space="preserve"> of each month. If any staff member resign</w:t>
      </w:r>
      <w:r w:rsidR="003B2E56">
        <w:rPr>
          <w:rFonts w:ascii="Times New Roman" w:hAnsi="Times New Roman" w:cs="Times New Roman"/>
          <w:sz w:val="24"/>
          <w:szCs w:val="24"/>
        </w:rPr>
        <w:t>ed</w:t>
      </w:r>
      <w:r w:rsidRPr="00B66308">
        <w:rPr>
          <w:rFonts w:ascii="Times New Roman" w:hAnsi="Times New Roman" w:cs="Times New Roman"/>
          <w:sz w:val="24"/>
          <w:szCs w:val="24"/>
        </w:rPr>
        <w:t xml:space="preserve"> soon after pay day, </w:t>
      </w:r>
      <w:r w:rsidR="003B2E56">
        <w:rPr>
          <w:rFonts w:ascii="Times New Roman" w:hAnsi="Times New Roman" w:cs="Times New Roman"/>
          <w:sz w:val="24"/>
          <w:szCs w:val="24"/>
        </w:rPr>
        <w:t xml:space="preserve">the </w:t>
      </w:r>
      <w:r w:rsidRPr="00B66308">
        <w:rPr>
          <w:rFonts w:ascii="Times New Roman" w:hAnsi="Times New Roman" w:cs="Times New Roman"/>
          <w:sz w:val="24"/>
          <w:szCs w:val="24"/>
        </w:rPr>
        <w:t xml:space="preserve">DTI would recover the money </w:t>
      </w:r>
      <w:r w:rsidR="003B2E56">
        <w:rPr>
          <w:rFonts w:ascii="Times New Roman" w:hAnsi="Times New Roman" w:cs="Times New Roman"/>
          <w:sz w:val="24"/>
          <w:szCs w:val="24"/>
        </w:rPr>
        <w:t xml:space="preserve">from </w:t>
      </w:r>
      <w:r w:rsidRPr="00B66308">
        <w:rPr>
          <w:rFonts w:ascii="Times New Roman" w:hAnsi="Times New Roman" w:cs="Times New Roman"/>
          <w:sz w:val="24"/>
          <w:szCs w:val="24"/>
        </w:rPr>
        <w:t>the employee’s pension fund. All monies owed to the DTI is recovered through debt management practices</w:t>
      </w:r>
      <w:r w:rsidR="003B2E56">
        <w:rPr>
          <w:rFonts w:ascii="Times New Roman" w:hAnsi="Times New Roman" w:cs="Times New Roman"/>
          <w:sz w:val="24"/>
          <w:szCs w:val="24"/>
        </w:rPr>
        <w:t>.</w:t>
      </w:r>
    </w:p>
    <w:p w14:paraId="100D1330" w14:textId="77777777" w:rsidR="00443C0F" w:rsidRPr="000C1D84" w:rsidRDefault="00443C0F" w:rsidP="000C1D84">
      <w:pPr>
        <w:spacing w:line="360" w:lineRule="auto"/>
        <w:rPr>
          <w:rFonts w:ascii="Times New Roman" w:hAnsi="Times New Roman" w:cs="Times New Roman"/>
          <w:sz w:val="24"/>
          <w:szCs w:val="24"/>
        </w:rPr>
      </w:pPr>
    </w:p>
    <w:p w14:paraId="60A5CADD" w14:textId="77777777" w:rsidR="00C14410" w:rsidRDefault="00C14410"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Quality of legislation introduced in Parliament:</w:t>
      </w:r>
      <w:r w:rsidRPr="000C1D84">
        <w:rPr>
          <w:rFonts w:ascii="Times New Roman" w:hAnsi="Times New Roman" w:cs="Times New Roman"/>
          <w:sz w:val="24"/>
          <w:szCs w:val="24"/>
        </w:rPr>
        <w:t xml:space="preserve"> </w:t>
      </w:r>
      <w:r w:rsidRPr="00B66308">
        <w:rPr>
          <w:rFonts w:ascii="Times New Roman" w:hAnsi="Times New Roman" w:cs="Times New Roman"/>
          <w:sz w:val="24"/>
          <w:szCs w:val="24"/>
        </w:rPr>
        <w:t xml:space="preserve">The Committee raised a number of concerns with respect to </w:t>
      </w:r>
      <w:r w:rsidR="003B2E56">
        <w:rPr>
          <w:rFonts w:ascii="Times New Roman" w:hAnsi="Times New Roman" w:cs="Times New Roman"/>
          <w:sz w:val="24"/>
          <w:szCs w:val="24"/>
        </w:rPr>
        <w:t xml:space="preserve">the </w:t>
      </w:r>
      <w:r w:rsidRPr="00B66308">
        <w:rPr>
          <w:rFonts w:ascii="Times New Roman" w:hAnsi="Times New Roman" w:cs="Times New Roman"/>
          <w:sz w:val="24"/>
          <w:szCs w:val="24"/>
        </w:rPr>
        <w:t xml:space="preserve">quality of legislation introduced in Parliament especially in </w:t>
      </w:r>
      <w:r w:rsidR="003B2E56">
        <w:rPr>
          <w:rFonts w:ascii="Times New Roman" w:hAnsi="Times New Roman" w:cs="Times New Roman"/>
          <w:sz w:val="24"/>
          <w:szCs w:val="24"/>
        </w:rPr>
        <w:t>light of</w:t>
      </w:r>
      <w:r w:rsidRPr="00B66308">
        <w:rPr>
          <w:rFonts w:ascii="Times New Roman" w:hAnsi="Times New Roman" w:cs="Times New Roman"/>
          <w:sz w:val="24"/>
          <w:szCs w:val="24"/>
        </w:rPr>
        <w:t xml:space="preserve"> the Copyright Amendment Bill.</w:t>
      </w:r>
      <w:r w:rsidRPr="000C1D84">
        <w:rPr>
          <w:rFonts w:ascii="Times New Roman" w:hAnsi="Times New Roman" w:cs="Times New Roman"/>
          <w:sz w:val="24"/>
          <w:szCs w:val="24"/>
        </w:rPr>
        <w:t xml:space="preserve"> </w:t>
      </w:r>
      <w:r w:rsidRPr="00B66308">
        <w:rPr>
          <w:rFonts w:ascii="Times New Roman" w:hAnsi="Times New Roman" w:cs="Times New Roman"/>
          <w:sz w:val="24"/>
          <w:szCs w:val="24"/>
        </w:rPr>
        <w:t xml:space="preserve">The Committee would like to enquire to the steps being </w:t>
      </w:r>
      <w:r w:rsidR="003B2E56">
        <w:rPr>
          <w:rFonts w:ascii="Times New Roman" w:hAnsi="Times New Roman" w:cs="Times New Roman"/>
          <w:sz w:val="24"/>
          <w:szCs w:val="24"/>
        </w:rPr>
        <w:t>taken</w:t>
      </w:r>
      <w:r w:rsidR="003B2E56" w:rsidRPr="00B66308">
        <w:rPr>
          <w:rFonts w:ascii="Times New Roman" w:hAnsi="Times New Roman" w:cs="Times New Roman"/>
          <w:sz w:val="24"/>
          <w:szCs w:val="24"/>
        </w:rPr>
        <w:t xml:space="preserve"> </w:t>
      </w:r>
      <w:r w:rsidRPr="00B66308">
        <w:rPr>
          <w:rFonts w:ascii="Times New Roman" w:hAnsi="Times New Roman" w:cs="Times New Roman"/>
          <w:sz w:val="24"/>
          <w:szCs w:val="24"/>
        </w:rPr>
        <w:t xml:space="preserve">by the DTI to address this challenge. The Minister informed the Committee that the Bill </w:t>
      </w:r>
      <w:r w:rsidR="003B2E56">
        <w:rPr>
          <w:rFonts w:ascii="Times New Roman" w:hAnsi="Times New Roman" w:cs="Times New Roman"/>
          <w:sz w:val="24"/>
          <w:szCs w:val="24"/>
        </w:rPr>
        <w:t>had been</w:t>
      </w:r>
      <w:r w:rsidR="003B2E56" w:rsidRPr="00B66308">
        <w:rPr>
          <w:rFonts w:ascii="Times New Roman" w:hAnsi="Times New Roman" w:cs="Times New Roman"/>
          <w:sz w:val="24"/>
          <w:szCs w:val="24"/>
        </w:rPr>
        <w:t xml:space="preserve"> </w:t>
      </w:r>
      <w:r w:rsidRPr="00B66308">
        <w:rPr>
          <w:rFonts w:ascii="Times New Roman" w:hAnsi="Times New Roman" w:cs="Times New Roman"/>
          <w:sz w:val="24"/>
          <w:szCs w:val="24"/>
        </w:rPr>
        <w:t>introduced to implement the recommendations of the Farlam Commission, especially in relation to needle time and the payment of South African artists. The DTI acknowledge</w:t>
      </w:r>
      <w:r w:rsidR="003B2E56">
        <w:rPr>
          <w:rFonts w:ascii="Times New Roman" w:hAnsi="Times New Roman" w:cs="Times New Roman"/>
          <w:sz w:val="24"/>
          <w:szCs w:val="24"/>
        </w:rPr>
        <w:t>d</w:t>
      </w:r>
      <w:r w:rsidRPr="00B66308">
        <w:rPr>
          <w:rFonts w:ascii="Times New Roman" w:hAnsi="Times New Roman" w:cs="Times New Roman"/>
          <w:sz w:val="24"/>
          <w:szCs w:val="24"/>
        </w:rPr>
        <w:t xml:space="preserve"> the internal weakness with regard to the technical drafting of the legislation within the </w:t>
      </w:r>
      <w:r w:rsidR="003B2E56" w:rsidRPr="00B66308">
        <w:rPr>
          <w:rFonts w:ascii="Times New Roman" w:hAnsi="Times New Roman" w:cs="Times New Roman"/>
          <w:sz w:val="24"/>
          <w:szCs w:val="24"/>
        </w:rPr>
        <w:t>Division</w:t>
      </w:r>
      <w:r w:rsidRPr="00B66308">
        <w:rPr>
          <w:rFonts w:ascii="Times New Roman" w:hAnsi="Times New Roman" w:cs="Times New Roman"/>
          <w:sz w:val="24"/>
          <w:szCs w:val="24"/>
        </w:rPr>
        <w:t xml:space="preserve">, and had put </w:t>
      </w:r>
      <w:r w:rsidR="003B2E56">
        <w:rPr>
          <w:rFonts w:ascii="Times New Roman" w:hAnsi="Times New Roman" w:cs="Times New Roman"/>
          <w:sz w:val="24"/>
          <w:szCs w:val="24"/>
        </w:rPr>
        <w:t xml:space="preserve">in </w:t>
      </w:r>
      <w:r w:rsidRPr="00B66308">
        <w:rPr>
          <w:rFonts w:ascii="Times New Roman" w:hAnsi="Times New Roman" w:cs="Times New Roman"/>
          <w:sz w:val="24"/>
          <w:szCs w:val="24"/>
        </w:rPr>
        <w:t>place the necessary measures such as a training programme. The DTI accept</w:t>
      </w:r>
      <w:r w:rsidR="003B2E56">
        <w:rPr>
          <w:rFonts w:ascii="Times New Roman" w:hAnsi="Times New Roman" w:cs="Times New Roman"/>
          <w:sz w:val="24"/>
          <w:szCs w:val="24"/>
        </w:rPr>
        <w:t>ed</w:t>
      </w:r>
      <w:r w:rsidRPr="00B66308">
        <w:rPr>
          <w:rFonts w:ascii="Times New Roman" w:hAnsi="Times New Roman" w:cs="Times New Roman"/>
          <w:sz w:val="24"/>
          <w:szCs w:val="24"/>
        </w:rPr>
        <w:t xml:space="preserve"> that the drafting of the Bill </w:t>
      </w:r>
      <w:r w:rsidR="003B2E56">
        <w:rPr>
          <w:rFonts w:ascii="Times New Roman" w:hAnsi="Times New Roman" w:cs="Times New Roman"/>
          <w:sz w:val="24"/>
          <w:szCs w:val="24"/>
        </w:rPr>
        <w:t xml:space="preserve">had </w:t>
      </w:r>
      <w:r w:rsidRPr="00B66308">
        <w:rPr>
          <w:rFonts w:ascii="Times New Roman" w:hAnsi="Times New Roman" w:cs="Times New Roman"/>
          <w:sz w:val="24"/>
          <w:szCs w:val="24"/>
        </w:rPr>
        <w:t xml:space="preserve">not </w:t>
      </w:r>
      <w:r w:rsidR="003B2E56">
        <w:rPr>
          <w:rFonts w:ascii="Times New Roman" w:hAnsi="Times New Roman" w:cs="Times New Roman"/>
          <w:sz w:val="24"/>
          <w:szCs w:val="24"/>
        </w:rPr>
        <w:t xml:space="preserve">been </w:t>
      </w:r>
      <w:r w:rsidRPr="00B66308">
        <w:rPr>
          <w:rFonts w:ascii="Times New Roman" w:hAnsi="Times New Roman" w:cs="Times New Roman"/>
          <w:sz w:val="24"/>
          <w:szCs w:val="24"/>
        </w:rPr>
        <w:t xml:space="preserve">acceptable. The necessary technical assistance with regard to drafting would be sought especially in relation to the drafting of the B-Bill. The DTI, therefore, informed the Committee that they would be delaying </w:t>
      </w:r>
      <w:r w:rsidR="003B2E56">
        <w:rPr>
          <w:rFonts w:ascii="Times New Roman" w:hAnsi="Times New Roman" w:cs="Times New Roman"/>
          <w:sz w:val="24"/>
          <w:szCs w:val="24"/>
        </w:rPr>
        <w:t xml:space="preserve">the </w:t>
      </w:r>
      <w:r w:rsidRPr="00B66308">
        <w:rPr>
          <w:rFonts w:ascii="Times New Roman" w:hAnsi="Times New Roman" w:cs="Times New Roman"/>
          <w:sz w:val="24"/>
          <w:szCs w:val="24"/>
        </w:rPr>
        <w:t>liquor and gambling legislation to address this shortcoming. The Minister welcomed the approach of the Committee to develop a B-Bill on the Copyright Amendment Bill</w:t>
      </w:r>
      <w:r w:rsidR="003B2E56">
        <w:rPr>
          <w:rFonts w:ascii="Times New Roman" w:hAnsi="Times New Roman" w:cs="Times New Roman"/>
          <w:sz w:val="24"/>
          <w:szCs w:val="24"/>
        </w:rPr>
        <w:t xml:space="preserve"> to first address these technical challenges</w:t>
      </w:r>
      <w:r w:rsidRPr="00B66308">
        <w:rPr>
          <w:rFonts w:ascii="Times New Roman" w:hAnsi="Times New Roman" w:cs="Times New Roman"/>
          <w:sz w:val="24"/>
          <w:szCs w:val="24"/>
        </w:rPr>
        <w:t xml:space="preserve">. </w:t>
      </w:r>
    </w:p>
    <w:p w14:paraId="5364637D" w14:textId="77777777" w:rsidR="00443C0F" w:rsidRPr="000C1D84" w:rsidRDefault="00443C0F" w:rsidP="000C1D84">
      <w:pPr>
        <w:spacing w:line="360" w:lineRule="auto"/>
        <w:rPr>
          <w:rFonts w:ascii="Times New Roman" w:hAnsi="Times New Roman" w:cs="Times New Roman"/>
          <w:sz w:val="24"/>
          <w:szCs w:val="24"/>
        </w:rPr>
      </w:pPr>
    </w:p>
    <w:p w14:paraId="4D499F21" w14:textId="77777777" w:rsidR="00B14250" w:rsidRDefault="008F45B7"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Vacancies with</w:t>
      </w:r>
      <w:r w:rsidR="003B2E56" w:rsidRPr="000C1D84">
        <w:rPr>
          <w:rFonts w:ascii="Times New Roman" w:hAnsi="Times New Roman" w:cs="Times New Roman"/>
          <w:b/>
          <w:i/>
          <w:sz w:val="24"/>
          <w:szCs w:val="24"/>
        </w:rPr>
        <w:t>in the</w:t>
      </w:r>
      <w:r w:rsidRPr="000C1D84">
        <w:rPr>
          <w:rFonts w:ascii="Times New Roman" w:hAnsi="Times New Roman" w:cs="Times New Roman"/>
          <w:b/>
          <w:i/>
          <w:sz w:val="24"/>
          <w:szCs w:val="24"/>
        </w:rPr>
        <w:t xml:space="preserve"> DTI: </w:t>
      </w:r>
      <w:r w:rsidRPr="00B66308">
        <w:rPr>
          <w:rFonts w:ascii="Times New Roman" w:hAnsi="Times New Roman" w:cs="Times New Roman"/>
          <w:sz w:val="24"/>
          <w:szCs w:val="24"/>
        </w:rPr>
        <w:t xml:space="preserve">The Committee </w:t>
      </w:r>
      <w:r w:rsidR="00C14410" w:rsidRPr="00B66308">
        <w:rPr>
          <w:rFonts w:ascii="Times New Roman" w:hAnsi="Times New Roman" w:cs="Times New Roman"/>
          <w:sz w:val="24"/>
          <w:szCs w:val="24"/>
        </w:rPr>
        <w:t xml:space="preserve">noted with concern that key positions in the </w:t>
      </w:r>
      <w:r w:rsidR="00AB63A9">
        <w:rPr>
          <w:rFonts w:ascii="Times New Roman" w:hAnsi="Times New Roman" w:cs="Times New Roman"/>
          <w:sz w:val="24"/>
          <w:szCs w:val="24"/>
        </w:rPr>
        <w:t>DTI</w:t>
      </w:r>
      <w:r w:rsidR="003B2E56" w:rsidRPr="00B66308">
        <w:rPr>
          <w:rFonts w:ascii="Times New Roman" w:hAnsi="Times New Roman" w:cs="Times New Roman"/>
          <w:sz w:val="24"/>
          <w:szCs w:val="24"/>
        </w:rPr>
        <w:t xml:space="preserve"> </w:t>
      </w:r>
      <w:r w:rsidR="00C14410" w:rsidRPr="00B66308">
        <w:rPr>
          <w:rFonts w:ascii="Times New Roman" w:hAnsi="Times New Roman" w:cs="Times New Roman"/>
          <w:sz w:val="24"/>
          <w:szCs w:val="24"/>
        </w:rPr>
        <w:t xml:space="preserve">and certain entities had not yet been filled. The Committee </w:t>
      </w:r>
      <w:r w:rsidRPr="00B66308">
        <w:rPr>
          <w:rFonts w:ascii="Times New Roman" w:hAnsi="Times New Roman" w:cs="Times New Roman"/>
          <w:sz w:val="24"/>
          <w:szCs w:val="24"/>
        </w:rPr>
        <w:t>enquired when the vacancies</w:t>
      </w:r>
      <w:r w:rsidR="00C14410" w:rsidRPr="00B66308">
        <w:rPr>
          <w:rFonts w:ascii="Times New Roman" w:hAnsi="Times New Roman" w:cs="Times New Roman"/>
          <w:sz w:val="24"/>
          <w:szCs w:val="24"/>
        </w:rPr>
        <w:t>,</w:t>
      </w:r>
      <w:r w:rsidRPr="00B66308">
        <w:rPr>
          <w:rFonts w:ascii="Times New Roman" w:hAnsi="Times New Roman" w:cs="Times New Roman"/>
          <w:sz w:val="24"/>
          <w:szCs w:val="24"/>
        </w:rPr>
        <w:t xml:space="preserve"> especially in relation to </w:t>
      </w:r>
      <w:r w:rsidR="003B2E56">
        <w:rPr>
          <w:rFonts w:ascii="Times New Roman" w:hAnsi="Times New Roman" w:cs="Times New Roman"/>
          <w:sz w:val="24"/>
          <w:szCs w:val="24"/>
        </w:rPr>
        <w:t xml:space="preserve">the </w:t>
      </w:r>
      <w:r w:rsidRPr="00B66308">
        <w:rPr>
          <w:rFonts w:ascii="Times New Roman" w:hAnsi="Times New Roman" w:cs="Times New Roman"/>
          <w:sz w:val="24"/>
          <w:szCs w:val="24"/>
        </w:rPr>
        <w:t>position of Deputy Director-General</w:t>
      </w:r>
      <w:r w:rsidR="00C14410" w:rsidRPr="00B66308">
        <w:rPr>
          <w:rFonts w:ascii="Times New Roman" w:hAnsi="Times New Roman" w:cs="Times New Roman"/>
          <w:sz w:val="24"/>
          <w:szCs w:val="24"/>
        </w:rPr>
        <w:t xml:space="preserve"> (DDG)</w:t>
      </w:r>
      <w:r w:rsidRPr="00B66308">
        <w:rPr>
          <w:rFonts w:ascii="Times New Roman" w:hAnsi="Times New Roman" w:cs="Times New Roman"/>
          <w:sz w:val="24"/>
          <w:szCs w:val="24"/>
        </w:rPr>
        <w:t xml:space="preserve"> for the CCRD and the </w:t>
      </w:r>
      <w:r w:rsidR="00C14410" w:rsidRPr="00B66308">
        <w:rPr>
          <w:rFonts w:ascii="Times New Roman" w:hAnsi="Times New Roman" w:cs="Times New Roman"/>
          <w:sz w:val="24"/>
          <w:szCs w:val="24"/>
        </w:rPr>
        <w:t>Chief Executive Officer (</w:t>
      </w:r>
      <w:r w:rsidRPr="00B66308">
        <w:rPr>
          <w:rFonts w:ascii="Times New Roman" w:hAnsi="Times New Roman" w:cs="Times New Roman"/>
          <w:sz w:val="24"/>
          <w:szCs w:val="24"/>
        </w:rPr>
        <w:t>CEO</w:t>
      </w:r>
      <w:r w:rsidR="00C14410" w:rsidRPr="00B66308">
        <w:rPr>
          <w:rFonts w:ascii="Times New Roman" w:hAnsi="Times New Roman" w:cs="Times New Roman"/>
          <w:sz w:val="24"/>
          <w:szCs w:val="24"/>
        </w:rPr>
        <w:t xml:space="preserve">) of the NGB, </w:t>
      </w:r>
      <w:r w:rsidRPr="00B66308">
        <w:rPr>
          <w:rFonts w:ascii="Times New Roman" w:hAnsi="Times New Roman" w:cs="Times New Roman"/>
          <w:sz w:val="24"/>
          <w:szCs w:val="24"/>
        </w:rPr>
        <w:t>would be filled.</w:t>
      </w:r>
      <w:r w:rsidRPr="000C1D84">
        <w:rPr>
          <w:rFonts w:ascii="Times New Roman" w:hAnsi="Times New Roman" w:cs="Times New Roman"/>
          <w:sz w:val="24"/>
          <w:szCs w:val="24"/>
        </w:rPr>
        <w:t xml:space="preserve"> </w:t>
      </w:r>
      <w:r w:rsidRPr="00B66308">
        <w:rPr>
          <w:rFonts w:ascii="Times New Roman" w:hAnsi="Times New Roman" w:cs="Times New Roman"/>
          <w:sz w:val="24"/>
          <w:szCs w:val="24"/>
        </w:rPr>
        <w:t>The DTI informed the Committee that the position for the DDG</w:t>
      </w:r>
      <w:r w:rsidR="001B1E0C">
        <w:rPr>
          <w:rFonts w:ascii="Times New Roman" w:hAnsi="Times New Roman" w:cs="Times New Roman"/>
          <w:sz w:val="24"/>
          <w:szCs w:val="24"/>
        </w:rPr>
        <w:t xml:space="preserve"> position</w:t>
      </w:r>
      <w:r w:rsidRPr="00B66308">
        <w:rPr>
          <w:rFonts w:ascii="Times New Roman" w:hAnsi="Times New Roman" w:cs="Times New Roman"/>
          <w:sz w:val="24"/>
          <w:szCs w:val="24"/>
        </w:rPr>
        <w:t xml:space="preserve"> had been advertised with the closing date for applications </w:t>
      </w:r>
      <w:r w:rsidR="003B2E56">
        <w:rPr>
          <w:rFonts w:ascii="Times New Roman" w:hAnsi="Times New Roman" w:cs="Times New Roman"/>
          <w:sz w:val="24"/>
          <w:szCs w:val="24"/>
        </w:rPr>
        <w:t xml:space="preserve">set for </w:t>
      </w:r>
      <w:r w:rsidRPr="00B66308">
        <w:rPr>
          <w:rFonts w:ascii="Times New Roman" w:hAnsi="Times New Roman" w:cs="Times New Roman"/>
          <w:sz w:val="24"/>
          <w:szCs w:val="24"/>
        </w:rPr>
        <w:t>15 September 2017. With respect to the NGB</w:t>
      </w:r>
      <w:r w:rsidR="003B2E56">
        <w:rPr>
          <w:rFonts w:ascii="Times New Roman" w:hAnsi="Times New Roman" w:cs="Times New Roman"/>
          <w:sz w:val="24"/>
          <w:szCs w:val="24"/>
        </w:rPr>
        <w:t>, the</w:t>
      </w:r>
      <w:r w:rsidRPr="00B66308">
        <w:rPr>
          <w:rFonts w:ascii="Times New Roman" w:hAnsi="Times New Roman" w:cs="Times New Roman"/>
          <w:sz w:val="24"/>
          <w:szCs w:val="24"/>
        </w:rPr>
        <w:t xml:space="preserve"> DTI informed the Committee that legislation is currently being drafted that would change the structure of the NGB with the intention to do away with the Board</w:t>
      </w:r>
      <w:r w:rsidR="00C14410" w:rsidRPr="00B66308">
        <w:rPr>
          <w:rFonts w:ascii="Times New Roman" w:hAnsi="Times New Roman" w:cs="Times New Roman"/>
          <w:sz w:val="24"/>
          <w:szCs w:val="24"/>
        </w:rPr>
        <w:t>,</w:t>
      </w:r>
      <w:r w:rsidRPr="00B66308">
        <w:rPr>
          <w:rFonts w:ascii="Times New Roman" w:hAnsi="Times New Roman" w:cs="Times New Roman"/>
          <w:sz w:val="24"/>
          <w:szCs w:val="24"/>
        </w:rPr>
        <w:t xml:space="preserve"> and </w:t>
      </w:r>
      <w:r w:rsidR="003B2E56">
        <w:rPr>
          <w:rFonts w:ascii="Times New Roman" w:hAnsi="Times New Roman" w:cs="Times New Roman"/>
          <w:sz w:val="24"/>
          <w:szCs w:val="24"/>
        </w:rPr>
        <w:t>establish it as</w:t>
      </w:r>
      <w:r w:rsidR="003B2E56" w:rsidRPr="00B66308">
        <w:rPr>
          <w:rFonts w:ascii="Times New Roman" w:hAnsi="Times New Roman" w:cs="Times New Roman"/>
          <w:sz w:val="24"/>
          <w:szCs w:val="24"/>
        </w:rPr>
        <w:t xml:space="preserve"> </w:t>
      </w:r>
      <w:r w:rsidRPr="00B66308">
        <w:rPr>
          <w:rFonts w:ascii="Times New Roman" w:hAnsi="Times New Roman" w:cs="Times New Roman"/>
          <w:sz w:val="24"/>
          <w:szCs w:val="24"/>
        </w:rPr>
        <w:t xml:space="preserve">a gambling regulator. The position of gambling regulator would be filled once the </w:t>
      </w:r>
      <w:r w:rsidR="00965683" w:rsidRPr="00B66308">
        <w:rPr>
          <w:rFonts w:ascii="Times New Roman" w:hAnsi="Times New Roman" w:cs="Times New Roman"/>
          <w:sz w:val="24"/>
          <w:szCs w:val="24"/>
        </w:rPr>
        <w:t xml:space="preserve">relevant </w:t>
      </w:r>
      <w:r w:rsidRPr="00B66308">
        <w:rPr>
          <w:rFonts w:ascii="Times New Roman" w:hAnsi="Times New Roman" w:cs="Times New Roman"/>
          <w:sz w:val="24"/>
          <w:szCs w:val="24"/>
        </w:rPr>
        <w:t xml:space="preserve">legislation </w:t>
      </w:r>
      <w:r w:rsidR="003B2E56">
        <w:rPr>
          <w:rFonts w:ascii="Times New Roman" w:hAnsi="Times New Roman" w:cs="Times New Roman"/>
          <w:sz w:val="24"/>
          <w:szCs w:val="24"/>
        </w:rPr>
        <w:t>wa</w:t>
      </w:r>
      <w:r w:rsidRPr="00B66308">
        <w:rPr>
          <w:rFonts w:ascii="Times New Roman" w:hAnsi="Times New Roman" w:cs="Times New Roman"/>
          <w:sz w:val="24"/>
          <w:szCs w:val="24"/>
        </w:rPr>
        <w:t xml:space="preserve">s amended. </w:t>
      </w:r>
    </w:p>
    <w:p w14:paraId="1C6AA456" w14:textId="77777777" w:rsidR="00443C0F" w:rsidRPr="000C1D84" w:rsidRDefault="00443C0F" w:rsidP="000C1D84">
      <w:pPr>
        <w:spacing w:line="360" w:lineRule="auto"/>
        <w:rPr>
          <w:rFonts w:ascii="Times New Roman" w:hAnsi="Times New Roman" w:cs="Times New Roman"/>
          <w:sz w:val="24"/>
          <w:szCs w:val="24"/>
        </w:rPr>
      </w:pPr>
    </w:p>
    <w:p w14:paraId="422F2792" w14:textId="77777777" w:rsidR="002A1164" w:rsidRPr="00B66308" w:rsidRDefault="00D504BF" w:rsidP="009D5D24">
      <w:pPr>
        <w:pStyle w:val="ListParagraph"/>
        <w:numPr>
          <w:ilvl w:val="2"/>
          <w:numId w:val="22"/>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Regression with regard to the audit performance of</w:t>
      </w:r>
      <w:r w:rsidR="001B1E0C" w:rsidRPr="000C1D84">
        <w:rPr>
          <w:rFonts w:ascii="Times New Roman" w:hAnsi="Times New Roman" w:cs="Times New Roman"/>
          <w:b/>
          <w:i/>
          <w:sz w:val="24"/>
          <w:szCs w:val="24"/>
        </w:rPr>
        <w:t xml:space="preserve"> certain</w:t>
      </w:r>
      <w:r w:rsidRPr="000C1D84">
        <w:rPr>
          <w:rFonts w:ascii="Times New Roman" w:hAnsi="Times New Roman" w:cs="Times New Roman"/>
          <w:b/>
          <w:i/>
          <w:sz w:val="24"/>
          <w:szCs w:val="24"/>
        </w:rPr>
        <w:t xml:space="preserve"> entities:</w:t>
      </w:r>
      <w:r w:rsidRPr="000C1D84">
        <w:rPr>
          <w:rFonts w:ascii="Times New Roman" w:hAnsi="Times New Roman" w:cs="Times New Roman"/>
          <w:sz w:val="24"/>
          <w:szCs w:val="24"/>
        </w:rPr>
        <w:t xml:space="preserve"> </w:t>
      </w:r>
      <w:r w:rsidRPr="00B66308">
        <w:rPr>
          <w:rFonts w:ascii="Times New Roman" w:hAnsi="Times New Roman" w:cs="Times New Roman"/>
          <w:sz w:val="24"/>
          <w:szCs w:val="24"/>
        </w:rPr>
        <w:t xml:space="preserve">The Committee noted with concern the regression in respect of the audit findings of </w:t>
      </w:r>
      <w:r w:rsidR="003B2E56">
        <w:rPr>
          <w:rFonts w:ascii="Times New Roman" w:hAnsi="Times New Roman" w:cs="Times New Roman"/>
          <w:sz w:val="24"/>
          <w:szCs w:val="24"/>
        </w:rPr>
        <w:t xml:space="preserve">the </w:t>
      </w:r>
      <w:r w:rsidRPr="00B66308">
        <w:rPr>
          <w:rFonts w:ascii="Times New Roman" w:hAnsi="Times New Roman" w:cs="Times New Roman"/>
          <w:sz w:val="24"/>
          <w:szCs w:val="24"/>
        </w:rPr>
        <w:t>DTI, as well as its entities. The Committee enquired from the Auditor-General to reasons for this regression and what measures should be considered to address the audit findings.</w:t>
      </w:r>
      <w:r w:rsidRPr="000C1D84">
        <w:rPr>
          <w:rFonts w:ascii="Times New Roman" w:hAnsi="Times New Roman" w:cs="Times New Roman"/>
          <w:sz w:val="24"/>
          <w:szCs w:val="24"/>
        </w:rPr>
        <w:t xml:space="preserve"> </w:t>
      </w:r>
      <w:r w:rsidRPr="00B9571B">
        <w:rPr>
          <w:rFonts w:ascii="Times New Roman" w:hAnsi="Times New Roman" w:cs="Times New Roman"/>
          <w:sz w:val="24"/>
          <w:szCs w:val="24"/>
        </w:rPr>
        <w:t>The</w:t>
      </w:r>
      <w:r w:rsidRPr="000C1D84">
        <w:rPr>
          <w:rFonts w:ascii="Times New Roman" w:hAnsi="Times New Roman" w:cs="Times New Roman"/>
          <w:sz w:val="24"/>
          <w:szCs w:val="24"/>
        </w:rPr>
        <w:t xml:space="preserve"> </w:t>
      </w:r>
      <w:r w:rsidRPr="00B66308">
        <w:rPr>
          <w:rFonts w:ascii="Times New Roman" w:hAnsi="Times New Roman" w:cs="Times New Roman"/>
          <w:sz w:val="24"/>
          <w:szCs w:val="24"/>
        </w:rPr>
        <w:t>Auditor-General informed the Committee that the four entities that did not receive a clean audit had</w:t>
      </w:r>
      <w:r w:rsidR="006B47C8">
        <w:rPr>
          <w:rFonts w:ascii="Times New Roman" w:hAnsi="Times New Roman" w:cs="Times New Roman"/>
          <w:sz w:val="24"/>
          <w:szCs w:val="24"/>
        </w:rPr>
        <w:t xml:space="preserve"> had</w:t>
      </w:r>
      <w:r w:rsidRPr="00B66308">
        <w:rPr>
          <w:rFonts w:ascii="Times New Roman" w:hAnsi="Times New Roman" w:cs="Times New Roman"/>
          <w:sz w:val="24"/>
          <w:szCs w:val="24"/>
        </w:rPr>
        <w:t xml:space="preserve"> financial statements that had to be corrected for it to be reliable. Compliance with Supply Chain Management was another concern. These entities must prepare an audit action plan to address these findings. </w:t>
      </w:r>
      <w:r w:rsidR="006B47C8" w:rsidRPr="00B66308">
        <w:rPr>
          <w:rFonts w:ascii="Times New Roman" w:hAnsi="Times New Roman" w:cs="Times New Roman"/>
          <w:sz w:val="24"/>
          <w:szCs w:val="24"/>
        </w:rPr>
        <w:t xml:space="preserve">The </w:t>
      </w:r>
      <w:r w:rsidRPr="00B66308">
        <w:rPr>
          <w:rFonts w:ascii="Times New Roman" w:hAnsi="Times New Roman" w:cs="Times New Roman"/>
          <w:sz w:val="24"/>
          <w:szCs w:val="24"/>
        </w:rPr>
        <w:t>monitoring of these action plans</w:t>
      </w:r>
      <w:r w:rsidR="006B47C8">
        <w:rPr>
          <w:rFonts w:ascii="Times New Roman" w:hAnsi="Times New Roman" w:cs="Times New Roman"/>
          <w:sz w:val="24"/>
          <w:szCs w:val="24"/>
        </w:rPr>
        <w:t xml:space="preserve"> would be important</w:t>
      </w:r>
      <w:r w:rsidRPr="00B66308">
        <w:rPr>
          <w:rFonts w:ascii="Times New Roman" w:hAnsi="Times New Roman" w:cs="Times New Roman"/>
          <w:sz w:val="24"/>
          <w:szCs w:val="24"/>
        </w:rPr>
        <w:t xml:space="preserve">, because if there is a deviation, the entity </w:t>
      </w:r>
      <w:r w:rsidR="006B47C8">
        <w:rPr>
          <w:rFonts w:ascii="Times New Roman" w:hAnsi="Times New Roman" w:cs="Times New Roman"/>
          <w:sz w:val="24"/>
          <w:szCs w:val="24"/>
        </w:rPr>
        <w:t>sh</w:t>
      </w:r>
      <w:r w:rsidRPr="00B66308">
        <w:rPr>
          <w:rFonts w:ascii="Times New Roman" w:hAnsi="Times New Roman" w:cs="Times New Roman"/>
          <w:sz w:val="24"/>
          <w:szCs w:val="24"/>
        </w:rPr>
        <w:t>ould be brought in line with the agreed action plan. The Auditor-General informed the Committee that the entity it is most concern</w:t>
      </w:r>
      <w:r w:rsidR="006B47C8">
        <w:rPr>
          <w:rFonts w:ascii="Times New Roman" w:hAnsi="Times New Roman" w:cs="Times New Roman"/>
          <w:sz w:val="24"/>
          <w:szCs w:val="24"/>
        </w:rPr>
        <w:t>ed</w:t>
      </w:r>
      <w:r w:rsidRPr="00B66308">
        <w:rPr>
          <w:rFonts w:ascii="Times New Roman" w:hAnsi="Times New Roman" w:cs="Times New Roman"/>
          <w:sz w:val="24"/>
          <w:szCs w:val="24"/>
        </w:rPr>
        <w:t xml:space="preserve"> with was the NCC. </w:t>
      </w:r>
      <w:r w:rsidR="001B1E0C">
        <w:rPr>
          <w:rFonts w:ascii="Times New Roman" w:hAnsi="Times New Roman" w:cs="Times New Roman"/>
          <w:sz w:val="24"/>
          <w:szCs w:val="24"/>
        </w:rPr>
        <w:t>The Committee noted that the</w:t>
      </w:r>
      <w:r w:rsidR="001B1E0C" w:rsidRPr="00B66308">
        <w:rPr>
          <w:rFonts w:ascii="Times New Roman" w:hAnsi="Times New Roman" w:cs="Times New Roman"/>
          <w:sz w:val="24"/>
          <w:szCs w:val="24"/>
        </w:rPr>
        <w:t xml:space="preserve"> </w:t>
      </w:r>
      <w:r w:rsidRPr="00B66308">
        <w:rPr>
          <w:rFonts w:ascii="Times New Roman" w:hAnsi="Times New Roman" w:cs="Times New Roman"/>
          <w:sz w:val="24"/>
          <w:szCs w:val="24"/>
        </w:rPr>
        <w:t xml:space="preserve">NCC showed a lack of urgency in providing accurate information. Its key control measures was of concern especially in relation to monitoring and review, and the availability of accurate information. The DTI informed the Committee that </w:t>
      </w:r>
      <w:r w:rsidR="006B47C8">
        <w:rPr>
          <w:rFonts w:ascii="Times New Roman" w:hAnsi="Times New Roman" w:cs="Times New Roman"/>
          <w:sz w:val="24"/>
          <w:szCs w:val="24"/>
        </w:rPr>
        <w:t xml:space="preserve">it </w:t>
      </w:r>
      <w:r w:rsidRPr="00B66308">
        <w:rPr>
          <w:rFonts w:ascii="Times New Roman" w:hAnsi="Times New Roman" w:cs="Times New Roman"/>
          <w:sz w:val="24"/>
          <w:szCs w:val="24"/>
        </w:rPr>
        <w:t>had seconded an official from the finance division in the DTI to strengthen the capacity in the NCC.</w:t>
      </w:r>
      <w:r w:rsidR="006B47C8">
        <w:rPr>
          <w:rFonts w:ascii="Times New Roman" w:hAnsi="Times New Roman" w:cs="Times New Roman"/>
          <w:sz w:val="24"/>
          <w:szCs w:val="24"/>
        </w:rPr>
        <w:t xml:space="preserve"> In addition, it </w:t>
      </w:r>
      <w:r w:rsidR="006B47C8" w:rsidRPr="00B66308">
        <w:rPr>
          <w:rFonts w:ascii="Times New Roman" w:hAnsi="Times New Roman" w:cs="Times New Roman"/>
          <w:sz w:val="24"/>
          <w:szCs w:val="24"/>
        </w:rPr>
        <w:t xml:space="preserve">informed the Committee </w:t>
      </w:r>
      <w:r w:rsidR="006B47C8">
        <w:rPr>
          <w:rFonts w:ascii="Times New Roman" w:hAnsi="Times New Roman" w:cs="Times New Roman"/>
          <w:sz w:val="24"/>
          <w:szCs w:val="24"/>
        </w:rPr>
        <w:t xml:space="preserve">that </w:t>
      </w:r>
      <w:r w:rsidR="006B47C8" w:rsidRPr="00B66308">
        <w:rPr>
          <w:rFonts w:ascii="Times New Roman" w:hAnsi="Times New Roman" w:cs="Times New Roman"/>
          <w:sz w:val="24"/>
          <w:szCs w:val="24"/>
        </w:rPr>
        <w:t>it had established a public entity oversight unit, as well as a committee consisting of the chairpersons of all the audit committees, to ensure that issues relating to the audit findings would be addressed.</w:t>
      </w:r>
    </w:p>
    <w:p w14:paraId="260DEBF3" w14:textId="77777777" w:rsidR="00432CE0" w:rsidRDefault="00432CE0">
      <w:pPr>
        <w:rPr>
          <w:rFonts w:ascii="Times New Roman" w:hAnsi="Times New Roman" w:cs="Times New Roman"/>
          <w:b/>
          <w:caps/>
          <w:sz w:val="24"/>
          <w:szCs w:val="24"/>
          <w:lang w:val="en-GB"/>
        </w:rPr>
      </w:pPr>
      <w:bookmarkStart w:id="12" w:name="_Toc370119592"/>
    </w:p>
    <w:p w14:paraId="7F218FEE" w14:textId="77777777" w:rsidR="00176D49" w:rsidRPr="00586CCF" w:rsidRDefault="00AB63A9" w:rsidP="00AB63A9">
      <w:pPr>
        <w:pStyle w:val="Heading11"/>
        <w:numPr>
          <w:ilvl w:val="0"/>
          <w:numId w:val="0"/>
        </w:numPr>
        <w:spacing w:line="360" w:lineRule="auto"/>
        <w:jc w:val="center"/>
        <w:rPr>
          <w:rFonts w:ascii="Times New Roman" w:hAnsi="Times New Roman" w:cs="Times New Roman"/>
          <w:sz w:val="24"/>
        </w:rPr>
      </w:pPr>
      <w:r>
        <w:rPr>
          <w:rFonts w:ascii="Times New Roman" w:hAnsi="Times New Roman" w:cs="Times New Roman"/>
          <w:sz w:val="24"/>
        </w:rPr>
        <w:t xml:space="preserve">PART B: </w:t>
      </w:r>
      <w:r w:rsidR="00FC3E55" w:rsidRPr="00586CCF">
        <w:rPr>
          <w:rFonts w:ascii="Times New Roman" w:hAnsi="Times New Roman" w:cs="Times New Roman"/>
          <w:sz w:val="24"/>
        </w:rPr>
        <w:t>F</w:t>
      </w:r>
      <w:r w:rsidR="00176D49" w:rsidRPr="00586CCF">
        <w:rPr>
          <w:rFonts w:ascii="Times New Roman" w:hAnsi="Times New Roman" w:cs="Times New Roman"/>
          <w:sz w:val="24"/>
        </w:rPr>
        <w:t>inancial and non-financial performance of identified entities</w:t>
      </w:r>
      <w:bookmarkEnd w:id="12"/>
    </w:p>
    <w:p w14:paraId="459BA8AD" w14:textId="77777777" w:rsidR="00176D49" w:rsidRPr="00586CCF" w:rsidRDefault="00176D49" w:rsidP="00586CCF">
      <w:pPr>
        <w:spacing w:line="360" w:lineRule="auto"/>
        <w:rPr>
          <w:rFonts w:ascii="Times New Roman" w:hAnsi="Times New Roman" w:cs="Times New Roman"/>
          <w:caps/>
          <w:sz w:val="24"/>
          <w:szCs w:val="24"/>
        </w:rPr>
      </w:pPr>
    </w:p>
    <w:p w14:paraId="7FA2E191" w14:textId="77777777" w:rsidR="00613C3C" w:rsidRPr="009D5D24" w:rsidRDefault="00EB13AA" w:rsidP="009D5D24">
      <w:pPr>
        <w:pStyle w:val="Heading11"/>
      </w:pPr>
      <w:bookmarkStart w:id="13" w:name="_Toc370119593"/>
      <w:r w:rsidRPr="009D5D24">
        <w:t>National Consumer Commission</w:t>
      </w:r>
    </w:p>
    <w:p w14:paraId="26B46705" w14:textId="77777777" w:rsidR="00E11D92" w:rsidRPr="00586CCF" w:rsidRDefault="00E11D92" w:rsidP="00586CCF">
      <w:pPr>
        <w:spacing w:line="360" w:lineRule="auto"/>
        <w:rPr>
          <w:rFonts w:ascii="Times New Roman" w:hAnsi="Times New Roman" w:cs="Times New Roman"/>
          <w:sz w:val="24"/>
          <w:szCs w:val="24"/>
        </w:rPr>
      </w:pPr>
    </w:p>
    <w:p w14:paraId="71E101A8" w14:textId="77777777" w:rsidR="00E11D92" w:rsidRPr="00586CCF" w:rsidRDefault="008A1236" w:rsidP="00586CCF">
      <w:pPr>
        <w:spacing w:line="360" w:lineRule="auto"/>
        <w:rPr>
          <w:rFonts w:ascii="Times New Roman" w:hAnsi="Times New Roman" w:cs="Times New Roman"/>
          <w:sz w:val="24"/>
          <w:szCs w:val="24"/>
        </w:rPr>
      </w:pPr>
      <w:r w:rsidRPr="00586CCF">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NCC</w:t>
      </w:r>
      <w:r w:rsidRPr="00586CCF">
        <w:rPr>
          <w:rFonts w:ascii="Times New Roman" w:eastAsia="Calibri" w:hAnsi="Times New Roman" w:cs="Times New Roman"/>
          <w:sz w:val="24"/>
          <w:szCs w:val="24"/>
        </w:rPr>
        <w:t xml:space="preserve"> falls under the Consumer and Corporate Regulation Division within the</w:t>
      </w:r>
      <w:r>
        <w:rPr>
          <w:rFonts w:ascii="Times New Roman" w:eastAsia="Calibri" w:hAnsi="Times New Roman" w:cs="Times New Roman"/>
          <w:sz w:val="24"/>
          <w:szCs w:val="24"/>
        </w:rPr>
        <w:t xml:space="preserve"> </w:t>
      </w:r>
      <w:r w:rsidRPr="00586CCF">
        <w:rPr>
          <w:rFonts w:ascii="Times New Roman" w:eastAsia="Calibri" w:hAnsi="Times New Roman" w:cs="Times New Roman"/>
          <w:sz w:val="24"/>
          <w:szCs w:val="24"/>
        </w:rPr>
        <w:t>DTI.</w:t>
      </w:r>
      <w:r>
        <w:rPr>
          <w:rFonts w:ascii="Times New Roman" w:hAnsi="Times New Roman" w:cs="Times New Roman"/>
          <w:sz w:val="24"/>
          <w:szCs w:val="24"/>
        </w:rPr>
        <w:t xml:space="preserve"> It</w:t>
      </w:r>
      <w:r w:rsidR="00E11D92" w:rsidRPr="00586CCF">
        <w:rPr>
          <w:rFonts w:ascii="Times New Roman" w:hAnsi="Times New Roman" w:cs="Times New Roman"/>
          <w:sz w:val="24"/>
          <w:szCs w:val="24"/>
        </w:rPr>
        <w:t xml:space="preserve"> was established by the Consumer Protection Act (No. 68 of 2008) and became operational on 1 April 2011. The NCC’s core mandate is to assist in protecting consumer rights by increasing consumer awareness of what these rights are; investigating prohibited conduct by business; and enforcing compliance with the provisions of </w:t>
      </w:r>
      <w:r w:rsidR="00B61F36">
        <w:rPr>
          <w:rFonts w:ascii="Times New Roman" w:hAnsi="Times New Roman" w:cs="Times New Roman"/>
          <w:sz w:val="24"/>
          <w:szCs w:val="24"/>
        </w:rPr>
        <w:t xml:space="preserve">the </w:t>
      </w:r>
      <w:r w:rsidR="00E11D92" w:rsidRPr="00586CCF">
        <w:rPr>
          <w:rFonts w:ascii="Times New Roman" w:hAnsi="Times New Roman" w:cs="Times New Roman"/>
          <w:sz w:val="24"/>
          <w:szCs w:val="24"/>
        </w:rPr>
        <w:t>A</w:t>
      </w:r>
      <w:r w:rsidR="00B61F36">
        <w:rPr>
          <w:rFonts w:ascii="Times New Roman" w:hAnsi="Times New Roman" w:cs="Times New Roman"/>
          <w:sz w:val="24"/>
          <w:szCs w:val="24"/>
        </w:rPr>
        <w:t>ct</w:t>
      </w:r>
      <w:r w:rsidR="00E11D92" w:rsidRPr="00586CCF">
        <w:rPr>
          <w:rFonts w:ascii="Times New Roman" w:hAnsi="Times New Roman" w:cs="Times New Roman"/>
          <w:sz w:val="24"/>
          <w:szCs w:val="24"/>
        </w:rPr>
        <w:t xml:space="preserve">. </w:t>
      </w:r>
    </w:p>
    <w:p w14:paraId="600977E0" w14:textId="77777777" w:rsidR="00E11D92" w:rsidRPr="00586CCF" w:rsidRDefault="00E11D92" w:rsidP="00586CCF">
      <w:pPr>
        <w:spacing w:line="360" w:lineRule="auto"/>
        <w:rPr>
          <w:rFonts w:ascii="Times New Roman" w:hAnsi="Times New Roman" w:cs="Times New Roman"/>
          <w:sz w:val="24"/>
          <w:szCs w:val="24"/>
        </w:rPr>
      </w:pPr>
    </w:p>
    <w:p w14:paraId="6648B14D" w14:textId="77777777" w:rsidR="00E11D92" w:rsidRPr="00586CCF" w:rsidRDefault="00E11D92"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According to the Act, the NCC’s functions include the:</w:t>
      </w:r>
    </w:p>
    <w:p w14:paraId="0DC6CA84" w14:textId="77777777" w:rsidR="00E11D92" w:rsidRPr="00586CCF" w:rsidRDefault="00E11D92" w:rsidP="00586CCF">
      <w:pPr>
        <w:spacing w:line="360" w:lineRule="auto"/>
        <w:rPr>
          <w:rFonts w:ascii="Times New Roman" w:hAnsi="Times New Roman" w:cs="Times New Roman"/>
          <w:sz w:val="24"/>
          <w:szCs w:val="24"/>
        </w:rPr>
      </w:pPr>
    </w:p>
    <w:p w14:paraId="1E53E0E1" w14:textId="77777777" w:rsidR="00E11D92" w:rsidRPr="00586CCF" w:rsidRDefault="00E11D92" w:rsidP="009D5D24">
      <w:pPr>
        <w:numPr>
          <w:ilvl w:val="0"/>
          <w:numId w:val="4"/>
        </w:numPr>
        <w:spacing w:line="360" w:lineRule="auto"/>
        <w:rPr>
          <w:rFonts w:ascii="Times New Roman" w:hAnsi="Times New Roman" w:cs="Times New Roman"/>
          <w:sz w:val="24"/>
          <w:szCs w:val="24"/>
        </w:rPr>
      </w:pPr>
      <w:r w:rsidRPr="00586CCF">
        <w:rPr>
          <w:rFonts w:ascii="Times New Roman" w:hAnsi="Times New Roman" w:cs="Times New Roman"/>
          <w:sz w:val="24"/>
          <w:szCs w:val="24"/>
        </w:rPr>
        <w:t>Development of codes of good practice relating to the provisions of the Act.</w:t>
      </w:r>
    </w:p>
    <w:p w14:paraId="12E6D0B0" w14:textId="77777777" w:rsidR="00E11D92" w:rsidRPr="00586CCF" w:rsidRDefault="00E11D92" w:rsidP="009D5D24">
      <w:pPr>
        <w:numPr>
          <w:ilvl w:val="0"/>
          <w:numId w:val="4"/>
        </w:numPr>
        <w:spacing w:line="360" w:lineRule="auto"/>
        <w:rPr>
          <w:rFonts w:ascii="Times New Roman" w:hAnsi="Times New Roman" w:cs="Times New Roman"/>
          <w:sz w:val="24"/>
          <w:szCs w:val="24"/>
        </w:rPr>
      </w:pPr>
      <w:r w:rsidRPr="00586CCF">
        <w:rPr>
          <w:rFonts w:ascii="Times New Roman" w:hAnsi="Times New Roman" w:cs="Times New Roman"/>
          <w:sz w:val="24"/>
          <w:szCs w:val="24"/>
        </w:rPr>
        <w:t>Promotion of legislative reform through consultation with provincial consumer protection authorities, national organs of state, consumer protection groups, alternative dispute resolution agents and suppliers.</w:t>
      </w:r>
    </w:p>
    <w:p w14:paraId="3BE0A536" w14:textId="77777777" w:rsidR="00E11D92" w:rsidRPr="00586CCF" w:rsidRDefault="00E11D92" w:rsidP="009D5D24">
      <w:pPr>
        <w:numPr>
          <w:ilvl w:val="0"/>
          <w:numId w:val="4"/>
        </w:numPr>
        <w:spacing w:line="360" w:lineRule="auto"/>
        <w:rPr>
          <w:rFonts w:ascii="Times New Roman" w:hAnsi="Times New Roman" w:cs="Times New Roman"/>
          <w:sz w:val="24"/>
          <w:szCs w:val="24"/>
        </w:rPr>
      </w:pPr>
      <w:r w:rsidRPr="00586CCF">
        <w:rPr>
          <w:rFonts w:ascii="Times New Roman" w:hAnsi="Times New Roman" w:cs="Times New Roman"/>
          <w:sz w:val="24"/>
          <w:szCs w:val="24"/>
        </w:rPr>
        <w:t>Promotion of consumer protection within organs of state.</w:t>
      </w:r>
    </w:p>
    <w:p w14:paraId="342EE814" w14:textId="77777777" w:rsidR="00E11D92" w:rsidRPr="00586CCF" w:rsidRDefault="00E11D92" w:rsidP="009D5D24">
      <w:pPr>
        <w:numPr>
          <w:ilvl w:val="0"/>
          <w:numId w:val="4"/>
        </w:numPr>
        <w:spacing w:line="360" w:lineRule="auto"/>
        <w:rPr>
          <w:rFonts w:ascii="Times New Roman" w:hAnsi="Times New Roman" w:cs="Times New Roman"/>
          <w:sz w:val="24"/>
          <w:szCs w:val="24"/>
        </w:rPr>
      </w:pPr>
      <w:r w:rsidRPr="00586CCF">
        <w:rPr>
          <w:rFonts w:ascii="Times New Roman" w:hAnsi="Times New Roman" w:cs="Times New Roman"/>
          <w:sz w:val="24"/>
          <w:szCs w:val="24"/>
        </w:rPr>
        <w:t>Enforcement of the Act including the investigation and evaluation of any prohibited conduct and offences, issuing and enforcing compliance notices.</w:t>
      </w:r>
    </w:p>
    <w:p w14:paraId="068A0A7B" w14:textId="77777777" w:rsidR="00E11D92" w:rsidRPr="00586CCF" w:rsidRDefault="00A7448C" w:rsidP="009D5D24">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Compilation of </w:t>
      </w:r>
      <w:r w:rsidRPr="00586CCF">
        <w:rPr>
          <w:rFonts w:ascii="Times New Roman" w:hAnsi="Times New Roman" w:cs="Times New Roman"/>
          <w:sz w:val="24"/>
          <w:szCs w:val="24"/>
        </w:rPr>
        <w:t xml:space="preserve">research </w:t>
      </w:r>
      <w:r w:rsidR="00E11D92" w:rsidRPr="00586CCF">
        <w:rPr>
          <w:rFonts w:ascii="Times New Roman" w:hAnsi="Times New Roman" w:cs="Times New Roman"/>
          <w:sz w:val="24"/>
          <w:szCs w:val="24"/>
        </w:rPr>
        <w:t>to increase knowledge of the nature and dynamics of the consumer market.</w:t>
      </w:r>
    </w:p>
    <w:p w14:paraId="78C0C189" w14:textId="77777777" w:rsidR="00E11D92" w:rsidRPr="00586CCF" w:rsidRDefault="00E11D92" w:rsidP="009D5D24">
      <w:pPr>
        <w:numPr>
          <w:ilvl w:val="0"/>
          <w:numId w:val="4"/>
        </w:numPr>
        <w:spacing w:line="360" w:lineRule="auto"/>
        <w:rPr>
          <w:rFonts w:ascii="Times New Roman" w:hAnsi="Times New Roman" w:cs="Times New Roman"/>
          <w:sz w:val="24"/>
          <w:szCs w:val="24"/>
        </w:rPr>
      </w:pPr>
      <w:r w:rsidRPr="00586CCF">
        <w:rPr>
          <w:rFonts w:ascii="Times New Roman" w:hAnsi="Times New Roman" w:cs="Times New Roman"/>
          <w:sz w:val="24"/>
          <w:szCs w:val="24"/>
        </w:rPr>
        <w:t>Promotion of public awareness of consumer protection matters.</w:t>
      </w:r>
    </w:p>
    <w:p w14:paraId="15CD8F18" w14:textId="77777777" w:rsidR="00E11D92" w:rsidRPr="00586CCF" w:rsidRDefault="00E11D92" w:rsidP="009D5D24">
      <w:pPr>
        <w:numPr>
          <w:ilvl w:val="0"/>
          <w:numId w:val="4"/>
        </w:numPr>
        <w:spacing w:line="360" w:lineRule="auto"/>
        <w:rPr>
          <w:rFonts w:ascii="Times New Roman" w:hAnsi="Times New Roman" w:cs="Times New Roman"/>
          <w:sz w:val="24"/>
          <w:szCs w:val="24"/>
        </w:rPr>
      </w:pPr>
      <w:r w:rsidRPr="00586CCF">
        <w:rPr>
          <w:rFonts w:ascii="Times New Roman" w:hAnsi="Times New Roman" w:cs="Times New Roman"/>
          <w:sz w:val="24"/>
          <w:szCs w:val="24"/>
        </w:rPr>
        <w:t>Liaison with other regulatory authorities on matters of common interest.</w:t>
      </w:r>
    </w:p>
    <w:p w14:paraId="09F75BF8" w14:textId="77777777" w:rsidR="00E11D92" w:rsidRPr="00586CCF" w:rsidRDefault="00E11D92" w:rsidP="009D5D24">
      <w:pPr>
        <w:numPr>
          <w:ilvl w:val="0"/>
          <w:numId w:val="4"/>
        </w:numPr>
        <w:spacing w:line="360" w:lineRule="auto"/>
        <w:rPr>
          <w:rFonts w:ascii="Times New Roman" w:hAnsi="Times New Roman" w:cs="Times New Roman"/>
          <w:sz w:val="24"/>
          <w:szCs w:val="24"/>
        </w:rPr>
      </w:pPr>
      <w:r w:rsidRPr="00586CCF">
        <w:rPr>
          <w:rFonts w:ascii="Times New Roman" w:hAnsi="Times New Roman" w:cs="Times New Roman"/>
          <w:sz w:val="24"/>
          <w:szCs w:val="24"/>
        </w:rPr>
        <w:t>Provision of advice and recommendations to the Minister.</w:t>
      </w:r>
    </w:p>
    <w:p w14:paraId="7190012C" w14:textId="77777777" w:rsidR="00227C9D" w:rsidRPr="00586CCF" w:rsidRDefault="00227C9D" w:rsidP="00586CCF">
      <w:pPr>
        <w:spacing w:line="360" w:lineRule="auto"/>
        <w:ind w:left="360"/>
        <w:rPr>
          <w:rFonts w:ascii="Times New Roman" w:hAnsi="Times New Roman" w:cs="Times New Roman"/>
          <w:sz w:val="24"/>
          <w:szCs w:val="24"/>
        </w:rPr>
      </w:pPr>
    </w:p>
    <w:p w14:paraId="3C89EB26" w14:textId="77777777" w:rsidR="004265FC" w:rsidRDefault="007D0E14" w:rsidP="004265FC">
      <w:pPr>
        <w:pStyle w:val="Heading22"/>
        <w:numPr>
          <w:ilvl w:val="1"/>
          <w:numId w:val="31"/>
        </w:numPr>
      </w:pPr>
      <w:r w:rsidRPr="00DF13EE">
        <w:t>Performance for the 2016/17 financial year</w:t>
      </w:r>
    </w:p>
    <w:p w14:paraId="120ED584" w14:textId="77777777" w:rsidR="004265FC" w:rsidRDefault="004265FC" w:rsidP="004265FC">
      <w:pPr>
        <w:pStyle w:val="Heading22"/>
        <w:numPr>
          <w:ilvl w:val="0"/>
          <w:numId w:val="0"/>
        </w:numPr>
      </w:pPr>
    </w:p>
    <w:p w14:paraId="5E21F215" w14:textId="77777777" w:rsidR="00227C9D" w:rsidRPr="004265FC" w:rsidRDefault="00E11D92"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Non-financial performance</w:t>
      </w:r>
      <w:r w:rsidR="00CE31B0" w:rsidRPr="004265FC">
        <w:rPr>
          <w:rFonts w:ascii="Times New Roman" w:hAnsi="Times New Roman" w:cs="Times New Roman"/>
          <w:sz w:val="24"/>
        </w:rPr>
        <w:t xml:space="preserve"> </w:t>
      </w:r>
    </w:p>
    <w:p w14:paraId="5750F442" w14:textId="77777777" w:rsidR="00227C9D" w:rsidRPr="00586CCF" w:rsidRDefault="00227C9D" w:rsidP="00586CCF">
      <w:pPr>
        <w:pStyle w:val="Heading33"/>
        <w:numPr>
          <w:ilvl w:val="0"/>
          <w:numId w:val="0"/>
        </w:numPr>
        <w:ind w:left="720"/>
        <w:rPr>
          <w:rFonts w:ascii="Times New Roman" w:hAnsi="Times New Roman" w:cs="Times New Roman"/>
          <w:sz w:val="24"/>
        </w:rPr>
      </w:pPr>
    </w:p>
    <w:p w14:paraId="57B75FA4" w14:textId="77777777" w:rsidR="00660BFF" w:rsidRPr="00586CCF" w:rsidRDefault="00660BFF" w:rsidP="00586CCF">
      <w:pPr>
        <w:spacing w:line="360" w:lineRule="auto"/>
        <w:rPr>
          <w:rFonts w:ascii="Times New Roman" w:hAnsi="Times New Roman" w:cs="Times New Roman"/>
          <w:sz w:val="24"/>
          <w:szCs w:val="24"/>
        </w:rPr>
      </w:pPr>
      <w:r w:rsidRPr="00586CCF">
        <w:rPr>
          <w:rStyle w:val="A2"/>
          <w:rFonts w:ascii="Times New Roman" w:hAnsi="Times New Roman" w:cs="Times New Roman"/>
          <w:sz w:val="24"/>
          <w:szCs w:val="24"/>
        </w:rPr>
        <w:t xml:space="preserve">For the 2016/17 financial year, the NCC had 19 performance targets, 17 of which were achieved. </w:t>
      </w:r>
    </w:p>
    <w:p w14:paraId="30DD0459" w14:textId="77777777" w:rsidR="00660BFF" w:rsidRPr="00586CCF" w:rsidRDefault="00660BFF" w:rsidP="00586CCF">
      <w:pPr>
        <w:shd w:val="clear" w:color="auto" w:fill="FFFFFF" w:themeFill="background1"/>
        <w:spacing w:line="360" w:lineRule="auto"/>
        <w:rPr>
          <w:rFonts w:ascii="Times New Roman" w:hAnsi="Times New Roman" w:cs="Times New Roman"/>
          <w:b/>
          <w:sz w:val="24"/>
          <w:szCs w:val="24"/>
        </w:rPr>
      </w:pPr>
    </w:p>
    <w:p w14:paraId="29FCA825" w14:textId="77777777" w:rsidR="00660BFF" w:rsidRPr="00586CCF" w:rsidRDefault="00660BFF" w:rsidP="00586CCF">
      <w:pPr>
        <w:shd w:val="clear" w:color="auto" w:fill="FFFFFF" w:themeFill="background1"/>
        <w:spacing w:line="360" w:lineRule="auto"/>
        <w:rPr>
          <w:rFonts w:ascii="Times New Roman" w:hAnsi="Times New Roman" w:cs="Times New Roman"/>
          <w:b/>
          <w:sz w:val="24"/>
          <w:szCs w:val="24"/>
        </w:rPr>
      </w:pPr>
      <w:r w:rsidRPr="00586CCF">
        <w:rPr>
          <w:rFonts w:ascii="Times New Roman" w:hAnsi="Times New Roman" w:cs="Times New Roman"/>
          <w:b/>
          <w:sz w:val="24"/>
          <w:szCs w:val="24"/>
        </w:rPr>
        <w:t xml:space="preserve">Table </w:t>
      </w:r>
      <w:r w:rsidR="00443C0F">
        <w:rPr>
          <w:rFonts w:ascii="Times New Roman" w:hAnsi="Times New Roman" w:cs="Times New Roman"/>
          <w:b/>
          <w:sz w:val="24"/>
          <w:szCs w:val="24"/>
        </w:rPr>
        <w:t>8</w:t>
      </w:r>
      <w:r w:rsidRPr="00586CCF">
        <w:rPr>
          <w:rFonts w:ascii="Times New Roman" w:hAnsi="Times New Roman" w:cs="Times New Roman"/>
          <w:b/>
          <w:sz w:val="24"/>
          <w:szCs w:val="24"/>
        </w:rPr>
        <w:t>: Performance Indicators per Programme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3289"/>
      </w:tblGrid>
      <w:tr w:rsidR="00A7448C" w:rsidRPr="00586CCF" w14:paraId="176F6B35" w14:textId="77777777" w:rsidTr="006D18C5">
        <w:trPr>
          <w:trHeight w:val="460"/>
        </w:trPr>
        <w:tc>
          <w:tcPr>
            <w:tcW w:w="4077" w:type="dxa"/>
            <w:vMerge w:val="restart"/>
            <w:shd w:val="clear" w:color="auto" w:fill="D9D9D9" w:themeFill="background1" w:themeFillShade="D9"/>
            <w:vAlign w:val="center"/>
          </w:tcPr>
          <w:p w14:paraId="5CCB56CD" w14:textId="77777777" w:rsidR="00A7448C" w:rsidRPr="006D18C5" w:rsidRDefault="00A7448C" w:rsidP="006D18C5">
            <w:pPr>
              <w:spacing w:line="360" w:lineRule="auto"/>
              <w:jc w:val="center"/>
              <w:rPr>
                <w:rFonts w:ascii="Times New Roman" w:hAnsi="Times New Roman" w:cs="Times New Roman"/>
                <w:b/>
                <w:szCs w:val="24"/>
              </w:rPr>
            </w:pPr>
            <w:r w:rsidRPr="006D18C5">
              <w:rPr>
                <w:rFonts w:ascii="Times New Roman" w:hAnsi="Times New Roman" w:cs="Times New Roman"/>
                <w:b/>
                <w:szCs w:val="24"/>
              </w:rPr>
              <w:t>Programme</w:t>
            </w:r>
          </w:p>
        </w:tc>
        <w:tc>
          <w:tcPr>
            <w:tcW w:w="4990" w:type="dxa"/>
            <w:gridSpan w:val="2"/>
            <w:shd w:val="clear" w:color="auto" w:fill="D9D9D9" w:themeFill="background1" w:themeFillShade="D9"/>
            <w:noWrap/>
            <w:vAlign w:val="center"/>
          </w:tcPr>
          <w:p w14:paraId="7FCDDB9F" w14:textId="77777777" w:rsidR="00A7448C" w:rsidRPr="006D18C5" w:rsidRDefault="00A7448C" w:rsidP="006D18C5">
            <w:pPr>
              <w:spacing w:line="360" w:lineRule="auto"/>
              <w:jc w:val="center"/>
              <w:rPr>
                <w:rFonts w:ascii="Times New Roman" w:hAnsi="Times New Roman" w:cs="Times New Roman"/>
                <w:b/>
                <w:szCs w:val="24"/>
              </w:rPr>
            </w:pPr>
            <w:r w:rsidRPr="006D18C5">
              <w:rPr>
                <w:rFonts w:ascii="Times New Roman" w:hAnsi="Times New Roman" w:cs="Times New Roman"/>
                <w:b/>
                <w:szCs w:val="24"/>
              </w:rPr>
              <w:t>Performance Targets</w:t>
            </w:r>
          </w:p>
        </w:tc>
      </w:tr>
      <w:tr w:rsidR="00A7448C" w:rsidRPr="00586CCF" w14:paraId="71DE5624" w14:textId="77777777" w:rsidTr="006D18C5">
        <w:trPr>
          <w:trHeight w:val="459"/>
        </w:trPr>
        <w:tc>
          <w:tcPr>
            <w:tcW w:w="4077" w:type="dxa"/>
            <w:vMerge/>
            <w:shd w:val="clear" w:color="auto" w:fill="D9D9D9" w:themeFill="background1" w:themeFillShade="D9"/>
            <w:vAlign w:val="center"/>
          </w:tcPr>
          <w:p w14:paraId="2870A141" w14:textId="77777777" w:rsidR="00A7448C" w:rsidRPr="006D18C5" w:rsidRDefault="00A7448C" w:rsidP="006D18C5">
            <w:pPr>
              <w:spacing w:line="360" w:lineRule="auto"/>
              <w:jc w:val="center"/>
              <w:rPr>
                <w:rFonts w:ascii="Times New Roman" w:hAnsi="Times New Roman" w:cs="Times New Roman"/>
                <w:b/>
                <w:szCs w:val="24"/>
              </w:rPr>
            </w:pPr>
          </w:p>
        </w:tc>
        <w:tc>
          <w:tcPr>
            <w:tcW w:w="1701" w:type="dxa"/>
            <w:shd w:val="clear" w:color="auto" w:fill="D9D9D9" w:themeFill="background1" w:themeFillShade="D9"/>
            <w:noWrap/>
            <w:vAlign w:val="center"/>
          </w:tcPr>
          <w:p w14:paraId="03E6FBA8" w14:textId="77777777" w:rsidR="00A7448C" w:rsidRPr="006D18C5" w:rsidRDefault="00A7448C" w:rsidP="006D18C5">
            <w:pPr>
              <w:spacing w:line="360" w:lineRule="auto"/>
              <w:jc w:val="center"/>
              <w:rPr>
                <w:rFonts w:ascii="Times New Roman" w:hAnsi="Times New Roman" w:cs="Times New Roman"/>
                <w:b/>
                <w:szCs w:val="24"/>
              </w:rPr>
            </w:pPr>
            <w:r w:rsidRPr="006D18C5">
              <w:rPr>
                <w:rFonts w:ascii="Times New Roman" w:hAnsi="Times New Roman" w:cs="Times New Roman"/>
                <w:b/>
                <w:szCs w:val="24"/>
              </w:rPr>
              <w:t>Number</w:t>
            </w:r>
          </w:p>
        </w:tc>
        <w:tc>
          <w:tcPr>
            <w:tcW w:w="3289" w:type="dxa"/>
            <w:shd w:val="clear" w:color="auto" w:fill="D9D9D9" w:themeFill="background1" w:themeFillShade="D9"/>
            <w:vAlign w:val="center"/>
          </w:tcPr>
          <w:p w14:paraId="4F51029E" w14:textId="77777777" w:rsidR="00A7448C" w:rsidRPr="006D18C5" w:rsidRDefault="00A7448C" w:rsidP="006D18C5">
            <w:pPr>
              <w:spacing w:line="360" w:lineRule="auto"/>
              <w:jc w:val="center"/>
              <w:rPr>
                <w:rFonts w:ascii="Times New Roman" w:hAnsi="Times New Roman" w:cs="Times New Roman"/>
                <w:b/>
                <w:szCs w:val="24"/>
              </w:rPr>
            </w:pPr>
            <w:r w:rsidRPr="006D18C5">
              <w:rPr>
                <w:rFonts w:ascii="Times New Roman" w:hAnsi="Times New Roman" w:cs="Times New Roman"/>
                <w:b/>
                <w:szCs w:val="24"/>
              </w:rPr>
              <w:t>Description of targets not achieved</w:t>
            </w:r>
          </w:p>
        </w:tc>
      </w:tr>
      <w:tr w:rsidR="00A7448C" w:rsidRPr="00586CCF" w14:paraId="28BB1E36" w14:textId="77777777" w:rsidTr="006D18C5">
        <w:trPr>
          <w:trHeight w:val="20"/>
        </w:trPr>
        <w:tc>
          <w:tcPr>
            <w:tcW w:w="4077" w:type="dxa"/>
            <w:shd w:val="clear" w:color="auto" w:fill="auto"/>
            <w:hideMark/>
          </w:tcPr>
          <w:p w14:paraId="799B8EBF" w14:textId="77777777" w:rsidR="00A7448C" w:rsidRPr="006D18C5" w:rsidRDefault="00A7448C" w:rsidP="006D18C5">
            <w:pPr>
              <w:shd w:val="clear" w:color="auto" w:fill="FFFFFF" w:themeFill="background1"/>
              <w:spacing w:line="360" w:lineRule="auto"/>
              <w:jc w:val="left"/>
              <w:rPr>
                <w:rFonts w:ascii="Times New Roman" w:hAnsi="Times New Roman" w:cs="Times New Roman"/>
                <w:bCs/>
                <w:szCs w:val="24"/>
                <w:lang w:eastAsia="en-ZA"/>
              </w:rPr>
            </w:pPr>
            <w:r w:rsidRPr="006D18C5">
              <w:rPr>
                <w:rFonts w:ascii="Times New Roman" w:hAnsi="Times New Roman" w:cs="Times New Roman"/>
                <w:b/>
                <w:bCs/>
                <w:szCs w:val="24"/>
                <w:lang w:eastAsia="en-ZA"/>
              </w:rPr>
              <w:t>Programme 1:</w:t>
            </w:r>
            <w:r w:rsidRPr="006D18C5">
              <w:rPr>
                <w:rFonts w:ascii="Times New Roman" w:hAnsi="Times New Roman" w:cs="Times New Roman"/>
                <w:bCs/>
                <w:szCs w:val="24"/>
                <w:lang w:eastAsia="en-ZA"/>
              </w:rPr>
              <w:t xml:space="preserve"> Administration</w:t>
            </w:r>
          </w:p>
        </w:tc>
        <w:tc>
          <w:tcPr>
            <w:tcW w:w="1701" w:type="dxa"/>
            <w:shd w:val="clear" w:color="auto" w:fill="auto"/>
            <w:noWrap/>
            <w:hideMark/>
          </w:tcPr>
          <w:p w14:paraId="5FC03656" w14:textId="77777777" w:rsidR="00A7448C" w:rsidRPr="006D18C5" w:rsidRDefault="00A7448C" w:rsidP="006D18C5">
            <w:pPr>
              <w:shd w:val="clear" w:color="auto" w:fill="FFFFFF" w:themeFill="background1"/>
              <w:spacing w:line="360" w:lineRule="auto"/>
              <w:jc w:val="left"/>
              <w:rPr>
                <w:rFonts w:ascii="Times New Roman" w:hAnsi="Times New Roman" w:cs="Times New Roman"/>
                <w:szCs w:val="24"/>
                <w:lang w:eastAsia="en-ZA"/>
              </w:rPr>
            </w:pPr>
            <w:r w:rsidRPr="006D18C5">
              <w:rPr>
                <w:rFonts w:ascii="Times New Roman" w:hAnsi="Times New Roman" w:cs="Times New Roman"/>
                <w:bCs/>
                <w:szCs w:val="24"/>
                <w:lang w:eastAsia="en-ZA"/>
              </w:rPr>
              <w:t>Achieved: 1</w:t>
            </w:r>
          </w:p>
        </w:tc>
        <w:tc>
          <w:tcPr>
            <w:tcW w:w="3289" w:type="dxa"/>
            <w:shd w:val="clear" w:color="auto" w:fill="auto"/>
            <w:noWrap/>
            <w:vAlign w:val="center"/>
            <w:hideMark/>
          </w:tcPr>
          <w:p w14:paraId="6BF1724E" w14:textId="77777777" w:rsidR="00A7448C" w:rsidRPr="006D18C5" w:rsidRDefault="00A7448C" w:rsidP="00586CCF">
            <w:pPr>
              <w:shd w:val="clear" w:color="auto" w:fill="FFFFFF" w:themeFill="background1"/>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w:t>
            </w:r>
          </w:p>
        </w:tc>
      </w:tr>
      <w:tr w:rsidR="00A7448C" w:rsidRPr="00586CCF" w14:paraId="696FAD2D" w14:textId="77777777" w:rsidTr="006D18C5">
        <w:trPr>
          <w:trHeight w:val="20"/>
        </w:trPr>
        <w:tc>
          <w:tcPr>
            <w:tcW w:w="4077" w:type="dxa"/>
            <w:shd w:val="clear" w:color="auto" w:fill="auto"/>
            <w:hideMark/>
          </w:tcPr>
          <w:p w14:paraId="2D82CB78" w14:textId="77777777" w:rsidR="00A7448C" w:rsidRPr="006D18C5" w:rsidRDefault="00A7448C" w:rsidP="006D18C5">
            <w:pPr>
              <w:shd w:val="clear" w:color="auto" w:fill="FFFFFF" w:themeFill="background1"/>
              <w:spacing w:line="360" w:lineRule="auto"/>
              <w:jc w:val="left"/>
              <w:rPr>
                <w:rFonts w:ascii="Times New Roman" w:hAnsi="Times New Roman" w:cs="Times New Roman"/>
                <w:bCs/>
                <w:szCs w:val="24"/>
                <w:lang w:eastAsia="en-ZA"/>
              </w:rPr>
            </w:pPr>
            <w:r w:rsidRPr="006D18C5">
              <w:rPr>
                <w:rFonts w:ascii="Times New Roman" w:hAnsi="Times New Roman" w:cs="Times New Roman"/>
                <w:b/>
                <w:bCs/>
                <w:szCs w:val="24"/>
                <w:lang w:eastAsia="en-ZA"/>
              </w:rPr>
              <w:t>Programme 2:</w:t>
            </w:r>
            <w:r w:rsidRPr="006D18C5">
              <w:rPr>
                <w:rFonts w:ascii="Times New Roman" w:hAnsi="Times New Roman" w:cs="Times New Roman"/>
                <w:bCs/>
                <w:szCs w:val="24"/>
                <w:lang w:eastAsia="en-ZA"/>
              </w:rPr>
              <w:t xml:space="preserve"> To promote Consumer Protection and Consumer Safety</w:t>
            </w:r>
          </w:p>
        </w:tc>
        <w:tc>
          <w:tcPr>
            <w:tcW w:w="1701" w:type="dxa"/>
            <w:shd w:val="clear" w:color="auto" w:fill="auto"/>
            <w:noWrap/>
            <w:hideMark/>
          </w:tcPr>
          <w:p w14:paraId="0DC489DF" w14:textId="77777777" w:rsidR="00A7448C" w:rsidRPr="006D18C5" w:rsidRDefault="00A7448C" w:rsidP="006D18C5">
            <w:pPr>
              <w:shd w:val="clear" w:color="auto" w:fill="FFFFFF" w:themeFill="background1"/>
              <w:spacing w:line="360" w:lineRule="auto"/>
              <w:jc w:val="left"/>
              <w:rPr>
                <w:rFonts w:ascii="Times New Roman" w:hAnsi="Times New Roman" w:cs="Times New Roman"/>
                <w:bCs/>
                <w:szCs w:val="24"/>
                <w:lang w:eastAsia="en-ZA"/>
              </w:rPr>
            </w:pPr>
            <w:r w:rsidRPr="006D18C5">
              <w:rPr>
                <w:rFonts w:ascii="Times New Roman" w:hAnsi="Times New Roman" w:cs="Times New Roman"/>
                <w:bCs/>
                <w:szCs w:val="24"/>
                <w:lang w:eastAsia="en-ZA"/>
              </w:rPr>
              <w:t>Achieved: 8</w:t>
            </w:r>
          </w:p>
          <w:p w14:paraId="47E9EA3B" w14:textId="77777777" w:rsidR="00A7448C" w:rsidRPr="006D18C5" w:rsidRDefault="00A7448C" w:rsidP="006D18C5">
            <w:pPr>
              <w:shd w:val="clear" w:color="auto" w:fill="FFFFFF" w:themeFill="background1"/>
              <w:spacing w:line="360" w:lineRule="auto"/>
              <w:jc w:val="left"/>
              <w:rPr>
                <w:rFonts w:ascii="Times New Roman" w:hAnsi="Times New Roman" w:cs="Times New Roman"/>
                <w:szCs w:val="24"/>
                <w:lang w:eastAsia="en-ZA"/>
              </w:rPr>
            </w:pPr>
            <w:r w:rsidRPr="006D18C5">
              <w:rPr>
                <w:rFonts w:ascii="Times New Roman" w:hAnsi="Times New Roman" w:cs="Times New Roman"/>
                <w:bCs/>
                <w:szCs w:val="24"/>
                <w:lang w:eastAsia="en-ZA"/>
              </w:rPr>
              <w:t>Not achieved: 1</w:t>
            </w:r>
          </w:p>
        </w:tc>
        <w:tc>
          <w:tcPr>
            <w:tcW w:w="3289" w:type="dxa"/>
            <w:shd w:val="clear" w:color="auto" w:fill="auto"/>
            <w:noWrap/>
            <w:vAlign w:val="center"/>
            <w:hideMark/>
          </w:tcPr>
          <w:p w14:paraId="73CBB871" w14:textId="77777777" w:rsidR="00A7448C" w:rsidRPr="006D18C5" w:rsidRDefault="00A7448C" w:rsidP="00586CCF">
            <w:pPr>
              <w:spacing w:line="360" w:lineRule="auto"/>
              <w:rPr>
                <w:rFonts w:ascii="Times New Roman" w:hAnsi="Times New Roman" w:cs="Times New Roman"/>
                <w:szCs w:val="24"/>
              </w:rPr>
            </w:pPr>
            <w:r w:rsidRPr="006D18C5">
              <w:rPr>
                <w:rFonts w:ascii="Times New Roman" w:hAnsi="Times New Roman" w:cs="Times New Roman"/>
                <w:szCs w:val="24"/>
              </w:rPr>
              <w:t>10 Consumer awareness workshops were conducted against a target of 24</w:t>
            </w:r>
          </w:p>
        </w:tc>
      </w:tr>
      <w:tr w:rsidR="00A7448C" w:rsidRPr="00586CCF" w14:paraId="4F0E6D4C" w14:textId="77777777" w:rsidTr="006D18C5">
        <w:trPr>
          <w:trHeight w:val="20"/>
        </w:trPr>
        <w:tc>
          <w:tcPr>
            <w:tcW w:w="4077" w:type="dxa"/>
            <w:shd w:val="clear" w:color="auto" w:fill="auto"/>
            <w:hideMark/>
          </w:tcPr>
          <w:p w14:paraId="7C53875D" w14:textId="77777777" w:rsidR="00A7448C" w:rsidRPr="006D18C5" w:rsidRDefault="00A7448C" w:rsidP="006D18C5">
            <w:pPr>
              <w:shd w:val="clear" w:color="auto" w:fill="FFFFFF" w:themeFill="background1"/>
              <w:spacing w:line="360" w:lineRule="auto"/>
              <w:jc w:val="left"/>
              <w:rPr>
                <w:rFonts w:ascii="Times New Roman" w:hAnsi="Times New Roman" w:cs="Times New Roman"/>
                <w:bCs/>
                <w:szCs w:val="24"/>
                <w:lang w:eastAsia="en-ZA"/>
              </w:rPr>
            </w:pPr>
            <w:r w:rsidRPr="006D18C5">
              <w:rPr>
                <w:rFonts w:ascii="Times New Roman" w:hAnsi="Times New Roman" w:cs="Times New Roman"/>
                <w:b/>
                <w:bCs/>
                <w:szCs w:val="24"/>
                <w:lang w:eastAsia="en-ZA"/>
              </w:rPr>
              <w:t>Programme 3:</w:t>
            </w:r>
            <w:r w:rsidRPr="006D18C5">
              <w:rPr>
                <w:rFonts w:ascii="Times New Roman" w:hAnsi="Times New Roman" w:cs="Times New Roman"/>
                <w:bCs/>
                <w:szCs w:val="24"/>
                <w:lang w:eastAsia="en-ZA"/>
              </w:rPr>
              <w:t xml:space="preserve"> To promote reform of consumer policy and consumer protection legislation </w:t>
            </w:r>
          </w:p>
        </w:tc>
        <w:tc>
          <w:tcPr>
            <w:tcW w:w="1701" w:type="dxa"/>
            <w:shd w:val="clear" w:color="auto" w:fill="auto"/>
            <w:noWrap/>
            <w:hideMark/>
          </w:tcPr>
          <w:p w14:paraId="2B7CE9D5" w14:textId="77777777" w:rsidR="00A7448C" w:rsidRPr="006D18C5" w:rsidRDefault="00A7448C" w:rsidP="006D18C5">
            <w:pPr>
              <w:shd w:val="clear" w:color="auto" w:fill="FFFFFF" w:themeFill="background1"/>
              <w:spacing w:line="360" w:lineRule="auto"/>
              <w:jc w:val="left"/>
              <w:rPr>
                <w:rFonts w:ascii="Times New Roman" w:hAnsi="Times New Roman" w:cs="Times New Roman"/>
                <w:szCs w:val="24"/>
                <w:lang w:eastAsia="en-ZA"/>
              </w:rPr>
            </w:pPr>
            <w:r>
              <w:rPr>
                <w:rFonts w:ascii="Times New Roman" w:hAnsi="Times New Roman" w:cs="Times New Roman"/>
                <w:bCs/>
                <w:szCs w:val="24"/>
                <w:lang w:eastAsia="en-ZA"/>
              </w:rPr>
              <w:t xml:space="preserve">Achieved: </w:t>
            </w:r>
            <w:r w:rsidRPr="006D18C5">
              <w:rPr>
                <w:rFonts w:ascii="Times New Roman" w:hAnsi="Times New Roman" w:cs="Times New Roman"/>
                <w:bCs/>
                <w:szCs w:val="24"/>
                <w:lang w:eastAsia="en-ZA"/>
              </w:rPr>
              <w:t>4</w:t>
            </w:r>
          </w:p>
        </w:tc>
        <w:tc>
          <w:tcPr>
            <w:tcW w:w="3289" w:type="dxa"/>
            <w:shd w:val="clear" w:color="auto" w:fill="auto"/>
            <w:noWrap/>
            <w:vAlign w:val="center"/>
          </w:tcPr>
          <w:p w14:paraId="72234B58" w14:textId="77777777" w:rsidR="00A7448C" w:rsidRPr="006D18C5" w:rsidRDefault="00A7448C" w:rsidP="00586CCF">
            <w:pPr>
              <w:shd w:val="clear" w:color="auto" w:fill="FFFFFF" w:themeFill="background1"/>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w:t>
            </w:r>
          </w:p>
        </w:tc>
      </w:tr>
      <w:tr w:rsidR="00A7448C" w:rsidRPr="00586CCF" w14:paraId="3B172A99" w14:textId="77777777" w:rsidTr="006D18C5">
        <w:trPr>
          <w:trHeight w:val="20"/>
        </w:trPr>
        <w:tc>
          <w:tcPr>
            <w:tcW w:w="4077" w:type="dxa"/>
            <w:shd w:val="clear" w:color="auto" w:fill="auto"/>
            <w:hideMark/>
          </w:tcPr>
          <w:p w14:paraId="7783E009" w14:textId="77777777" w:rsidR="00A7448C" w:rsidRPr="006D18C5" w:rsidRDefault="00A7448C" w:rsidP="006D18C5">
            <w:pPr>
              <w:shd w:val="clear" w:color="auto" w:fill="FFFFFF" w:themeFill="background1"/>
              <w:spacing w:line="360" w:lineRule="auto"/>
              <w:jc w:val="left"/>
              <w:rPr>
                <w:rFonts w:ascii="Times New Roman" w:hAnsi="Times New Roman" w:cs="Times New Roman"/>
                <w:bCs/>
                <w:szCs w:val="24"/>
                <w:lang w:eastAsia="en-ZA"/>
              </w:rPr>
            </w:pPr>
            <w:r w:rsidRPr="006D18C5">
              <w:rPr>
                <w:rFonts w:ascii="Times New Roman" w:hAnsi="Times New Roman" w:cs="Times New Roman"/>
                <w:b/>
                <w:bCs/>
                <w:szCs w:val="24"/>
                <w:lang w:eastAsia="en-ZA"/>
              </w:rPr>
              <w:t>Programme 4:</w:t>
            </w:r>
            <w:r w:rsidRPr="006D18C5">
              <w:rPr>
                <w:rFonts w:ascii="Times New Roman" w:hAnsi="Times New Roman" w:cs="Times New Roman"/>
                <w:bCs/>
                <w:szCs w:val="24"/>
                <w:lang w:eastAsia="en-ZA"/>
              </w:rPr>
              <w:t xml:space="preserve"> To conduct research and to promote public awareness on consumer protection matters</w:t>
            </w:r>
          </w:p>
        </w:tc>
        <w:tc>
          <w:tcPr>
            <w:tcW w:w="1701" w:type="dxa"/>
            <w:shd w:val="clear" w:color="auto" w:fill="auto"/>
            <w:noWrap/>
            <w:hideMark/>
          </w:tcPr>
          <w:p w14:paraId="1936BAE6" w14:textId="77777777" w:rsidR="00A7448C" w:rsidRDefault="00A7448C" w:rsidP="006D18C5">
            <w:pPr>
              <w:shd w:val="clear" w:color="auto" w:fill="FFFFFF" w:themeFill="background1"/>
              <w:spacing w:line="360" w:lineRule="auto"/>
              <w:jc w:val="left"/>
              <w:rPr>
                <w:rFonts w:ascii="Times New Roman" w:hAnsi="Times New Roman" w:cs="Times New Roman"/>
                <w:bCs/>
                <w:szCs w:val="24"/>
                <w:lang w:eastAsia="en-ZA"/>
              </w:rPr>
            </w:pPr>
            <w:r>
              <w:rPr>
                <w:rFonts w:ascii="Times New Roman" w:hAnsi="Times New Roman" w:cs="Times New Roman"/>
                <w:bCs/>
                <w:szCs w:val="24"/>
                <w:lang w:eastAsia="en-ZA"/>
              </w:rPr>
              <w:t>Achieved: 4</w:t>
            </w:r>
          </w:p>
          <w:p w14:paraId="63ACC652" w14:textId="77777777" w:rsidR="00A7448C" w:rsidRPr="006D18C5" w:rsidRDefault="00A7448C" w:rsidP="006D18C5">
            <w:pPr>
              <w:shd w:val="clear" w:color="auto" w:fill="FFFFFF" w:themeFill="background1"/>
              <w:spacing w:line="360" w:lineRule="auto"/>
              <w:jc w:val="left"/>
              <w:rPr>
                <w:rFonts w:ascii="Times New Roman" w:hAnsi="Times New Roman" w:cs="Times New Roman"/>
                <w:szCs w:val="24"/>
                <w:lang w:eastAsia="en-ZA"/>
              </w:rPr>
            </w:pPr>
            <w:r>
              <w:rPr>
                <w:rFonts w:ascii="Times New Roman" w:hAnsi="Times New Roman" w:cs="Times New Roman"/>
                <w:bCs/>
                <w:szCs w:val="24"/>
                <w:lang w:eastAsia="en-ZA"/>
              </w:rPr>
              <w:t>Not achieved: 1</w:t>
            </w:r>
          </w:p>
        </w:tc>
        <w:tc>
          <w:tcPr>
            <w:tcW w:w="3289" w:type="dxa"/>
            <w:shd w:val="clear" w:color="auto" w:fill="auto"/>
            <w:noWrap/>
            <w:vAlign w:val="center"/>
          </w:tcPr>
          <w:p w14:paraId="76411D8A" w14:textId="77777777" w:rsidR="00A7448C" w:rsidRPr="006D18C5" w:rsidRDefault="00A7448C" w:rsidP="00A7448C">
            <w:pPr>
              <w:shd w:val="clear" w:color="auto" w:fill="FFFFFF" w:themeFill="background1"/>
              <w:spacing w:line="360" w:lineRule="auto"/>
              <w:rPr>
                <w:rFonts w:ascii="Times New Roman" w:hAnsi="Times New Roman" w:cs="Times New Roman"/>
                <w:szCs w:val="24"/>
                <w:lang w:eastAsia="en-ZA"/>
              </w:rPr>
            </w:pPr>
            <w:r w:rsidRPr="006D18C5">
              <w:rPr>
                <w:rFonts w:ascii="Times New Roman" w:hAnsi="Times New Roman" w:cs="Times New Roman"/>
                <w:szCs w:val="24"/>
                <w:lang w:eastAsia="en-ZA"/>
              </w:rPr>
              <w:t xml:space="preserve">The appointment of a transactional adviser and the feasibility study </w:t>
            </w:r>
            <w:r>
              <w:rPr>
                <w:rFonts w:ascii="Times New Roman" w:hAnsi="Times New Roman" w:cs="Times New Roman"/>
                <w:szCs w:val="24"/>
                <w:lang w:eastAsia="en-ZA"/>
              </w:rPr>
              <w:t xml:space="preserve">had </w:t>
            </w:r>
            <w:r w:rsidRPr="006D18C5">
              <w:rPr>
                <w:rFonts w:ascii="Times New Roman" w:hAnsi="Times New Roman" w:cs="Times New Roman"/>
                <w:szCs w:val="24"/>
                <w:lang w:eastAsia="en-ZA"/>
              </w:rPr>
              <w:t xml:space="preserve">not </w:t>
            </w:r>
            <w:r>
              <w:rPr>
                <w:rFonts w:ascii="Times New Roman" w:hAnsi="Times New Roman" w:cs="Times New Roman"/>
                <w:szCs w:val="24"/>
                <w:lang w:eastAsia="en-ZA"/>
              </w:rPr>
              <w:t xml:space="preserve">been </w:t>
            </w:r>
            <w:r w:rsidRPr="006D18C5">
              <w:rPr>
                <w:rFonts w:ascii="Times New Roman" w:hAnsi="Times New Roman" w:cs="Times New Roman"/>
                <w:szCs w:val="24"/>
                <w:lang w:eastAsia="en-ZA"/>
              </w:rPr>
              <w:t>finalised.</w:t>
            </w:r>
          </w:p>
        </w:tc>
      </w:tr>
    </w:tbl>
    <w:p w14:paraId="02CA05FA" w14:textId="77777777" w:rsidR="00660BFF" w:rsidRPr="00586CCF" w:rsidRDefault="00660BF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Source: National Consumer Commission (2017: 42-52</w:t>
      </w:r>
      <w:r w:rsidR="00865F3F">
        <w:rPr>
          <w:rFonts w:ascii="Times New Roman" w:hAnsi="Times New Roman" w:cs="Times New Roman"/>
          <w:sz w:val="24"/>
          <w:szCs w:val="24"/>
        </w:rPr>
        <w:t>)</w:t>
      </w:r>
    </w:p>
    <w:p w14:paraId="1B540BDC" w14:textId="77777777" w:rsidR="00660BFF" w:rsidRPr="00586CCF" w:rsidRDefault="00660BFF" w:rsidP="00586CCF">
      <w:pPr>
        <w:spacing w:line="360" w:lineRule="auto"/>
        <w:rPr>
          <w:rFonts w:ascii="Times New Roman" w:hAnsi="Times New Roman" w:cs="Times New Roman"/>
          <w:sz w:val="24"/>
          <w:szCs w:val="24"/>
        </w:rPr>
      </w:pPr>
    </w:p>
    <w:p w14:paraId="0257A7B5" w14:textId="77777777" w:rsidR="00660BFF" w:rsidRPr="006D18C5" w:rsidRDefault="00660BFF" w:rsidP="006D18C5">
      <w:pPr>
        <w:spacing w:line="360" w:lineRule="auto"/>
        <w:rPr>
          <w:rFonts w:ascii="Times New Roman" w:hAnsi="Times New Roman" w:cs="Times New Roman"/>
          <w:sz w:val="24"/>
          <w:szCs w:val="24"/>
        </w:rPr>
      </w:pPr>
      <w:r w:rsidRPr="00EA4365">
        <w:rPr>
          <w:rFonts w:ascii="Times New Roman" w:hAnsi="Times New Roman"/>
          <w:sz w:val="24"/>
          <w:szCs w:val="24"/>
        </w:rPr>
        <w:t xml:space="preserve">In terms of the audit by the </w:t>
      </w:r>
      <w:r w:rsidR="003100D1">
        <w:rPr>
          <w:rFonts w:ascii="Times New Roman" w:hAnsi="Times New Roman"/>
          <w:sz w:val="24"/>
          <w:szCs w:val="24"/>
        </w:rPr>
        <w:t>Auditor-General</w:t>
      </w:r>
      <w:r w:rsidRPr="00EA4365">
        <w:rPr>
          <w:rFonts w:ascii="Times New Roman" w:hAnsi="Times New Roman"/>
          <w:sz w:val="24"/>
          <w:szCs w:val="24"/>
        </w:rPr>
        <w:t xml:space="preserve">, programme 2, 3, and 4 were audited. </w:t>
      </w:r>
      <w:r w:rsidR="00865F3F" w:rsidRPr="006D18C5">
        <w:rPr>
          <w:rFonts w:ascii="Times New Roman" w:hAnsi="Times New Roman" w:cs="Times New Roman"/>
          <w:sz w:val="24"/>
          <w:szCs w:val="24"/>
        </w:rPr>
        <w:t xml:space="preserve">For </w:t>
      </w:r>
      <w:r w:rsidRPr="006D18C5">
        <w:rPr>
          <w:rFonts w:ascii="Times New Roman" w:hAnsi="Times New Roman" w:cs="Times New Roman"/>
          <w:sz w:val="24"/>
          <w:szCs w:val="24"/>
        </w:rPr>
        <w:t>Programme 3</w:t>
      </w:r>
      <w:r w:rsidR="00865F3F" w:rsidRPr="006D18C5">
        <w:rPr>
          <w:rFonts w:ascii="Times New Roman" w:hAnsi="Times New Roman" w:cs="Times New Roman"/>
          <w:sz w:val="24"/>
          <w:szCs w:val="24"/>
        </w:rPr>
        <w:t xml:space="preserve">, </w:t>
      </w:r>
      <w:r w:rsidR="00EA4365" w:rsidRPr="00EA4365">
        <w:rPr>
          <w:rFonts w:ascii="Times New Roman" w:hAnsi="Times New Roman" w:cs="Times New Roman"/>
          <w:sz w:val="24"/>
          <w:szCs w:val="24"/>
        </w:rPr>
        <w:t>h</w:t>
      </w:r>
      <w:r w:rsidR="00EA4365" w:rsidRPr="00D21B4F">
        <w:rPr>
          <w:rFonts w:ascii="Times New Roman" w:hAnsi="Times New Roman" w:cs="Times New Roman"/>
          <w:sz w:val="24"/>
          <w:szCs w:val="24"/>
        </w:rPr>
        <w:t xml:space="preserve">e was unable to obtain sufficient, appropriate audit evidence for the reported achievement of </w:t>
      </w:r>
      <w:r w:rsidR="00865F3F" w:rsidRPr="006D18C5">
        <w:rPr>
          <w:rFonts w:ascii="Times New Roman" w:hAnsi="Times New Roman" w:cs="Times New Roman"/>
          <w:sz w:val="24"/>
          <w:szCs w:val="24"/>
        </w:rPr>
        <w:t>the t</w:t>
      </w:r>
      <w:r w:rsidRPr="006D18C5">
        <w:rPr>
          <w:rFonts w:ascii="Times New Roman" w:hAnsi="Times New Roman" w:cs="Times New Roman"/>
          <w:sz w:val="24"/>
          <w:szCs w:val="24"/>
        </w:rPr>
        <w:t>arget</w:t>
      </w:r>
      <w:r w:rsidR="00865F3F" w:rsidRPr="006D18C5">
        <w:rPr>
          <w:rFonts w:ascii="Times New Roman" w:hAnsi="Times New Roman" w:cs="Times New Roman"/>
          <w:sz w:val="24"/>
          <w:szCs w:val="24"/>
        </w:rPr>
        <w:t xml:space="preserve"> of</w:t>
      </w:r>
      <w:r w:rsidRPr="006D18C5">
        <w:rPr>
          <w:rFonts w:ascii="Times New Roman" w:hAnsi="Times New Roman" w:cs="Times New Roman"/>
          <w:sz w:val="24"/>
          <w:szCs w:val="24"/>
        </w:rPr>
        <w:t xml:space="preserve"> </w:t>
      </w:r>
      <w:r w:rsidR="00865F3F" w:rsidRPr="006D18C5">
        <w:rPr>
          <w:rFonts w:ascii="Times New Roman" w:hAnsi="Times New Roman" w:cs="Times New Roman"/>
          <w:sz w:val="24"/>
          <w:szCs w:val="24"/>
        </w:rPr>
        <w:t>“</w:t>
      </w:r>
      <w:r w:rsidRPr="006D18C5">
        <w:rPr>
          <w:rFonts w:ascii="Times New Roman" w:hAnsi="Times New Roman" w:cs="Times New Roman"/>
          <w:sz w:val="24"/>
          <w:szCs w:val="24"/>
        </w:rPr>
        <w:t>80% of registered requests for explanatory notes and/or non-binding opinions provided within an average of 20 days</w:t>
      </w:r>
      <w:r w:rsidR="00865F3F" w:rsidRPr="006D18C5">
        <w:rPr>
          <w:rFonts w:ascii="Times New Roman" w:hAnsi="Times New Roman" w:cs="Times New Roman"/>
          <w:sz w:val="24"/>
          <w:szCs w:val="24"/>
        </w:rPr>
        <w:t>”</w:t>
      </w:r>
      <w:r w:rsidRPr="006D18C5">
        <w:rPr>
          <w:rFonts w:ascii="Times New Roman" w:hAnsi="Times New Roman" w:cs="Times New Roman"/>
          <w:sz w:val="24"/>
          <w:szCs w:val="24"/>
        </w:rPr>
        <w:t>.</w:t>
      </w:r>
      <w:r w:rsidR="00865F3F">
        <w:rPr>
          <w:rFonts w:ascii="Times New Roman" w:hAnsi="Times New Roman" w:cs="Times New Roman"/>
          <w:sz w:val="24"/>
          <w:szCs w:val="24"/>
        </w:rPr>
        <w:t xml:space="preserve"> </w:t>
      </w:r>
      <w:r w:rsidRPr="006D18C5">
        <w:rPr>
          <w:rFonts w:ascii="Times New Roman" w:hAnsi="Times New Roman" w:cs="Times New Roman"/>
          <w:sz w:val="24"/>
          <w:szCs w:val="24"/>
        </w:rPr>
        <w:t xml:space="preserve">Therefore, he was unable to determine whether any adjustments were required to the reported achievement of 100%. </w:t>
      </w:r>
    </w:p>
    <w:p w14:paraId="77C97862" w14:textId="77777777" w:rsidR="00660BFF" w:rsidRPr="006D18C5" w:rsidRDefault="00660BFF" w:rsidP="006D18C5">
      <w:pPr>
        <w:spacing w:line="360" w:lineRule="auto"/>
        <w:rPr>
          <w:rFonts w:ascii="Times New Roman" w:hAnsi="Times New Roman" w:cs="Times New Roman"/>
          <w:sz w:val="24"/>
          <w:szCs w:val="24"/>
        </w:rPr>
      </w:pPr>
    </w:p>
    <w:p w14:paraId="071C3933" w14:textId="77777777" w:rsidR="00660BFF" w:rsidRPr="006D18C5" w:rsidRDefault="00865F3F" w:rsidP="006D18C5">
      <w:pPr>
        <w:spacing w:line="360" w:lineRule="auto"/>
        <w:rPr>
          <w:rFonts w:ascii="Times New Roman" w:hAnsi="Times New Roman" w:cs="Times New Roman"/>
          <w:sz w:val="24"/>
          <w:szCs w:val="24"/>
        </w:rPr>
      </w:pPr>
      <w:r w:rsidRPr="006D18C5">
        <w:rPr>
          <w:rFonts w:ascii="Times New Roman" w:hAnsi="Times New Roman" w:cs="Times New Roman"/>
          <w:sz w:val="24"/>
          <w:szCs w:val="24"/>
        </w:rPr>
        <w:t xml:space="preserve">For </w:t>
      </w:r>
      <w:r w:rsidR="00660BFF" w:rsidRPr="006D18C5">
        <w:rPr>
          <w:rFonts w:ascii="Times New Roman" w:hAnsi="Times New Roman" w:cs="Times New Roman"/>
          <w:sz w:val="24"/>
          <w:szCs w:val="24"/>
        </w:rPr>
        <w:t>Programme 4</w:t>
      </w:r>
      <w:r w:rsidRPr="006D18C5">
        <w:rPr>
          <w:rFonts w:ascii="Times New Roman" w:hAnsi="Times New Roman" w:cs="Times New Roman"/>
          <w:sz w:val="24"/>
          <w:szCs w:val="24"/>
        </w:rPr>
        <w:t xml:space="preserve">, he highlighted that for the target of </w:t>
      </w:r>
      <w:r w:rsidR="00EA4365" w:rsidRPr="006D18C5">
        <w:rPr>
          <w:rFonts w:ascii="Times New Roman" w:hAnsi="Times New Roman" w:cs="Times New Roman"/>
          <w:sz w:val="24"/>
          <w:szCs w:val="24"/>
        </w:rPr>
        <w:t xml:space="preserve">“complaints </w:t>
      </w:r>
      <w:r w:rsidR="00660BFF" w:rsidRPr="006D18C5">
        <w:rPr>
          <w:rFonts w:ascii="Times New Roman" w:hAnsi="Times New Roman" w:cs="Times New Roman"/>
          <w:sz w:val="24"/>
          <w:szCs w:val="24"/>
        </w:rPr>
        <w:t>analysed, trends established and reports produced</w:t>
      </w:r>
      <w:r w:rsidR="00EA4365" w:rsidRPr="006D18C5">
        <w:rPr>
          <w:rFonts w:ascii="Times New Roman" w:hAnsi="Times New Roman" w:cs="Times New Roman"/>
          <w:sz w:val="24"/>
          <w:szCs w:val="24"/>
        </w:rPr>
        <w:t xml:space="preserve">” </w:t>
      </w:r>
      <w:r w:rsidR="00660BFF" w:rsidRPr="006D18C5">
        <w:rPr>
          <w:rFonts w:ascii="Times New Roman" w:hAnsi="Times New Roman" w:cs="Times New Roman"/>
          <w:sz w:val="24"/>
          <w:szCs w:val="24"/>
        </w:rPr>
        <w:t xml:space="preserve"> the NCC “did not have an adequate performance management system to maintain records to enable reliable reporting on achievement of targets. Sufficient</w:t>
      </w:r>
      <w:r w:rsidR="00EA4365" w:rsidRPr="006D18C5">
        <w:rPr>
          <w:rFonts w:ascii="Times New Roman" w:hAnsi="Times New Roman" w:cs="Times New Roman"/>
          <w:sz w:val="24"/>
          <w:szCs w:val="24"/>
        </w:rPr>
        <w:t>,</w:t>
      </w:r>
      <w:r w:rsidR="00660BFF" w:rsidRPr="006D18C5">
        <w:rPr>
          <w:rFonts w:ascii="Times New Roman" w:hAnsi="Times New Roman" w:cs="Times New Roman"/>
          <w:sz w:val="24"/>
          <w:szCs w:val="24"/>
        </w:rPr>
        <w:t xml:space="preserve"> appropriate audit evidence could not be provided in some instances while in other cases the evidence provided did not agree </w:t>
      </w:r>
      <w:r w:rsidR="00EA4365" w:rsidRPr="006D18C5">
        <w:rPr>
          <w:rFonts w:ascii="Times New Roman" w:hAnsi="Times New Roman" w:cs="Times New Roman"/>
          <w:sz w:val="24"/>
          <w:szCs w:val="24"/>
        </w:rPr>
        <w:t xml:space="preserve">with </w:t>
      </w:r>
      <w:r w:rsidR="00660BFF" w:rsidRPr="006D18C5">
        <w:rPr>
          <w:rFonts w:ascii="Times New Roman" w:hAnsi="Times New Roman" w:cs="Times New Roman"/>
          <w:sz w:val="24"/>
          <w:szCs w:val="24"/>
        </w:rPr>
        <w:t>the recorded achievements”.</w:t>
      </w:r>
      <w:r w:rsidR="00EA4365">
        <w:rPr>
          <w:rFonts w:ascii="Times New Roman" w:hAnsi="Times New Roman" w:cs="Times New Roman"/>
          <w:sz w:val="24"/>
          <w:szCs w:val="24"/>
        </w:rPr>
        <w:t xml:space="preserve"> </w:t>
      </w:r>
      <w:r w:rsidR="00660BFF" w:rsidRPr="006D18C5">
        <w:rPr>
          <w:rFonts w:ascii="Times New Roman" w:hAnsi="Times New Roman" w:cs="Times New Roman"/>
          <w:sz w:val="24"/>
          <w:szCs w:val="24"/>
        </w:rPr>
        <w:t xml:space="preserve">Therefore, there was a “misstatement of the target achievement reported as the evidence provided indicated that it was 55% and not 100%”. </w:t>
      </w:r>
    </w:p>
    <w:p w14:paraId="60CB0BCD" w14:textId="77777777" w:rsidR="005E27D0" w:rsidRPr="00586CCF" w:rsidRDefault="005E27D0" w:rsidP="005E27D0">
      <w:pPr>
        <w:pStyle w:val="ListParagraph"/>
        <w:autoSpaceDE w:val="0"/>
        <w:autoSpaceDN w:val="0"/>
        <w:adjustRightInd w:val="0"/>
        <w:spacing w:line="360" w:lineRule="auto"/>
        <w:ind w:left="360"/>
        <w:contextualSpacing w:val="0"/>
        <w:rPr>
          <w:rFonts w:ascii="Times New Roman" w:hAnsi="Times New Roman" w:cs="Times New Roman"/>
          <w:sz w:val="24"/>
          <w:szCs w:val="24"/>
        </w:rPr>
      </w:pPr>
    </w:p>
    <w:p w14:paraId="6890B31A" w14:textId="77777777" w:rsidR="00660BFF" w:rsidRPr="00586CCF" w:rsidRDefault="007D0E14" w:rsidP="004265FC">
      <w:pPr>
        <w:pStyle w:val="Heading33"/>
        <w:numPr>
          <w:ilvl w:val="2"/>
          <w:numId w:val="31"/>
        </w:numPr>
        <w:spacing w:line="300" w:lineRule="exact"/>
        <w:rPr>
          <w:rFonts w:ascii="Times New Roman" w:hAnsi="Times New Roman" w:cs="Times New Roman"/>
          <w:sz w:val="24"/>
        </w:rPr>
      </w:pPr>
      <w:r>
        <w:rPr>
          <w:rFonts w:ascii="Times New Roman" w:hAnsi="Times New Roman" w:cs="Times New Roman"/>
          <w:sz w:val="24"/>
        </w:rPr>
        <w:t xml:space="preserve">Financial </w:t>
      </w:r>
      <w:r w:rsidR="00660BFF" w:rsidRPr="00586CCF">
        <w:rPr>
          <w:rFonts w:ascii="Times New Roman" w:hAnsi="Times New Roman" w:cs="Times New Roman"/>
          <w:sz w:val="24"/>
        </w:rPr>
        <w:t>Performance</w:t>
      </w:r>
    </w:p>
    <w:p w14:paraId="1233E169" w14:textId="77777777" w:rsidR="00660BFF" w:rsidRPr="00586CCF" w:rsidRDefault="00660BFF" w:rsidP="00586CCF">
      <w:pPr>
        <w:spacing w:line="360" w:lineRule="auto"/>
        <w:rPr>
          <w:rFonts w:ascii="Times New Roman" w:hAnsi="Times New Roman" w:cs="Times New Roman"/>
          <w:sz w:val="24"/>
          <w:szCs w:val="24"/>
        </w:rPr>
      </w:pPr>
    </w:p>
    <w:p w14:paraId="6B5B4160" w14:textId="77777777" w:rsidR="00894911" w:rsidRDefault="00660BF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NCC received a transfer of R56.6 million from the DTI. </w:t>
      </w:r>
      <w:r w:rsidR="00D21B4F">
        <w:rPr>
          <w:rFonts w:ascii="Times New Roman" w:hAnsi="Times New Roman" w:cs="Times New Roman"/>
          <w:sz w:val="24"/>
          <w:szCs w:val="24"/>
        </w:rPr>
        <w:t>It</w:t>
      </w:r>
      <w:r w:rsidRPr="00586CCF">
        <w:rPr>
          <w:rFonts w:ascii="Times New Roman" w:hAnsi="Times New Roman" w:cs="Times New Roman"/>
          <w:sz w:val="24"/>
          <w:szCs w:val="24"/>
        </w:rPr>
        <w:t xml:space="preserve"> also received interest income of R1.6 million and R3.8 million from services in kind. This </w:t>
      </w:r>
      <w:r w:rsidR="00D21B4F">
        <w:rPr>
          <w:rFonts w:ascii="Times New Roman" w:hAnsi="Times New Roman" w:cs="Times New Roman"/>
          <w:sz w:val="24"/>
          <w:szCs w:val="24"/>
        </w:rPr>
        <w:t>brought</w:t>
      </w:r>
      <w:r w:rsidR="00D21B4F" w:rsidRPr="00586CCF">
        <w:rPr>
          <w:rFonts w:ascii="Times New Roman" w:hAnsi="Times New Roman" w:cs="Times New Roman"/>
          <w:sz w:val="24"/>
          <w:szCs w:val="24"/>
        </w:rPr>
        <w:t xml:space="preserve"> </w:t>
      </w:r>
      <w:r w:rsidR="00D21B4F">
        <w:rPr>
          <w:rFonts w:ascii="Times New Roman" w:hAnsi="Times New Roman" w:cs="Times New Roman"/>
          <w:sz w:val="24"/>
          <w:szCs w:val="24"/>
        </w:rPr>
        <w:t xml:space="preserve">its </w:t>
      </w:r>
      <w:r w:rsidRPr="00586CCF">
        <w:rPr>
          <w:rFonts w:ascii="Times New Roman" w:hAnsi="Times New Roman" w:cs="Times New Roman"/>
          <w:sz w:val="24"/>
          <w:szCs w:val="24"/>
        </w:rPr>
        <w:t>total income to R62.2 million, 6.7% (R3.9 million) more than the projected income.</w:t>
      </w:r>
    </w:p>
    <w:p w14:paraId="26E7DD9D" w14:textId="77777777" w:rsidR="00894911" w:rsidRDefault="00894911" w:rsidP="00586CCF">
      <w:pPr>
        <w:spacing w:line="360" w:lineRule="auto"/>
        <w:rPr>
          <w:rFonts w:ascii="Times New Roman" w:hAnsi="Times New Roman" w:cs="Times New Roman"/>
          <w:sz w:val="24"/>
          <w:szCs w:val="24"/>
        </w:rPr>
      </w:pPr>
    </w:p>
    <w:p w14:paraId="282D8C81" w14:textId="77777777" w:rsidR="00660BFF" w:rsidRPr="00586CCF" w:rsidRDefault="00660BF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 Expenditure for the financial year totalled R62.9 million. Expenditure for the period was more than income received</w:t>
      </w:r>
      <w:r w:rsidR="00D21B4F">
        <w:rPr>
          <w:rFonts w:ascii="Times New Roman" w:hAnsi="Times New Roman" w:cs="Times New Roman"/>
          <w:sz w:val="24"/>
          <w:szCs w:val="24"/>
        </w:rPr>
        <w:t>;</w:t>
      </w:r>
      <w:r w:rsidRPr="00586CCF">
        <w:rPr>
          <w:rFonts w:ascii="Times New Roman" w:hAnsi="Times New Roman" w:cs="Times New Roman"/>
          <w:sz w:val="24"/>
          <w:szCs w:val="24"/>
        </w:rPr>
        <w:t xml:space="preserve"> </w:t>
      </w:r>
      <w:r w:rsidR="00D21B4F">
        <w:rPr>
          <w:rFonts w:ascii="Times New Roman" w:hAnsi="Times New Roman" w:cs="Times New Roman"/>
          <w:sz w:val="24"/>
          <w:szCs w:val="24"/>
        </w:rPr>
        <w:t>hence, the NCC had</w:t>
      </w:r>
      <w:r w:rsidR="00D21B4F" w:rsidRPr="00586CCF">
        <w:rPr>
          <w:rFonts w:ascii="Times New Roman" w:hAnsi="Times New Roman" w:cs="Times New Roman"/>
          <w:sz w:val="24"/>
          <w:szCs w:val="24"/>
        </w:rPr>
        <w:t xml:space="preserve"> </w:t>
      </w:r>
      <w:r w:rsidRPr="00586CCF">
        <w:rPr>
          <w:rFonts w:ascii="Times New Roman" w:hAnsi="Times New Roman" w:cs="Times New Roman"/>
          <w:sz w:val="24"/>
          <w:szCs w:val="24"/>
        </w:rPr>
        <w:t xml:space="preserve">an operating deficit of R734 620. </w:t>
      </w:r>
    </w:p>
    <w:p w14:paraId="7673FABD" w14:textId="77777777" w:rsidR="00660BFF" w:rsidRPr="00586CCF" w:rsidRDefault="00660BFF" w:rsidP="00586CCF">
      <w:pPr>
        <w:spacing w:line="360" w:lineRule="auto"/>
        <w:rPr>
          <w:rFonts w:ascii="Times New Roman" w:hAnsi="Times New Roman" w:cs="Times New Roman"/>
          <w:sz w:val="24"/>
          <w:szCs w:val="24"/>
        </w:rPr>
      </w:pPr>
    </w:p>
    <w:p w14:paraId="5A67289C" w14:textId="77777777" w:rsidR="00660BFF" w:rsidRPr="00586CCF" w:rsidRDefault="00660BF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Employee</w:t>
      </w:r>
      <w:r w:rsidR="00D21B4F">
        <w:rPr>
          <w:rFonts w:ascii="Times New Roman" w:hAnsi="Times New Roman" w:cs="Times New Roman"/>
          <w:sz w:val="24"/>
          <w:szCs w:val="24"/>
        </w:rPr>
        <w:t>-</w:t>
      </w:r>
      <w:r w:rsidRPr="00586CCF">
        <w:rPr>
          <w:rFonts w:ascii="Times New Roman" w:hAnsi="Times New Roman" w:cs="Times New Roman"/>
          <w:sz w:val="24"/>
          <w:szCs w:val="24"/>
        </w:rPr>
        <w:t>related costs amounted to R40.7 million or 65</w:t>
      </w:r>
      <w:r w:rsidR="00D21B4F">
        <w:rPr>
          <w:rFonts w:ascii="Times New Roman" w:hAnsi="Times New Roman" w:cs="Times New Roman"/>
          <w:sz w:val="24"/>
          <w:szCs w:val="24"/>
        </w:rPr>
        <w:t>%</w:t>
      </w:r>
      <w:r w:rsidRPr="00586CCF">
        <w:rPr>
          <w:rFonts w:ascii="Times New Roman" w:hAnsi="Times New Roman" w:cs="Times New Roman"/>
          <w:sz w:val="24"/>
          <w:szCs w:val="24"/>
        </w:rPr>
        <w:t xml:space="preserve"> of total expenditure.  Employee</w:t>
      </w:r>
      <w:r w:rsidR="00D21B4F">
        <w:rPr>
          <w:rFonts w:ascii="Times New Roman" w:hAnsi="Times New Roman" w:cs="Times New Roman"/>
          <w:sz w:val="24"/>
          <w:szCs w:val="24"/>
        </w:rPr>
        <w:t>-</w:t>
      </w:r>
      <w:r w:rsidRPr="00586CCF">
        <w:rPr>
          <w:rFonts w:ascii="Times New Roman" w:hAnsi="Times New Roman" w:cs="Times New Roman"/>
          <w:sz w:val="24"/>
          <w:szCs w:val="24"/>
        </w:rPr>
        <w:t>related costs were more than the budgeted amount,</w:t>
      </w:r>
      <w:r w:rsidR="00D21B4F">
        <w:rPr>
          <w:rFonts w:ascii="Times New Roman" w:hAnsi="Times New Roman" w:cs="Times New Roman"/>
          <w:sz w:val="24"/>
          <w:szCs w:val="24"/>
        </w:rPr>
        <w:t xml:space="preserve"> or</w:t>
      </w:r>
      <w:r w:rsidRPr="00586CCF">
        <w:rPr>
          <w:rFonts w:ascii="Times New Roman" w:hAnsi="Times New Roman" w:cs="Times New Roman"/>
          <w:sz w:val="24"/>
          <w:szCs w:val="24"/>
        </w:rPr>
        <w:t xml:space="preserve"> an over</w:t>
      </w:r>
      <w:r w:rsidR="00D21B4F">
        <w:rPr>
          <w:rFonts w:ascii="Times New Roman" w:hAnsi="Times New Roman" w:cs="Times New Roman"/>
          <w:sz w:val="24"/>
          <w:szCs w:val="24"/>
        </w:rPr>
        <w:t>-</w:t>
      </w:r>
      <w:r w:rsidRPr="00586CCF">
        <w:rPr>
          <w:rFonts w:ascii="Times New Roman" w:hAnsi="Times New Roman" w:cs="Times New Roman"/>
          <w:sz w:val="24"/>
          <w:szCs w:val="24"/>
        </w:rPr>
        <w:t xml:space="preserve">expenditure of R341 626. </w:t>
      </w:r>
    </w:p>
    <w:p w14:paraId="428DBD91" w14:textId="77777777" w:rsidR="008C06E4" w:rsidRPr="00586CCF" w:rsidRDefault="008C06E4" w:rsidP="00586CCF">
      <w:pPr>
        <w:spacing w:line="360" w:lineRule="auto"/>
        <w:rPr>
          <w:rFonts w:ascii="Times New Roman" w:hAnsi="Times New Roman" w:cs="Times New Roman"/>
          <w:sz w:val="24"/>
          <w:szCs w:val="24"/>
        </w:rPr>
      </w:pPr>
    </w:p>
    <w:p w14:paraId="52AE35CC" w14:textId="77777777" w:rsidR="00894911" w:rsidRDefault="00894911">
      <w:pPr>
        <w:rPr>
          <w:rFonts w:ascii="Times New Roman" w:hAnsi="Times New Roman" w:cs="Times New Roman"/>
          <w:b/>
          <w:bCs/>
          <w:sz w:val="24"/>
          <w:szCs w:val="24"/>
        </w:rPr>
      </w:pPr>
      <w:r>
        <w:rPr>
          <w:rFonts w:ascii="Times New Roman" w:hAnsi="Times New Roman" w:cs="Times New Roman"/>
          <w:sz w:val="24"/>
          <w:szCs w:val="24"/>
        </w:rPr>
        <w:br w:type="page"/>
      </w:r>
    </w:p>
    <w:p w14:paraId="0052AFF3" w14:textId="77777777" w:rsidR="00660BFF" w:rsidRPr="00586CCF" w:rsidRDefault="00660BFF" w:rsidP="00586CCF">
      <w:pPr>
        <w:pStyle w:val="Caption"/>
        <w:spacing w:line="360" w:lineRule="auto"/>
        <w:rPr>
          <w:rFonts w:ascii="Times New Roman" w:hAnsi="Times New Roman" w:cs="Times New Roman"/>
          <w:b w:val="0"/>
          <w:sz w:val="24"/>
          <w:szCs w:val="24"/>
        </w:rPr>
      </w:pPr>
      <w:r w:rsidRPr="00586CCF">
        <w:rPr>
          <w:rFonts w:ascii="Times New Roman" w:hAnsi="Times New Roman" w:cs="Times New Roman"/>
          <w:sz w:val="24"/>
          <w:szCs w:val="24"/>
        </w:rPr>
        <w:t xml:space="preserve">Table </w:t>
      </w:r>
      <w:r w:rsidR="00443C0F">
        <w:rPr>
          <w:rFonts w:ascii="Times New Roman" w:hAnsi="Times New Roman" w:cs="Times New Roman"/>
          <w:sz w:val="24"/>
          <w:szCs w:val="24"/>
        </w:rPr>
        <w:t>9</w:t>
      </w:r>
      <w:r w:rsidRPr="00586CCF">
        <w:rPr>
          <w:rFonts w:ascii="Times New Roman" w:hAnsi="Times New Roman" w:cs="Times New Roman"/>
          <w:sz w:val="24"/>
          <w:szCs w:val="24"/>
        </w:rPr>
        <w:t xml:space="preserve">: Income and expenditure for the 2016/17 financial year </w:t>
      </w:r>
      <w:r w:rsidRPr="00586CCF">
        <w:rPr>
          <w:rFonts w:ascii="Times New Roman" w:hAnsi="Times New Roman" w:cs="Times New Roman"/>
          <w:sz w:val="24"/>
          <w:szCs w:val="24"/>
        </w:rPr>
        <w:fldChar w:fldCharType="begin"/>
      </w:r>
      <w:r w:rsidRPr="00586CCF">
        <w:rPr>
          <w:rFonts w:ascii="Times New Roman" w:hAnsi="Times New Roman" w:cs="Times New Roman"/>
          <w:sz w:val="24"/>
          <w:szCs w:val="24"/>
        </w:rPr>
        <w:instrText xml:space="preserve"> LINK </w:instrText>
      </w:r>
      <w:r w:rsidR="008317FC">
        <w:rPr>
          <w:rFonts w:ascii="Times New Roman" w:hAnsi="Times New Roman" w:cs="Times New Roman"/>
          <w:sz w:val="24"/>
          <w:szCs w:val="24"/>
        </w:rPr>
        <w:instrText xml:space="preserve">Excel.Sheet.12 Book1 Sheet3!R4C2:R21C6 </w:instrText>
      </w:r>
      <w:r w:rsidRPr="00586CCF">
        <w:rPr>
          <w:rFonts w:ascii="Times New Roman" w:hAnsi="Times New Roman" w:cs="Times New Roman"/>
          <w:sz w:val="24"/>
          <w:szCs w:val="24"/>
        </w:rPr>
        <w:instrText xml:space="preserve">\a \f 5 \h  \* MERGEFORMAT </w:instrText>
      </w:r>
      <w:r w:rsidRPr="00586CCF">
        <w:rPr>
          <w:rFonts w:ascii="Times New Roman" w:hAnsi="Times New Roman" w:cs="Times New Roman"/>
          <w:sz w:val="24"/>
          <w:szCs w:val="24"/>
        </w:rPr>
        <w:fldChar w:fldCharType="separate"/>
      </w:r>
    </w:p>
    <w:tbl>
      <w:tblPr>
        <w:tblStyle w:val="TableGrid"/>
        <w:tblW w:w="90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3256"/>
        <w:gridCol w:w="1559"/>
        <w:gridCol w:w="1417"/>
        <w:gridCol w:w="1276"/>
        <w:gridCol w:w="1559"/>
      </w:tblGrid>
      <w:tr w:rsidR="005E27D0" w:rsidRPr="005E27D0" w14:paraId="1670D94B" w14:textId="77777777" w:rsidTr="006D18C5">
        <w:trPr>
          <w:trHeight w:val="357"/>
        </w:trPr>
        <w:tc>
          <w:tcPr>
            <w:tcW w:w="3256" w:type="dxa"/>
            <w:shd w:val="clear" w:color="auto" w:fill="BFBFBF" w:themeFill="background1" w:themeFillShade="BF"/>
            <w:hideMark/>
          </w:tcPr>
          <w:p w14:paraId="7F34B2C6" w14:textId="77777777" w:rsidR="00660BFF" w:rsidRPr="006D18C5" w:rsidRDefault="00660BFF" w:rsidP="00586CCF">
            <w:pPr>
              <w:spacing w:after="0" w:line="360" w:lineRule="auto"/>
              <w:rPr>
                <w:rFonts w:ascii="Times New Roman" w:hAnsi="Times New Roman"/>
                <w:b/>
                <w:bCs/>
                <w:sz w:val="22"/>
                <w:szCs w:val="22"/>
              </w:rPr>
            </w:pPr>
            <w:r w:rsidRPr="006D18C5">
              <w:rPr>
                <w:rFonts w:ascii="Times New Roman" w:hAnsi="Times New Roman"/>
                <w:b/>
                <w:bCs/>
                <w:sz w:val="22"/>
                <w:szCs w:val="22"/>
              </w:rPr>
              <w:t> </w:t>
            </w:r>
          </w:p>
        </w:tc>
        <w:tc>
          <w:tcPr>
            <w:tcW w:w="1559" w:type="dxa"/>
            <w:shd w:val="clear" w:color="auto" w:fill="BFBFBF" w:themeFill="background1" w:themeFillShade="BF"/>
            <w:vAlign w:val="center"/>
            <w:hideMark/>
          </w:tcPr>
          <w:p w14:paraId="23BB4A4C" w14:textId="77777777" w:rsidR="00660BFF" w:rsidRPr="006D18C5" w:rsidRDefault="00660BFF" w:rsidP="005E27D0">
            <w:pPr>
              <w:spacing w:after="0" w:line="360" w:lineRule="auto"/>
              <w:jc w:val="center"/>
              <w:rPr>
                <w:rFonts w:ascii="Times New Roman" w:hAnsi="Times New Roman"/>
                <w:b/>
                <w:bCs/>
                <w:sz w:val="22"/>
                <w:szCs w:val="22"/>
              </w:rPr>
            </w:pPr>
            <w:r w:rsidRPr="006D18C5">
              <w:rPr>
                <w:rFonts w:ascii="Times New Roman" w:hAnsi="Times New Roman"/>
                <w:b/>
                <w:bCs/>
                <w:sz w:val="22"/>
                <w:szCs w:val="22"/>
              </w:rPr>
              <w:t>Final Budget</w:t>
            </w:r>
          </w:p>
        </w:tc>
        <w:tc>
          <w:tcPr>
            <w:tcW w:w="1417" w:type="dxa"/>
            <w:shd w:val="clear" w:color="auto" w:fill="BFBFBF" w:themeFill="background1" w:themeFillShade="BF"/>
            <w:vAlign w:val="center"/>
            <w:hideMark/>
          </w:tcPr>
          <w:p w14:paraId="631E0AEB" w14:textId="77777777" w:rsidR="00660BFF" w:rsidRPr="006D18C5" w:rsidRDefault="00660BFF" w:rsidP="005E27D0">
            <w:pPr>
              <w:spacing w:after="0" w:line="360" w:lineRule="auto"/>
              <w:jc w:val="center"/>
              <w:rPr>
                <w:rFonts w:ascii="Times New Roman" w:hAnsi="Times New Roman"/>
                <w:b/>
                <w:bCs/>
                <w:sz w:val="22"/>
                <w:szCs w:val="22"/>
              </w:rPr>
            </w:pPr>
            <w:r w:rsidRPr="006D18C5">
              <w:rPr>
                <w:rFonts w:ascii="Times New Roman" w:hAnsi="Times New Roman"/>
                <w:b/>
                <w:bCs/>
                <w:sz w:val="22"/>
                <w:szCs w:val="22"/>
              </w:rPr>
              <w:t>Actual Amounts</w:t>
            </w:r>
          </w:p>
        </w:tc>
        <w:tc>
          <w:tcPr>
            <w:tcW w:w="1276" w:type="dxa"/>
            <w:shd w:val="clear" w:color="auto" w:fill="BFBFBF" w:themeFill="background1" w:themeFillShade="BF"/>
            <w:vAlign w:val="center"/>
            <w:hideMark/>
          </w:tcPr>
          <w:p w14:paraId="1295B3E3" w14:textId="77777777" w:rsidR="00660BFF" w:rsidRPr="006D18C5" w:rsidRDefault="00660BFF" w:rsidP="005E27D0">
            <w:pPr>
              <w:spacing w:after="0" w:line="360" w:lineRule="auto"/>
              <w:jc w:val="center"/>
              <w:rPr>
                <w:rFonts w:ascii="Times New Roman" w:hAnsi="Times New Roman"/>
                <w:b/>
                <w:bCs/>
                <w:sz w:val="22"/>
                <w:szCs w:val="22"/>
              </w:rPr>
            </w:pPr>
            <w:r w:rsidRPr="006D18C5">
              <w:rPr>
                <w:rFonts w:ascii="Times New Roman" w:hAnsi="Times New Roman"/>
                <w:b/>
                <w:bCs/>
                <w:sz w:val="22"/>
                <w:szCs w:val="22"/>
              </w:rPr>
              <w:t>Variance</w:t>
            </w:r>
          </w:p>
        </w:tc>
        <w:tc>
          <w:tcPr>
            <w:tcW w:w="1559" w:type="dxa"/>
            <w:shd w:val="clear" w:color="auto" w:fill="BFBFBF" w:themeFill="background1" w:themeFillShade="BF"/>
            <w:vAlign w:val="center"/>
            <w:hideMark/>
          </w:tcPr>
          <w:p w14:paraId="1422CF21" w14:textId="77777777" w:rsidR="00660BFF" w:rsidRPr="006D18C5" w:rsidRDefault="00660BFF" w:rsidP="005E27D0">
            <w:pPr>
              <w:spacing w:after="0" w:line="360" w:lineRule="auto"/>
              <w:jc w:val="center"/>
              <w:rPr>
                <w:rFonts w:ascii="Times New Roman" w:hAnsi="Times New Roman"/>
                <w:b/>
                <w:bCs/>
                <w:sz w:val="22"/>
                <w:szCs w:val="22"/>
              </w:rPr>
            </w:pPr>
            <w:r w:rsidRPr="006D18C5">
              <w:rPr>
                <w:rFonts w:ascii="Times New Roman" w:hAnsi="Times New Roman"/>
                <w:b/>
                <w:bCs/>
                <w:sz w:val="22"/>
                <w:szCs w:val="22"/>
              </w:rPr>
              <w:t>% Variance</w:t>
            </w:r>
          </w:p>
        </w:tc>
      </w:tr>
      <w:tr w:rsidR="00660BFF" w:rsidRPr="00586CCF" w14:paraId="550DEA1B"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9067" w:type="dxa"/>
            <w:gridSpan w:val="5"/>
            <w:shd w:val="clear" w:color="auto" w:fill="auto"/>
            <w:hideMark/>
          </w:tcPr>
          <w:p w14:paraId="024CBD7C" w14:textId="77777777" w:rsidR="00660BFF" w:rsidRPr="006D18C5" w:rsidRDefault="00660BFF" w:rsidP="00586CCF">
            <w:pPr>
              <w:spacing w:after="0" w:line="360" w:lineRule="auto"/>
              <w:rPr>
                <w:rFonts w:ascii="Times New Roman" w:hAnsi="Times New Roman"/>
                <w:b/>
                <w:bCs/>
                <w:sz w:val="22"/>
                <w:szCs w:val="22"/>
              </w:rPr>
            </w:pPr>
            <w:r w:rsidRPr="006D18C5">
              <w:rPr>
                <w:rFonts w:ascii="Times New Roman" w:hAnsi="Times New Roman"/>
                <w:b/>
                <w:bCs/>
                <w:sz w:val="22"/>
                <w:szCs w:val="22"/>
              </w:rPr>
              <w:t>Income</w:t>
            </w:r>
          </w:p>
        </w:tc>
      </w:tr>
      <w:tr w:rsidR="00660BFF" w:rsidRPr="00586CCF" w14:paraId="6AE95531"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11DAE029" w14:textId="77777777" w:rsidR="00660BFF" w:rsidRPr="006D18C5" w:rsidRDefault="00660BFF" w:rsidP="00586CCF">
            <w:pPr>
              <w:spacing w:after="0" w:line="360" w:lineRule="auto"/>
              <w:rPr>
                <w:rFonts w:ascii="Times New Roman" w:hAnsi="Times New Roman"/>
                <w:sz w:val="22"/>
                <w:szCs w:val="22"/>
              </w:rPr>
            </w:pPr>
            <w:r w:rsidRPr="006D18C5">
              <w:rPr>
                <w:rFonts w:ascii="Times New Roman" w:hAnsi="Times New Roman"/>
                <w:sz w:val="22"/>
                <w:szCs w:val="22"/>
              </w:rPr>
              <w:t>Government grants</w:t>
            </w:r>
          </w:p>
        </w:tc>
        <w:tc>
          <w:tcPr>
            <w:tcW w:w="1559" w:type="dxa"/>
            <w:shd w:val="clear" w:color="auto" w:fill="auto"/>
            <w:hideMark/>
          </w:tcPr>
          <w:p w14:paraId="14D640EA"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56 643 000</w:t>
            </w:r>
          </w:p>
        </w:tc>
        <w:tc>
          <w:tcPr>
            <w:tcW w:w="1417" w:type="dxa"/>
            <w:shd w:val="clear" w:color="auto" w:fill="auto"/>
            <w:hideMark/>
          </w:tcPr>
          <w:p w14:paraId="7A851770"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56 643 000</w:t>
            </w:r>
          </w:p>
        </w:tc>
        <w:tc>
          <w:tcPr>
            <w:tcW w:w="1276" w:type="dxa"/>
            <w:shd w:val="clear" w:color="auto" w:fill="auto"/>
            <w:hideMark/>
          </w:tcPr>
          <w:p w14:paraId="5EE119FF"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w:t>
            </w:r>
          </w:p>
        </w:tc>
        <w:tc>
          <w:tcPr>
            <w:tcW w:w="1559" w:type="dxa"/>
            <w:shd w:val="clear" w:color="auto" w:fill="auto"/>
            <w:hideMark/>
          </w:tcPr>
          <w:p w14:paraId="7CAF44A4" w14:textId="77777777" w:rsidR="00660BFF" w:rsidRPr="00894911" w:rsidRDefault="00660BFF" w:rsidP="00D21B4F">
            <w:pPr>
              <w:spacing w:after="0" w:line="360" w:lineRule="auto"/>
              <w:jc w:val="right"/>
              <w:rPr>
                <w:rFonts w:ascii="Times New Roman" w:hAnsi="Times New Roman"/>
                <w:sz w:val="22"/>
                <w:szCs w:val="22"/>
              </w:rPr>
            </w:pPr>
            <w:r w:rsidRPr="00894911">
              <w:rPr>
                <w:rFonts w:ascii="Times New Roman" w:hAnsi="Times New Roman"/>
                <w:sz w:val="22"/>
                <w:szCs w:val="22"/>
              </w:rPr>
              <w:t>0</w:t>
            </w:r>
            <w:r w:rsidR="00D21B4F" w:rsidRPr="00894911">
              <w:rPr>
                <w:rFonts w:ascii="Times New Roman" w:hAnsi="Times New Roman"/>
                <w:sz w:val="22"/>
                <w:szCs w:val="22"/>
              </w:rPr>
              <w:t>.</w:t>
            </w:r>
            <w:r w:rsidRPr="00894911">
              <w:rPr>
                <w:rFonts w:ascii="Times New Roman" w:hAnsi="Times New Roman"/>
                <w:sz w:val="22"/>
                <w:szCs w:val="22"/>
              </w:rPr>
              <w:t>0%</w:t>
            </w:r>
          </w:p>
        </w:tc>
      </w:tr>
      <w:tr w:rsidR="00660BFF" w:rsidRPr="00586CCF" w14:paraId="78C5439A"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14761E55" w14:textId="77777777" w:rsidR="00660BFF" w:rsidRPr="006D18C5" w:rsidRDefault="00660BFF" w:rsidP="00586CCF">
            <w:pPr>
              <w:spacing w:after="0" w:line="360" w:lineRule="auto"/>
              <w:rPr>
                <w:rFonts w:ascii="Times New Roman" w:hAnsi="Times New Roman"/>
                <w:sz w:val="22"/>
                <w:szCs w:val="22"/>
              </w:rPr>
            </w:pPr>
            <w:r w:rsidRPr="006D18C5">
              <w:rPr>
                <w:rFonts w:ascii="Times New Roman" w:hAnsi="Times New Roman"/>
                <w:sz w:val="22"/>
                <w:szCs w:val="22"/>
              </w:rPr>
              <w:t>Services in kind</w:t>
            </w:r>
          </w:p>
        </w:tc>
        <w:tc>
          <w:tcPr>
            <w:tcW w:w="1559" w:type="dxa"/>
            <w:shd w:val="clear" w:color="auto" w:fill="auto"/>
            <w:hideMark/>
          </w:tcPr>
          <w:p w14:paraId="12765B27"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w:t>
            </w:r>
          </w:p>
        </w:tc>
        <w:tc>
          <w:tcPr>
            <w:tcW w:w="1417" w:type="dxa"/>
            <w:shd w:val="clear" w:color="auto" w:fill="auto"/>
            <w:hideMark/>
          </w:tcPr>
          <w:p w14:paraId="6193AA74"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3 888 758</w:t>
            </w:r>
          </w:p>
        </w:tc>
        <w:tc>
          <w:tcPr>
            <w:tcW w:w="1276" w:type="dxa"/>
            <w:shd w:val="clear" w:color="auto" w:fill="auto"/>
            <w:hideMark/>
          </w:tcPr>
          <w:p w14:paraId="78FF0253"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3 888 758</w:t>
            </w:r>
          </w:p>
        </w:tc>
        <w:tc>
          <w:tcPr>
            <w:tcW w:w="1559" w:type="dxa"/>
            <w:shd w:val="clear" w:color="auto" w:fill="auto"/>
            <w:hideMark/>
          </w:tcPr>
          <w:p w14:paraId="6A09105A"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 </w:t>
            </w:r>
          </w:p>
        </w:tc>
      </w:tr>
      <w:tr w:rsidR="00660BFF" w:rsidRPr="00586CCF" w14:paraId="7045064A"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42BF7543" w14:textId="77777777" w:rsidR="00660BFF" w:rsidRPr="006D18C5" w:rsidRDefault="00660BFF" w:rsidP="00586CCF">
            <w:pPr>
              <w:spacing w:after="0" w:line="360" w:lineRule="auto"/>
              <w:rPr>
                <w:rFonts w:ascii="Times New Roman" w:hAnsi="Times New Roman"/>
                <w:sz w:val="22"/>
                <w:szCs w:val="22"/>
              </w:rPr>
            </w:pPr>
            <w:r w:rsidRPr="006D18C5">
              <w:rPr>
                <w:rFonts w:ascii="Times New Roman" w:hAnsi="Times New Roman"/>
                <w:sz w:val="22"/>
                <w:szCs w:val="22"/>
              </w:rPr>
              <w:t>Interest received - investment</w:t>
            </w:r>
          </w:p>
        </w:tc>
        <w:tc>
          <w:tcPr>
            <w:tcW w:w="1559" w:type="dxa"/>
            <w:shd w:val="clear" w:color="auto" w:fill="auto"/>
            <w:hideMark/>
          </w:tcPr>
          <w:p w14:paraId="4602712B"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1 606 000</w:t>
            </w:r>
          </w:p>
        </w:tc>
        <w:tc>
          <w:tcPr>
            <w:tcW w:w="1417" w:type="dxa"/>
            <w:shd w:val="clear" w:color="auto" w:fill="auto"/>
            <w:hideMark/>
          </w:tcPr>
          <w:p w14:paraId="66BC52B0"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1 638 697</w:t>
            </w:r>
          </w:p>
        </w:tc>
        <w:tc>
          <w:tcPr>
            <w:tcW w:w="1276" w:type="dxa"/>
            <w:shd w:val="clear" w:color="auto" w:fill="auto"/>
            <w:hideMark/>
          </w:tcPr>
          <w:p w14:paraId="61BD227F"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32 697</w:t>
            </w:r>
          </w:p>
        </w:tc>
        <w:tc>
          <w:tcPr>
            <w:tcW w:w="1559" w:type="dxa"/>
            <w:shd w:val="clear" w:color="auto" w:fill="auto"/>
            <w:hideMark/>
          </w:tcPr>
          <w:p w14:paraId="2FE145F1" w14:textId="77777777" w:rsidR="00660BFF" w:rsidRPr="006D18C5" w:rsidRDefault="00660BFF" w:rsidP="00D21B4F">
            <w:pPr>
              <w:spacing w:after="0" w:line="360" w:lineRule="auto"/>
              <w:jc w:val="right"/>
              <w:rPr>
                <w:rFonts w:ascii="Times New Roman" w:hAnsi="Times New Roman"/>
                <w:sz w:val="22"/>
                <w:szCs w:val="22"/>
              </w:rPr>
            </w:pPr>
            <w:r w:rsidRPr="006D18C5">
              <w:rPr>
                <w:rFonts w:ascii="Times New Roman" w:hAnsi="Times New Roman"/>
                <w:sz w:val="22"/>
                <w:szCs w:val="22"/>
              </w:rPr>
              <w:t>2</w:t>
            </w:r>
            <w:r w:rsidR="00D21B4F">
              <w:rPr>
                <w:rFonts w:ascii="Times New Roman" w:hAnsi="Times New Roman"/>
                <w:sz w:val="22"/>
                <w:szCs w:val="22"/>
              </w:rPr>
              <w:t>.</w:t>
            </w:r>
            <w:r w:rsidRPr="006D18C5">
              <w:rPr>
                <w:rFonts w:ascii="Times New Roman" w:hAnsi="Times New Roman"/>
                <w:sz w:val="22"/>
                <w:szCs w:val="22"/>
              </w:rPr>
              <w:t>0%</w:t>
            </w:r>
          </w:p>
        </w:tc>
      </w:tr>
      <w:tr w:rsidR="00660BFF" w:rsidRPr="00586CCF" w14:paraId="5C52C46C"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230F39A0" w14:textId="77777777" w:rsidR="00660BFF" w:rsidRPr="006D18C5" w:rsidRDefault="00660BFF" w:rsidP="00586CCF">
            <w:pPr>
              <w:spacing w:after="0" w:line="360" w:lineRule="auto"/>
              <w:rPr>
                <w:rFonts w:ascii="Times New Roman" w:hAnsi="Times New Roman"/>
                <w:b/>
                <w:bCs/>
                <w:sz w:val="22"/>
                <w:szCs w:val="22"/>
              </w:rPr>
            </w:pPr>
            <w:r w:rsidRPr="006D18C5">
              <w:rPr>
                <w:rFonts w:ascii="Times New Roman" w:hAnsi="Times New Roman"/>
                <w:b/>
                <w:bCs/>
                <w:sz w:val="22"/>
                <w:szCs w:val="22"/>
              </w:rPr>
              <w:t>Total revenue</w:t>
            </w:r>
          </w:p>
        </w:tc>
        <w:tc>
          <w:tcPr>
            <w:tcW w:w="1559" w:type="dxa"/>
            <w:shd w:val="clear" w:color="auto" w:fill="auto"/>
            <w:hideMark/>
          </w:tcPr>
          <w:p w14:paraId="1A22629A" w14:textId="77777777" w:rsidR="00660BFF" w:rsidRPr="006D18C5" w:rsidRDefault="00660BFF" w:rsidP="00586CCF">
            <w:pPr>
              <w:spacing w:after="0" w:line="360" w:lineRule="auto"/>
              <w:jc w:val="right"/>
              <w:rPr>
                <w:rFonts w:ascii="Times New Roman" w:hAnsi="Times New Roman"/>
                <w:b/>
                <w:bCs/>
                <w:sz w:val="22"/>
                <w:szCs w:val="22"/>
              </w:rPr>
            </w:pPr>
            <w:r w:rsidRPr="006D18C5">
              <w:rPr>
                <w:rFonts w:ascii="Times New Roman" w:hAnsi="Times New Roman"/>
                <w:b/>
                <w:bCs/>
                <w:sz w:val="22"/>
                <w:szCs w:val="22"/>
              </w:rPr>
              <w:t>58 249 000</w:t>
            </w:r>
          </w:p>
        </w:tc>
        <w:tc>
          <w:tcPr>
            <w:tcW w:w="1417" w:type="dxa"/>
            <w:shd w:val="clear" w:color="auto" w:fill="auto"/>
            <w:hideMark/>
          </w:tcPr>
          <w:p w14:paraId="342D7F9E" w14:textId="77777777" w:rsidR="00660BFF" w:rsidRPr="006D18C5" w:rsidRDefault="00660BFF" w:rsidP="00586CCF">
            <w:pPr>
              <w:spacing w:after="0" w:line="360" w:lineRule="auto"/>
              <w:jc w:val="right"/>
              <w:rPr>
                <w:rFonts w:ascii="Times New Roman" w:hAnsi="Times New Roman"/>
                <w:b/>
                <w:bCs/>
                <w:sz w:val="22"/>
                <w:szCs w:val="22"/>
              </w:rPr>
            </w:pPr>
            <w:r w:rsidRPr="006D18C5">
              <w:rPr>
                <w:rFonts w:ascii="Times New Roman" w:hAnsi="Times New Roman"/>
                <w:b/>
                <w:bCs/>
                <w:sz w:val="22"/>
                <w:szCs w:val="22"/>
              </w:rPr>
              <w:t>62 170 455</w:t>
            </w:r>
          </w:p>
        </w:tc>
        <w:tc>
          <w:tcPr>
            <w:tcW w:w="1276" w:type="dxa"/>
            <w:shd w:val="clear" w:color="auto" w:fill="auto"/>
            <w:hideMark/>
          </w:tcPr>
          <w:p w14:paraId="5085A9CA" w14:textId="77777777" w:rsidR="00660BFF" w:rsidRPr="006D18C5" w:rsidRDefault="00660BFF" w:rsidP="00586CCF">
            <w:pPr>
              <w:spacing w:after="0" w:line="360" w:lineRule="auto"/>
              <w:jc w:val="right"/>
              <w:rPr>
                <w:rFonts w:ascii="Times New Roman" w:hAnsi="Times New Roman"/>
                <w:b/>
                <w:bCs/>
                <w:sz w:val="22"/>
                <w:szCs w:val="22"/>
              </w:rPr>
            </w:pPr>
            <w:r w:rsidRPr="006D18C5">
              <w:rPr>
                <w:rFonts w:ascii="Times New Roman" w:hAnsi="Times New Roman"/>
                <w:b/>
                <w:bCs/>
                <w:sz w:val="22"/>
                <w:szCs w:val="22"/>
              </w:rPr>
              <w:t>3 921 455</w:t>
            </w:r>
          </w:p>
        </w:tc>
        <w:tc>
          <w:tcPr>
            <w:tcW w:w="1559" w:type="dxa"/>
            <w:shd w:val="clear" w:color="auto" w:fill="auto"/>
            <w:hideMark/>
          </w:tcPr>
          <w:p w14:paraId="32CF789C" w14:textId="77777777" w:rsidR="00660BFF" w:rsidRPr="006D18C5" w:rsidRDefault="00660BFF" w:rsidP="00D21B4F">
            <w:pPr>
              <w:spacing w:after="0" w:line="360" w:lineRule="auto"/>
              <w:jc w:val="right"/>
              <w:rPr>
                <w:rFonts w:ascii="Times New Roman" w:hAnsi="Times New Roman"/>
                <w:b/>
                <w:bCs/>
                <w:sz w:val="22"/>
                <w:szCs w:val="22"/>
              </w:rPr>
            </w:pPr>
            <w:r w:rsidRPr="006D18C5">
              <w:rPr>
                <w:rFonts w:ascii="Times New Roman" w:hAnsi="Times New Roman"/>
                <w:b/>
                <w:bCs/>
                <w:sz w:val="22"/>
                <w:szCs w:val="22"/>
              </w:rPr>
              <w:t>6</w:t>
            </w:r>
            <w:r w:rsidR="00D21B4F">
              <w:rPr>
                <w:rFonts w:ascii="Times New Roman" w:hAnsi="Times New Roman"/>
                <w:b/>
                <w:bCs/>
                <w:sz w:val="22"/>
                <w:szCs w:val="22"/>
              </w:rPr>
              <w:t>.</w:t>
            </w:r>
            <w:r w:rsidRPr="006D18C5">
              <w:rPr>
                <w:rFonts w:ascii="Times New Roman" w:hAnsi="Times New Roman"/>
                <w:b/>
                <w:bCs/>
                <w:sz w:val="22"/>
                <w:szCs w:val="22"/>
              </w:rPr>
              <w:t>7%</w:t>
            </w:r>
          </w:p>
        </w:tc>
      </w:tr>
      <w:tr w:rsidR="00660BFF" w:rsidRPr="00586CCF" w14:paraId="1B4DC94A"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9067" w:type="dxa"/>
            <w:gridSpan w:val="5"/>
            <w:shd w:val="clear" w:color="auto" w:fill="auto"/>
            <w:hideMark/>
          </w:tcPr>
          <w:p w14:paraId="6E465593" w14:textId="77777777" w:rsidR="00660BFF" w:rsidRPr="006D18C5" w:rsidRDefault="00660BFF" w:rsidP="00586CCF">
            <w:pPr>
              <w:spacing w:after="0" w:line="360" w:lineRule="auto"/>
              <w:rPr>
                <w:rFonts w:ascii="Times New Roman" w:hAnsi="Times New Roman"/>
                <w:b/>
                <w:bCs/>
                <w:sz w:val="22"/>
                <w:szCs w:val="22"/>
              </w:rPr>
            </w:pPr>
            <w:r w:rsidRPr="006D18C5">
              <w:rPr>
                <w:rFonts w:ascii="Times New Roman" w:hAnsi="Times New Roman"/>
                <w:b/>
                <w:bCs/>
                <w:sz w:val="22"/>
                <w:szCs w:val="22"/>
              </w:rPr>
              <w:t>Expenditure</w:t>
            </w:r>
          </w:p>
        </w:tc>
      </w:tr>
      <w:tr w:rsidR="00660BFF" w:rsidRPr="00586CCF" w14:paraId="507831BA"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122FCA1E" w14:textId="77777777" w:rsidR="00660BFF" w:rsidRPr="006D18C5" w:rsidRDefault="00660BFF" w:rsidP="00586CCF">
            <w:pPr>
              <w:spacing w:after="0" w:line="360" w:lineRule="auto"/>
              <w:rPr>
                <w:rFonts w:ascii="Times New Roman" w:hAnsi="Times New Roman"/>
                <w:sz w:val="22"/>
                <w:szCs w:val="22"/>
              </w:rPr>
            </w:pPr>
            <w:r w:rsidRPr="006D18C5">
              <w:rPr>
                <w:rFonts w:ascii="Times New Roman" w:hAnsi="Times New Roman"/>
                <w:sz w:val="22"/>
                <w:szCs w:val="22"/>
              </w:rPr>
              <w:t>Personnel</w:t>
            </w:r>
          </w:p>
        </w:tc>
        <w:tc>
          <w:tcPr>
            <w:tcW w:w="1559" w:type="dxa"/>
            <w:shd w:val="clear" w:color="auto" w:fill="auto"/>
            <w:hideMark/>
          </w:tcPr>
          <w:p w14:paraId="4E699725"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40 381 000</w:t>
            </w:r>
          </w:p>
        </w:tc>
        <w:tc>
          <w:tcPr>
            <w:tcW w:w="1417" w:type="dxa"/>
            <w:shd w:val="clear" w:color="auto" w:fill="auto"/>
            <w:hideMark/>
          </w:tcPr>
          <w:p w14:paraId="43D853C3"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40 722 626</w:t>
            </w:r>
          </w:p>
        </w:tc>
        <w:tc>
          <w:tcPr>
            <w:tcW w:w="1276" w:type="dxa"/>
            <w:shd w:val="clear" w:color="auto" w:fill="auto"/>
            <w:hideMark/>
          </w:tcPr>
          <w:p w14:paraId="5D123A34"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341 626</w:t>
            </w:r>
          </w:p>
        </w:tc>
        <w:tc>
          <w:tcPr>
            <w:tcW w:w="1559" w:type="dxa"/>
            <w:shd w:val="clear" w:color="auto" w:fill="auto"/>
            <w:hideMark/>
          </w:tcPr>
          <w:p w14:paraId="1F4FB8FB"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-0</w:t>
            </w:r>
            <w:r w:rsidR="00D21B4F" w:rsidRPr="00894911">
              <w:rPr>
                <w:rFonts w:ascii="Times New Roman" w:hAnsi="Times New Roman"/>
                <w:sz w:val="22"/>
                <w:szCs w:val="22"/>
              </w:rPr>
              <w:t>.</w:t>
            </w:r>
            <w:r w:rsidRPr="00894911">
              <w:rPr>
                <w:rFonts w:ascii="Times New Roman" w:hAnsi="Times New Roman"/>
                <w:sz w:val="22"/>
                <w:szCs w:val="22"/>
              </w:rPr>
              <w:t>8%</w:t>
            </w:r>
          </w:p>
        </w:tc>
      </w:tr>
      <w:tr w:rsidR="00660BFF" w:rsidRPr="00586CCF" w14:paraId="0F7A8D55"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2E187D6B" w14:textId="77777777" w:rsidR="00660BFF" w:rsidRPr="006D18C5" w:rsidRDefault="00660BFF" w:rsidP="00586CCF">
            <w:pPr>
              <w:spacing w:after="0" w:line="360" w:lineRule="auto"/>
              <w:rPr>
                <w:rFonts w:ascii="Times New Roman" w:hAnsi="Times New Roman"/>
                <w:sz w:val="22"/>
                <w:szCs w:val="22"/>
              </w:rPr>
            </w:pPr>
            <w:r w:rsidRPr="006D18C5">
              <w:rPr>
                <w:rFonts w:ascii="Times New Roman" w:hAnsi="Times New Roman"/>
                <w:sz w:val="22"/>
                <w:szCs w:val="22"/>
              </w:rPr>
              <w:t>Depreciation and amortisation</w:t>
            </w:r>
          </w:p>
        </w:tc>
        <w:tc>
          <w:tcPr>
            <w:tcW w:w="1559" w:type="dxa"/>
            <w:shd w:val="clear" w:color="auto" w:fill="auto"/>
            <w:hideMark/>
          </w:tcPr>
          <w:p w14:paraId="7C904B55"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1 261 000</w:t>
            </w:r>
          </w:p>
        </w:tc>
        <w:tc>
          <w:tcPr>
            <w:tcW w:w="1417" w:type="dxa"/>
            <w:shd w:val="clear" w:color="auto" w:fill="auto"/>
            <w:hideMark/>
          </w:tcPr>
          <w:p w14:paraId="46A6F770"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827 814</w:t>
            </w:r>
          </w:p>
        </w:tc>
        <w:tc>
          <w:tcPr>
            <w:tcW w:w="1276" w:type="dxa"/>
            <w:shd w:val="clear" w:color="auto" w:fill="auto"/>
            <w:hideMark/>
          </w:tcPr>
          <w:p w14:paraId="0E6F4B66"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433 186</w:t>
            </w:r>
          </w:p>
        </w:tc>
        <w:tc>
          <w:tcPr>
            <w:tcW w:w="1559" w:type="dxa"/>
            <w:shd w:val="clear" w:color="auto" w:fill="auto"/>
            <w:hideMark/>
          </w:tcPr>
          <w:p w14:paraId="5EAC3503"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34</w:t>
            </w:r>
            <w:r w:rsidR="00D21B4F" w:rsidRPr="00894911">
              <w:rPr>
                <w:rFonts w:ascii="Times New Roman" w:hAnsi="Times New Roman"/>
                <w:sz w:val="22"/>
                <w:szCs w:val="22"/>
              </w:rPr>
              <w:t>.</w:t>
            </w:r>
            <w:r w:rsidRPr="00894911">
              <w:rPr>
                <w:rFonts w:ascii="Times New Roman" w:hAnsi="Times New Roman"/>
                <w:sz w:val="22"/>
                <w:szCs w:val="22"/>
              </w:rPr>
              <w:t>4%</w:t>
            </w:r>
          </w:p>
        </w:tc>
      </w:tr>
      <w:tr w:rsidR="00660BFF" w:rsidRPr="00586CCF" w14:paraId="51689374"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6B8CB62A" w14:textId="77777777" w:rsidR="00660BFF" w:rsidRPr="006D18C5" w:rsidRDefault="00660BFF" w:rsidP="00586CCF">
            <w:pPr>
              <w:spacing w:after="0" w:line="360" w:lineRule="auto"/>
              <w:rPr>
                <w:rFonts w:ascii="Times New Roman" w:hAnsi="Times New Roman"/>
                <w:sz w:val="22"/>
                <w:szCs w:val="22"/>
              </w:rPr>
            </w:pPr>
            <w:r w:rsidRPr="006D18C5">
              <w:rPr>
                <w:rFonts w:ascii="Times New Roman" w:hAnsi="Times New Roman"/>
                <w:sz w:val="22"/>
                <w:szCs w:val="22"/>
              </w:rPr>
              <w:t>Repairs and maintenance</w:t>
            </w:r>
          </w:p>
        </w:tc>
        <w:tc>
          <w:tcPr>
            <w:tcW w:w="1559" w:type="dxa"/>
            <w:shd w:val="clear" w:color="auto" w:fill="auto"/>
            <w:hideMark/>
          </w:tcPr>
          <w:p w14:paraId="1035639E"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196 000</w:t>
            </w:r>
          </w:p>
        </w:tc>
        <w:tc>
          <w:tcPr>
            <w:tcW w:w="1417" w:type="dxa"/>
            <w:shd w:val="clear" w:color="auto" w:fill="auto"/>
            <w:hideMark/>
          </w:tcPr>
          <w:p w14:paraId="6B3B6FB3"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179 477</w:t>
            </w:r>
          </w:p>
        </w:tc>
        <w:tc>
          <w:tcPr>
            <w:tcW w:w="1276" w:type="dxa"/>
            <w:shd w:val="clear" w:color="auto" w:fill="auto"/>
            <w:hideMark/>
          </w:tcPr>
          <w:p w14:paraId="623914EB"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16 523</w:t>
            </w:r>
          </w:p>
        </w:tc>
        <w:tc>
          <w:tcPr>
            <w:tcW w:w="1559" w:type="dxa"/>
            <w:shd w:val="clear" w:color="auto" w:fill="auto"/>
            <w:hideMark/>
          </w:tcPr>
          <w:p w14:paraId="42E474FB" w14:textId="77777777" w:rsidR="00660BFF" w:rsidRPr="00894911" w:rsidRDefault="00660BFF" w:rsidP="00D21B4F">
            <w:pPr>
              <w:spacing w:after="0" w:line="360" w:lineRule="auto"/>
              <w:jc w:val="right"/>
              <w:rPr>
                <w:rFonts w:ascii="Times New Roman" w:hAnsi="Times New Roman"/>
                <w:sz w:val="22"/>
                <w:szCs w:val="22"/>
              </w:rPr>
            </w:pPr>
            <w:r w:rsidRPr="00894911">
              <w:rPr>
                <w:rFonts w:ascii="Times New Roman" w:hAnsi="Times New Roman"/>
                <w:sz w:val="22"/>
                <w:szCs w:val="22"/>
              </w:rPr>
              <w:t>8</w:t>
            </w:r>
            <w:r w:rsidR="00D21B4F" w:rsidRPr="00894911">
              <w:rPr>
                <w:rFonts w:ascii="Times New Roman" w:hAnsi="Times New Roman"/>
                <w:sz w:val="22"/>
                <w:szCs w:val="22"/>
              </w:rPr>
              <w:t>.</w:t>
            </w:r>
            <w:r w:rsidRPr="00894911">
              <w:rPr>
                <w:rFonts w:ascii="Times New Roman" w:hAnsi="Times New Roman"/>
                <w:sz w:val="22"/>
                <w:szCs w:val="22"/>
              </w:rPr>
              <w:t>4%</w:t>
            </w:r>
          </w:p>
        </w:tc>
      </w:tr>
      <w:tr w:rsidR="00660BFF" w:rsidRPr="00586CCF" w14:paraId="5FED3C3B"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33EDB3EA" w14:textId="77777777" w:rsidR="00660BFF" w:rsidRPr="006D18C5" w:rsidRDefault="00660BFF" w:rsidP="00586CCF">
            <w:pPr>
              <w:spacing w:after="0" w:line="360" w:lineRule="auto"/>
              <w:rPr>
                <w:rFonts w:ascii="Times New Roman" w:hAnsi="Times New Roman"/>
                <w:sz w:val="22"/>
                <w:szCs w:val="22"/>
              </w:rPr>
            </w:pPr>
            <w:r w:rsidRPr="006D18C5">
              <w:rPr>
                <w:rFonts w:ascii="Times New Roman" w:hAnsi="Times New Roman"/>
                <w:sz w:val="22"/>
                <w:szCs w:val="22"/>
              </w:rPr>
              <w:t>General expenses</w:t>
            </w:r>
          </w:p>
        </w:tc>
        <w:tc>
          <w:tcPr>
            <w:tcW w:w="1559" w:type="dxa"/>
            <w:shd w:val="clear" w:color="auto" w:fill="auto"/>
            <w:hideMark/>
          </w:tcPr>
          <w:p w14:paraId="411BEBA1"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16 411 000</w:t>
            </w:r>
          </w:p>
        </w:tc>
        <w:tc>
          <w:tcPr>
            <w:tcW w:w="1417" w:type="dxa"/>
            <w:shd w:val="clear" w:color="auto" w:fill="auto"/>
            <w:hideMark/>
          </w:tcPr>
          <w:p w14:paraId="672B4E3C"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21 175 158</w:t>
            </w:r>
          </w:p>
        </w:tc>
        <w:tc>
          <w:tcPr>
            <w:tcW w:w="1276" w:type="dxa"/>
            <w:shd w:val="clear" w:color="auto" w:fill="auto"/>
            <w:hideMark/>
          </w:tcPr>
          <w:p w14:paraId="03655055" w14:textId="77777777" w:rsidR="00660BFF" w:rsidRPr="00894911" w:rsidRDefault="00660BFF" w:rsidP="00586CCF">
            <w:pPr>
              <w:spacing w:after="0" w:line="360" w:lineRule="auto"/>
              <w:jc w:val="right"/>
              <w:rPr>
                <w:rFonts w:ascii="Times New Roman" w:hAnsi="Times New Roman"/>
                <w:bCs/>
                <w:sz w:val="22"/>
                <w:szCs w:val="22"/>
              </w:rPr>
            </w:pPr>
            <w:r w:rsidRPr="00894911">
              <w:rPr>
                <w:rFonts w:ascii="Times New Roman" w:hAnsi="Times New Roman"/>
                <w:bCs/>
                <w:sz w:val="22"/>
                <w:szCs w:val="22"/>
              </w:rPr>
              <w:t>4 764 158</w:t>
            </w:r>
          </w:p>
        </w:tc>
        <w:tc>
          <w:tcPr>
            <w:tcW w:w="1559" w:type="dxa"/>
            <w:shd w:val="clear" w:color="auto" w:fill="auto"/>
            <w:hideMark/>
          </w:tcPr>
          <w:p w14:paraId="60C77C02" w14:textId="77777777" w:rsidR="00660BFF" w:rsidRPr="00894911" w:rsidRDefault="00660BFF" w:rsidP="00586CCF">
            <w:pPr>
              <w:spacing w:after="0" w:line="360" w:lineRule="auto"/>
              <w:jc w:val="right"/>
              <w:rPr>
                <w:rFonts w:ascii="Times New Roman" w:hAnsi="Times New Roman"/>
                <w:sz w:val="22"/>
                <w:szCs w:val="22"/>
              </w:rPr>
            </w:pPr>
            <w:r w:rsidRPr="00894911">
              <w:rPr>
                <w:rFonts w:ascii="Times New Roman" w:hAnsi="Times New Roman"/>
                <w:sz w:val="22"/>
                <w:szCs w:val="22"/>
              </w:rPr>
              <w:t>29</w:t>
            </w:r>
            <w:r w:rsidR="00D21B4F" w:rsidRPr="00894911">
              <w:rPr>
                <w:rFonts w:ascii="Times New Roman" w:hAnsi="Times New Roman"/>
                <w:sz w:val="22"/>
                <w:szCs w:val="22"/>
              </w:rPr>
              <w:t>.</w:t>
            </w:r>
            <w:r w:rsidRPr="00894911">
              <w:rPr>
                <w:rFonts w:ascii="Times New Roman" w:hAnsi="Times New Roman"/>
                <w:sz w:val="22"/>
                <w:szCs w:val="22"/>
              </w:rPr>
              <w:t>0%</w:t>
            </w:r>
          </w:p>
        </w:tc>
      </w:tr>
      <w:tr w:rsidR="00660BFF" w:rsidRPr="00586CCF" w14:paraId="19DC9C55"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2B2C85AB" w14:textId="77777777" w:rsidR="00660BFF" w:rsidRPr="006D18C5" w:rsidRDefault="00660BFF" w:rsidP="00586CCF">
            <w:pPr>
              <w:spacing w:after="0" w:line="360" w:lineRule="auto"/>
              <w:rPr>
                <w:rFonts w:ascii="Times New Roman" w:hAnsi="Times New Roman"/>
                <w:b/>
                <w:bCs/>
                <w:sz w:val="22"/>
                <w:szCs w:val="22"/>
              </w:rPr>
            </w:pPr>
            <w:r w:rsidRPr="006D18C5">
              <w:rPr>
                <w:rFonts w:ascii="Times New Roman" w:hAnsi="Times New Roman"/>
                <w:b/>
                <w:bCs/>
                <w:sz w:val="22"/>
                <w:szCs w:val="22"/>
              </w:rPr>
              <w:t>Total expenditure</w:t>
            </w:r>
          </w:p>
        </w:tc>
        <w:tc>
          <w:tcPr>
            <w:tcW w:w="1559" w:type="dxa"/>
            <w:shd w:val="clear" w:color="auto" w:fill="auto"/>
            <w:hideMark/>
          </w:tcPr>
          <w:p w14:paraId="6610A99D" w14:textId="77777777" w:rsidR="00660BFF" w:rsidRPr="006D18C5" w:rsidRDefault="00660BFF" w:rsidP="00586CCF">
            <w:pPr>
              <w:spacing w:after="0" w:line="360" w:lineRule="auto"/>
              <w:jc w:val="right"/>
              <w:rPr>
                <w:rFonts w:ascii="Times New Roman" w:hAnsi="Times New Roman"/>
                <w:b/>
                <w:bCs/>
                <w:sz w:val="22"/>
                <w:szCs w:val="22"/>
              </w:rPr>
            </w:pPr>
            <w:r w:rsidRPr="006D18C5">
              <w:rPr>
                <w:rFonts w:ascii="Times New Roman" w:hAnsi="Times New Roman"/>
                <w:b/>
                <w:bCs/>
                <w:sz w:val="22"/>
                <w:szCs w:val="22"/>
              </w:rPr>
              <w:t>58 249 000</w:t>
            </w:r>
          </w:p>
        </w:tc>
        <w:tc>
          <w:tcPr>
            <w:tcW w:w="1417" w:type="dxa"/>
            <w:shd w:val="clear" w:color="auto" w:fill="auto"/>
            <w:hideMark/>
          </w:tcPr>
          <w:p w14:paraId="2847EA97" w14:textId="77777777" w:rsidR="00660BFF" w:rsidRPr="006D18C5" w:rsidRDefault="00660BFF" w:rsidP="00586CCF">
            <w:pPr>
              <w:spacing w:after="0" w:line="360" w:lineRule="auto"/>
              <w:jc w:val="right"/>
              <w:rPr>
                <w:rFonts w:ascii="Times New Roman" w:hAnsi="Times New Roman"/>
                <w:b/>
                <w:bCs/>
                <w:sz w:val="22"/>
                <w:szCs w:val="22"/>
              </w:rPr>
            </w:pPr>
            <w:r w:rsidRPr="006D18C5">
              <w:rPr>
                <w:rFonts w:ascii="Times New Roman" w:hAnsi="Times New Roman"/>
                <w:b/>
                <w:bCs/>
                <w:sz w:val="22"/>
                <w:szCs w:val="22"/>
              </w:rPr>
              <w:t>62 905 075</w:t>
            </w:r>
          </w:p>
        </w:tc>
        <w:tc>
          <w:tcPr>
            <w:tcW w:w="1276" w:type="dxa"/>
            <w:shd w:val="clear" w:color="auto" w:fill="auto"/>
            <w:hideMark/>
          </w:tcPr>
          <w:p w14:paraId="69FF74AD" w14:textId="77777777" w:rsidR="00660BFF" w:rsidRPr="006D18C5" w:rsidRDefault="00660BFF" w:rsidP="00586CCF">
            <w:pPr>
              <w:spacing w:after="0" w:line="360" w:lineRule="auto"/>
              <w:jc w:val="right"/>
              <w:rPr>
                <w:rFonts w:ascii="Times New Roman" w:hAnsi="Times New Roman"/>
                <w:b/>
                <w:bCs/>
                <w:sz w:val="22"/>
                <w:szCs w:val="22"/>
              </w:rPr>
            </w:pPr>
            <w:r w:rsidRPr="006D18C5">
              <w:rPr>
                <w:rFonts w:ascii="Times New Roman" w:hAnsi="Times New Roman"/>
                <w:b/>
                <w:bCs/>
                <w:sz w:val="22"/>
                <w:szCs w:val="22"/>
              </w:rPr>
              <w:t>4 656 075</w:t>
            </w:r>
          </w:p>
        </w:tc>
        <w:tc>
          <w:tcPr>
            <w:tcW w:w="1559" w:type="dxa"/>
            <w:shd w:val="clear" w:color="auto" w:fill="auto"/>
            <w:hideMark/>
          </w:tcPr>
          <w:p w14:paraId="082BF82D" w14:textId="77777777" w:rsidR="00660BFF" w:rsidRPr="006D18C5" w:rsidRDefault="00660BFF" w:rsidP="00586CCF">
            <w:pPr>
              <w:spacing w:after="0" w:line="360" w:lineRule="auto"/>
              <w:jc w:val="right"/>
              <w:rPr>
                <w:rFonts w:ascii="Times New Roman" w:hAnsi="Times New Roman"/>
                <w:b/>
                <w:bCs/>
                <w:sz w:val="22"/>
                <w:szCs w:val="22"/>
              </w:rPr>
            </w:pPr>
            <w:r w:rsidRPr="006D18C5">
              <w:rPr>
                <w:rFonts w:ascii="Times New Roman" w:hAnsi="Times New Roman"/>
                <w:b/>
                <w:bCs/>
                <w:sz w:val="22"/>
                <w:szCs w:val="22"/>
              </w:rPr>
              <w:t>8</w:t>
            </w:r>
            <w:r w:rsidR="00D21B4F">
              <w:rPr>
                <w:rFonts w:ascii="Times New Roman" w:hAnsi="Times New Roman"/>
                <w:b/>
                <w:bCs/>
                <w:sz w:val="22"/>
                <w:szCs w:val="22"/>
              </w:rPr>
              <w:t>.</w:t>
            </w:r>
            <w:r w:rsidRPr="006D18C5">
              <w:rPr>
                <w:rFonts w:ascii="Times New Roman" w:hAnsi="Times New Roman"/>
                <w:b/>
                <w:bCs/>
                <w:sz w:val="22"/>
                <w:szCs w:val="22"/>
              </w:rPr>
              <w:t>0%</w:t>
            </w:r>
          </w:p>
        </w:tc>
      </w:tr>
      <w:tr w:rsidR="00660BFF" w:rsidRPr="00D21B4F" w14:paraId="61FC5400"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3F663562" w14:textId="77777777" w:rsidR="00660BFF" w:rsidRPr="006D18C5" w:rsidRDefault="00660BFF" w:rsidP="00586CCF">
            <w:pPr>
              <w:spacing w:after="0" w:line="360" w:lineRule="auto"/>
              <w:rPr>
                <w:rFonts w:ascii="Times New Roman" w:hAnsi="Times New Roman"/>
                <w:b/>
                <w:bCs/>
                <w:sz w:val="22"/>
                <w:szCs w:val="24"/>
              </w:rPr>
            </w:pPr>
            <w:r w:rsidRPr="006D18C5">
              <w:rPr>
                <w:rFonts w:ascii="Times New Roman" w:hAnsi="Times New Roman"/>
                <w:b/>
                <w:bCs/>
                <w:sz w:val="22"/>
                <w:szCs w:val="24"/>
              </w:rPr>
              <w:t>Operating deficit</w:t>
            </w:r>
          </w:p>
        </w:tc>
        <w:tc>
          <w:tcPr>
            <w:tcW w:w="1559" w:type="dxa"/>
            <w:shd w:val="clear" w:color="auto" w:fill="auto"/>
            <w:hideMark/>
          </w:tcPr>
          <w:p w14:paraId="4F1AB589" w14:textId="77777777" w:rsidR="00660BFF" w:rsidRPr="006D18C5" w:rsidRDefault="00660BFF" w:rsidP="00586CCF">
            <w:pPr>
              <w:spacing w:after="0" w:line="360" w:lineRule="auto"/>
              <w:rPr>
                <w:rFonts w:ascii="Times New Roman" w:hAnsi="Times New Roman"/>
                <w:b/>
                <w:bCs/>
                <w:sz w:val="22"/>
                <w:szCs w:val="24"/>
              </w:rPr>
            </w:pPr>
            <w:r w:rsidRPr="006D18C5">
              <w:rPr>
                <w:rFonts w:ascii="Times New Roman" w:hAnsi="Times New Roman"/>
                <w:b/>
                <w:bCs/>
                <w:sz w:val="22"/>
                <w:szCs w:val="24"/>
              </w:rPr>
              <w:t>-</w:t>
            </w:r>
          </w:p>
        </w:tc>
        <w:tc>
          <w:tcPr>
            <w:tcW w:w="1417" w:type="dxa"/>
            <w:shd w:val="clear" w:color="auto" w:fill="auto"/>
            <w:hideMark/>
          </w:tcPr>
          <w:p w14:paraId="4EB326CE" w14:textId="77777777" w:rsidR="00660BFF" w:rsidRPr="006D18C5" w:rsidRDefault="00660BFF" w:rsidP="00586CCF">
            <w:pPr>
              <w:spacing w:after="0" w:line="360" w:lineRule="auto"/>
              <w:jc w:val="right"/>
              <w:rPr>
                <w:rFonts w:ascii="Times New Roman" w:hAnsi="Times New Roman"/>
                <w:b/>
                <w:bCs/>
                <w:sz w:val="22"/>
                <w:szCs w:val="24"/>
              </w:rPr>
            </w:pPr>
            <w:r w:rsidRPr="006D18C5">
              <w:rPr>
                <w:rFonts w:ascii="Times New Roman" w:hAnsi="Times New Roman"/>
                <w:b/>
                <w:bCs/>
                <w:sz w:val="22"/>
                <w:szCs w:val="24"/>
              </w:rPr>
              <w:t>-734 620</w:t>
            </w:r>
          </w:p>
        </w:tc>
        <w:tc>
          <w:tcPr>
            <w:tcW w:w="1276" w:type="dxa"/>
            <w:shd w:val="clear" w:color="auto" w:fill="auto"/>
            <w:hideMark/>
          </w:tcPr>
          <w:p w14:paraId="49E4851A" w14:textId="77777777" w:rsidR="00660BFF" w:rsidRPr="006D18C5" w:rsidRDefault="00660BFF" w:rsidP="00586CCF">
            <w:pPr>
              <w:spacing w:after="0" w:line="360" w:lineRule="auto"/>
              <w:jc w:val="right"/>
              <w:rPr>
                <w:rFonts w:ascii="Times New Roman" w:hAnsi="Times New Roman"/>
                <w:b/>
                <w:bCs/>
                <w:sz w:val="22"/>
                <w:szCs w:val="24"/>
              </w:rPr>
            </w:pPr>
            <w:r w:rsidRPr="006D18C5">
              <w:rPr>
                <w:rFonts w:ascii="Times New Roman" w:hAnsi="Times New Roman"/>
                <w:b/>
                <w:bCs/>
                <w:sz w:val="22"/>
                <w:szCs w:val="24"/>
              </w:rPr>
              <w:t>-734 620</w:t>
            </w:r>
          </w:p>
        </w:tc>
        <w:tc>
          <w:tcPr>
            <w:tcW w:w="1559" w:type="dxa"/>
            <w:shd w:val="clear" w:color="auto" w:fill="auto"/>
            <w:hideMark/>
          </w:tcPr>
          <w:p w14:paraId="5ED30F3C" w14:textId="77777777" w:rsidR="00660BFF" w:rsidRPr="006D18C5" w:rsidRDefault="00660BFF" w:rsidP="00586CCF">
            <w:pPr>
              <w:spacing w:after="0" w:line="360" w:lineRule="auto"/>
              <w:rPr>
                <w:rFonts w:ascii="Times New Roman" w:hAnsi="Times New Roman"/>
                <w:sz w:val="22"/>
                <w:szCs w:val="24"/>
              </w:rPr>
            </w:pPr>
            <w:r w:rsidRPr="006D18C5">
              <w:rPr>
                <w:rFonts w:ascii="Times New Roman" w:hAnsi="Times New Roman"/>
                <w:sz w:val="22"/>
                <w:szCs w:val="24"/>
              </w:rPr>
              <w:t> </w:t>
            </w:r>
          </w:p>
        </w:tc>
      </w:tr>
      <w:tr w:rsidR="00660BFF" w:rsidRPr="00D21B4F" w14:paraId="7DEB9578"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282F70B9" w14:textId="77777777" w:rsidR="00660BFF" w:rsidRPr="006D18C5" w:rsidRDefault="00660BFF" w:rsidP="00586CCF">
            <w:pPr>
              <w:spacing w:after="0" w:line="360" w:lineRule="auto"/>
              <w:rPr>
                <w:rFonts w:ascii="Times New Roman" w:hAnsi="Times New Roman"/>
                <w:sz w:val="22"/>
                <w:szCs w:val="24"/>
              </w:rPr>
            </w:pPr>
            <w:r w:rsidRPr="006D18C5">
              <w:rPr>
                <w:rFonts w:ascii="Times New Roman" w:hAnsi="Times New Roman"/>
                <w:sz w:val="22"/>
                <w:szCs w:val="24"/>
              </w:rPr>
              <w:t>Loss on disposal of assets</w:t>
            </w:r>
          </w:p>
        </w:tc>
        <w:tc>
          <w:tcPr>
            <w:tcW w:w="1559" w:type="dxa"/>
            <w:shd w:val="clear" w:color="auto" w:fill="auto"/>
            <w:hideMark/>
          </w:tcPr>
          <w:p w14:paraId="3F043230" w14:textId="77777777" w:rsidR="00660BFF" w:rsidRPr="006D18C5" w:rsidRDefault="00660BFF" w:rsidP="00586CCF">
            <w:pPr>
              <w:spacing w:after="0" w:line="360" w:lineRule="auto"/>
              <w:rPr>
                <w:rFonts w:ascii="Times New Roman" w:hAnsi="Times New Roman"/>
                <w:sz w:val="22"/>
                <w:szCs w:val="24"/>
              </w:rPr>
            </w:pPr>
            <w:r w:rsidRPr="006D18C5">
              <w:rPr>
                <w:rFonts w:ascii="Times New Roman" w:hAnsi="Times New Roman"/>
                <w:sz w:val="22"/>
                <w:szCs w:val="24"/>
              </w:rPr>
              <w:t>-</w:t>
            </w:r>
          </w:p>
        </w:tc>
        <w:tc>
          <w:tcPr>
            <w:tcW w:w="1417" w:type="dxa"/>
            <w:shd w:val="clear" w:color="auto" w:fill="auto"/>
            <w:hideMark/>
          </w:tcPr>
          <w:p w14:paraId="1F063222" w14:textId="77777777" w:rsidR="00660BFF" w:rsidRPr="00894911" w:rsidRDefault="00660BFF" w:rsidP="00586CCF">
            <w:pPr>
              <w:spacing w:after="0" w:line="360" w:lineRule="auto"/>
              <w:jc w:val="right"/>
              <w:rPr>
                <w:rFonts w:ascii="Times New Roman" w:hAnsi="Times New Roman"/>
                <w:bCs/>
                <w:sz w:val="22"/>
                <w:szCs w:val="24"/>
              </w:rPr>
            </w:pPr>
            <w:r w:rsidRPr="00894911">
              <w:rPr>
                <w:rFonts w:ascii="Times New Roman" w:hAnsi="Times New Roman"/>
                <w:bCs/>
                <w:sz w:val="22"/>
                <w:szCs w:val="24"/>
              </w:rPr>
              <w:t>-241 916</w:t>
            </w:r>
          </w:p>
        </w:tc>
        <w:tc>
          <w:tcPr>
            <w:tcW w:w="1276" w:type="dxa"/>
            <w:shd w:val="clear" w:color="auto" w:fill="auto"/>
            <w:hideMark/>
          </w:tcPr>
          <w:p w14:paraId="4BBDFBE5" w14:textId="77777777" w:rsidR="00660BFF" w:rsidRPr="00894911" w:rsidRDefault="00660BFF" w:rsidP="00586CCF">
            <w:pPr>
              <w:spacing w:after="0" w:line="360" w:lineRule="auto"/>
              <w:jc w:val="right"/>
              <w:rPr>
                <w:rFonts w:ascii="Times New Roman" w:hAnsi="Times New Roman"/>
                <w:bCs/>
                <w:sz w:val="22"/>
                <w:szCs w:val="24"/>
              </w:rPr>
            </w:pPr>
            <w:r w:rsidRPr="00894911">
              <w:rPr>
                <w:rFonts w:ascii="Times New Roman" w:hAnsi="Times New Roman"/>
                <w:bCs/>
                <w:sz w:val="22"/>
                <w:szCs w:val="24"/>
              </w:rPr>
              <w:t>-241 916</w:t>
            </w:r>
          </w:p>
        </w:tc>
        <w:tc>
          <w:tcPr>
            <w:tcW w:w="1559" w:type="dxa"/>
            <w:shd w:val="clear" w:color="auto" w:fill="auto"/>
            <w:hideMark/>
          </w:tcPr>
          <w:p w14:paraId="52756D36" w14:textId="77777777" w:rsidR="00660BFF" w:rsidRPr="006D18C5" w:rsidRDefault="00660BFF" w:rsidP="00586CCF">
            <w:pPr>
              <w:spacing w:after="0" w:line="360" w:lineRule="auto"/>
              <w:rPr>
                <w:rFonts w:ascii="Times New Roman" w:hAnsi="Times New Roman"/>
                <w:sz w:val="22"/>
                <w:szCs w:val="24"/>
              </w:rPr>
            </w:pPr>
            <w:r w:rsidRPr="006D18C5">
              <w:rPr>
                <w:rFonts w:ascii="Times New Roman" w:hAnsi="Times New Roman"/>
                <w:sz w:val="22"/>
                <w:szCs w:val="24"/>
              </w:rPr>
              <w:t> </w:t>
            </w:r>
          </w:p>
        </w:tc>
      </w:tr>
      <w:tr w:rsidR="00660BFF" w:rsidRPr="00D21B4F" w14:paraId="3A19441E" w14:textId="77777777" w:rsidTr="006D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3256" w:type="dxa"/>
            <w:shd w:val="clear" w:color="auto" w:fill="auto"/>
            <w:hideMark/>
          </w:tcPr>
          <w:p w14:paraId="51D2092A" w14:textId="77777777" w:rsidR="00660BFF" w:rsidRPr="006D18C5" w:rsidRDefault="00660BFF" w:rsidP="00586CCF">
            <w:pPr>
              <w:spacing w:after="0" w:line="360" w:lineRule="auto"/>
              <w:rPr>
                <w:rFonts w:ascii="Times New Roman" w:hAnsi="Times New Roman"/>
                <w:b/>
                <w:bCs/>
                <w:sz w:val="22"/>
                <w:szCs w:val="24"/>
              </w:rPr>
            </w:pPr>
            <w:r w:rsidRPr="006D18C5">
              <w:rPr>
                <w:rFonts w:ascii="Times New Roman" w:hAnsi="Times New Roman"/>
                <w:b/>
                <w:bCs/>
                <w:sz w:val="22"/>
                <w:szCs w:val="24"/>
              </w:rPr>
              <w:t>Deficit before taxation</w:t>
            </w:r>
          </w:p>
        </w:tc>
        <w:tc>
          <w:tcPr>
            <w:tcW w:w="1559" w:type="dxa"/>
            <w:shd w:val="clear" w:color="auto" w:fill="auto"/>
            <w:hideMark/>
          </w:tcPr>
          <w:p w14:paraId="01B671BE" w14:textId="77777777" w:rsidR="00660BFF" w:rsidRPr="006D18C5" w:rsidRDefault="00660BFF" w:rsidP="00586CCF">
            <w:pPr>
              <w:spacing w:after="0" w:line="360" w:lineRule="auto"/>
              <w:rPr>
                <w:rFonts w:ascii="Times New Roman" w:hAnsi="Times New Roman"/>
                <w:b/>
                <w:bCs/>
                <w:sz w:val="22"/>
                <w:szCs w:val="24"/>
              </w:rPr>
            </w:pPr>
            <w:r w:rsidRPr="006D18C5">
              <w:rPr>
                <w:rFonts w:ascii="Times New Roman" w:hAnsi="Times New Roman"/>
                <w:b/>
                <w:bCs/>
                <w:sz w:val="22"/>
                <w:szCs w:val="24"/>
              </w:rPr>
              <w:t>-</w:t>
            </w:r>
          </w:p>
        </w:tc>
        <w:tc>
          <w:tcPr>
            <w:tcW w:w="1417" w:type="dxa"/>
            <w:shd w:val="clear" w:color="auto" w:fill="auto"/>
            <w:hideMark/>
          </w:tcPr>
          <w:p w14:paraId="4F364590" w14:textId="77777777" w:rsidR="00660BFF" w:rsidRPr="006D18C5" w:rsidRDefault="00660BFF" w:rsidP="00586CCF">
            <w:pPr>
              <w:spacing w:after="0" w:line="360" w:lineRule="auto"/>
              <w:jc w:val="right"/>
              <w:rPr>
                <w:rFonts w:ascii="Times New Roman" w:hAnsi="Times New Roman"/>
                <w:b/>
                <w:bCs/>
                <w:sz w:val="22"/>
                <w:szCs w:val="24"/>
              </w:rPr>
            </w:pPr>
            <w:r w:rsidRPr="006D18C5">
              <w:rPr>
                <w:rFonts w:ascii="Times New Roman" w:hAnsi="Times New Roman"/>
                <w:b/>
                <w:bCs/>
                <w:sz w:val="22"/>
                <w:szCs w:val="24"/>
              </w:rPr>
              <w:t>-976 536</w:t>
            </w:r>
          </w:p>
        </w:tc>
        <w:tc>
          <w:tcPr>
            <w:tcW w:w="1276" w:type="dxa"/>
            <w:shd w:val="clear" w:color="auto" w:fill="auto"/>
            <w:hideMark/>
          </w:tcPr>
          <w:p w14:paraId="7017805A" w14:textId="77777777" w:rsidR="00660BFF" w:rsidRPr="006D18C5" w:rsidRDefault="00660BFF" w:rsidP="00586CCF">
            <w:pPr>
              <w:spacing w:after="0" w:line="360" w:lineRule="auto"/>
              <w:jc w:val="right"/>
              <w:rPr>
                <w:rFonts w:ascii="Times New Roman" w:hAnsi="Times New Roman"/>
                <w:b/>
                <w:bCs/>
                <w:sz w:val="22"/>
                <w:szCs w:val="24"/>
              </w:rPr>
            </w:pPr>
            <w:r w:rsidRPr="006D18C5">
              <w:rPr>
                <w:rFonts w:ascii="Times New Roman" w:hAnsi="Times New Roman"/>
                <w:b/>
                <w:bCs/>
                <w:sz w:val="22"/>
                <w:szCs w:val="24"/>
              </w:rPr>
              <w:t>-976 536</w:t>
            </w:r>
          </w:p>
        </w:tc>
        <w:tc>
          <w:tcPr>
            <w:tcW w:w="1559" w:type="dxa"/>
            <w:shd w:val="clear" w:color="auto" w:fill="auto"/>
            <w:hideMark/>
          </w:tcPr>
          <w:p w14:paraId="50A3E1C6" w14:textId="77777777" w:rsidR="00660BFF" w:rsidRPr="006D18C5" w:rsidRDefault="00660BFF" w:rsidP="00586CCF">
            <w:pPr>
              <w:spacing w:after="0" w:line="360" w:lineRule="auto"/>
              <w:rPr>
                <w:rFonts w:ascii="Times New Roman" w:hAnsi="Times New Roman"/>
                <w:sz w:val="22"/>
                <w:szCs w:val="24"/>
              </w:rPr>
            </w:pPr>
            <w:r w:rsidRPr="006D18C5">
              <w:rPr>
                <w:rFonts w:ascii="Times New Roman" w:hAnsi="Times New Roman"/>
                <w:sz w:val="22"/>
                <w:szCs w:val="24"/>
              </w:rPr>
              <w:t> </w:t>
            </w:r>
          </w:p>
        </w:tc>
      </w:tr>
    </w:tbl>
    <w:p w14:paraId="76570EE8" w14:textId="77777777" w:rsidR="00660BFF" w:rsidRDefault="00660BF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fldChar w:fldCharType="end"/>
      </w:r>
      <w:r w:rsidRPr="00586CCF">
        <w:rPr>
          <w:rFonts w:ascii="Times New Roman" w:hAnsi="Times New Roman" w:cs="Times New Roman"/>
          <w:sz w:val="24"/>
          <w:szCs w:val="24"/>
        </w:rPr>
        <w:t>Source: National Consumer Commission (2017: 83-103)</w:t>
      </w:r>
    </w:p>
    <w:p w14:paraId="04E3DC96" w14:textId="77777777" w:rsidR="005E27D0" w:rsidRPr="00586CCF" w:rsidRDefault="005E27D0" w:rsidP="00586CCF">
      <w:pPr>
        <w:spacing w:line="360" w:lineRule="auto"/>
        <w:rPr>
          <w:rFonts w:ascii="Times New Roman" w:hAnsi="Times New Roman" w:cs="Times New Roman"/>
          <w:sz w:val="24"/>
          <w:szCs w:val="24"/>
        </w:rPr>
      </w:pPr>
    </w:p>
    <w:p w14:paraId="3492152C" w14:textId="77777777" w:rsidR="00660BFF" w:rsidRPr="005E27D0" w:rsidRDefault="00660BFF" w:rsidP="004265FC">
      <w:pPr>
        <w:pStyle w:val="Heading33"/>
        <w:numPr>
          <w:ilvl w:val="2"/>
          <w:numId w:val="31"/>
        </w:numPr>
        <w:rPr>
          <w:rFonts w:ascii="Times New Roman" w:hAnsi="Times New Roman" w:cs="Times New Roman"/>
          <w:sz w:val="24"/>
        </w:rPr>
      </w:pPr>
      <w:r w:rsidRPr="005E27D0">
        <w:rPr>
          <w:rFonts w:ascii="Times New Roman" w:hAnsi="Times New Roman" w:cs="Times New Roman"/>
          <w:sz w:val="24"/>
        </w:rPr>
        <w:t>Human resources</w:t>
      </w:r>
    </w:p>
    <w:p w14:paraId="6343190A" w14:textId="77777777" w:rsidR="00660BFF" w:rsidRPr="00586CCF" w:rsidRDefault="00660BFF" w:rsidP="00586CCF">
      <w:pPr>
        <w:spacing w:line="360" w:lineRule="auto"/>
        <w:rPr>
          <w:rFonts w:ascii="Times New Roman" w:hAnsi="Times New Roman" w:cs="Times New Roman"/>
          <w:sz w:val="24"/>
          <w:szCs w:val="24"/>
        </w:rPr>
      </w:pPr>
    </w:p>
    <w:p w14:paraId="20248F98" w14:textId="77777777" w:rsidR="00660BFF" w:rsidRPr="00586CCF" w:rsidRDefault="00660BF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For the financial year, the NCC had an approved structure of 85 positions. By the end of the financial year, the NCC had 77 employees and 8 vacancies. This translate</w:t>
      </w:r>
      <w:r w:rsidR="00D21B4F">
        <w:rPr>
          <w:rFonts w:ascii="Times New Roman" w:hAnsi="Times New Roman" w:cs="Times New Roman"/>
          <w:sz w:val="24"/>
          <w:szCs w:val="24"/>
        </w:rPr>
        <w:t>d</w:t>
      </w:r>
      <w:r w:rsidRPr="00586CCF">
        <w:rPr>
          <w:rFonts w:ascii="Times New Roman" w:hAnsi="Times New Roman" w:cs="Times New Roman"/>
          <w:sz w:val="24"/>
          <w:szCs w:val="24"/>
        </w:rPr>
        <w:t xml:space="preserve"> to a 9.4% vacancy rate. During the financial year, 5 employees resigned, 1 employee retired, and 2 employment contracts expired. </w:t>
      </w:r>
    </w:p>
    <w:p w14:paraId="35A57078" w14:textId="77777777" w:rsidR="00660BFF" w:rsidRPr="00586CCF" w:rsidRDefault="00660BFF" w:rsidP="00586CCF">
      <w:pPr>
        <w:spacing w:line="360" w:lineRule="auto"/>
        <w:rPr>
          <w:rFonts w:ascii="Times New Roman" w:hAnsi="Times New Roman" w:cs="Times New Roman"/>
          <w:sz w:val="24"/>
          <w:szCs w:val="24"/>
        </w:rPr>
      </w:pPr>
    </w:p>
    <w:p w14:paraId="26D8728D" w14:textId="77777777" w:rsidR="00660BFF" w:rsidRPr="00586CCF" w:rsidRDefault="00660BF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In terms of misconduct and disciplinary actions, there were 10 final written warnings, and 6 written warnings. </w:t>
      </w:r>
    </w:p>
    <w:p w14:paraId="58AF6596" w14:textId="77777777" w:rsidR="008C06E4" w:rsidRPr="00586CCF" w:rsidRDefault="008C06E4" w:rsidP="00586CCF">
      <w:pPr>
        <w:spacing w:line="360" w:lineRule="auto"/>
        <w:rPr>
          <w:rFonts w:ascii="Times New Roman" w:hAnsi="Times New Roman" w:cs="Times New Roman"/>
          <w:sz w:val="24"/>
          <w:szCs w:val="24"/>
        </w:rPr>
      </w:pPr>
    </w:p>
    <w:p w14:paraId="5BD90794" w14:textId="77777777" w:rsidR="00660BFF" w:rsidRPr="005E27D0" w:rsidRDefault="00660BFF" w:rsidP="004265FC">
      <w:pPr>
        <w:pStyle w:val="Heading33"/>
        <w:numPr>
          <w:ilvl w:val="2"/>
          <w:numId w:val="31"/>
        </w:numPr>
        <w:rPr>
          <w:rFonts w:ascii="Times New Roman" w:hAnsi="Times New Roman" w:cs="Times New Roman"/>
          <w:sz w:val="24"/>
        </w:rPr>
      </w:pPr>
      <w:r w:rsidRPr="005E27D0">
        <w:rPr>
          <w:rFonts w:ascii="Times New Roman" w:hAnsi="Times New Roman" w:cs="Times New Roman"/>
          <w:sz w:val="24"/>
        </w:rPr>
        <w:t>Audit outcomes</w:t>
      </w:r>
    </w:p>
    <w:p w14:paraId="30049BAC" w14:textId="77777777" w:rsidR="00660BFF" w:rsidRPr="00586CCF" w:rsidRDefault="00660BFF" w:rsidP="00586CCF">
      <w:pPr>
        <w:spacing w:line="360" w:lineRule="auto"/>
        <w:rPr>
          <w:rFonts w:ascii="Times New Roman" w:hAnsi="Times New Roman" w:cs="Times New Roman"/>
          <w:sz w:val="24"/>
          <w:szCs w:val="24"/>
        </w:rPr>
      </w:pPr>
    </w:p>
    <w:p w14:paraId="3BD4E655" w14:textId="77777777" w:rsidR="00660BFF" w:rsidRPr="00586CCF" w:rsidRDefault="00660BF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NCC received an unqualified audit with findings. The </w:t>
      </w:r>
      <w:r w:rsidR="003100D1">
        <w:rPr>
          <w:rFonts w:ascii="Times New Roman" w:hAnsi="Times New Roman" w:cs="Times New Roman"/>
          <w:sz w:val="24"/>
          <w:szCs w:val="24"/>
        </w:rPr>
        <w:t>Auditor-General</w:t>
      </w:r>
      <w:r w:rsidRPr="00586CCF">
        <w:rPr>
          <w:rFonts w:ascii="Times New Roman" w:hAnsi="Times New Roman" w:cs="Times New Roman"/>
          <w:sz w:val="24"/>
          <w:szCs w:val="24"/>
        </w:rPr>
        <w:t xml:space="preserve"> highlighted the following: </w:t>
      </w:r>
    </w:p>
    <w:p w14:paraId="71952457" w14:textId="77777777" w:rsidR="00660BFF" w:rsidRPr="00586CCF" w:rsidRDefault="00660BFF" w:rsidP="00586CCF">
      <w:pPr>
        <w:spacing w:line="360" w:lineRule="auto"/>
        <w:rPr>
          <w:rFonts w:ascii="Times New Roman" w:hAnsi="Times New Roman" w:cs="Times New Roman"/>
          <w:sz w:val="24"/>
          <w:szCs w:val="24"/>
        </w:rPr>
      </w:pPr>
    </w:p>
    <w:p w14:paraId="01A0192B" w14:textId="77777777" w:rsidR="00660BFF" w:rsidRDefault="00D21B4F" w:rsidP="009D5D24">
      <w:pPr>
        <w:pStyle w:val="ListParagraph"/>
        <w:numPr>
          <w:ilvl w:val="0"/>
          <w:numId w:val="18"/>
        </w:numPr>
        <w:spacing w:line="360" w:lineRule="auto"/>
        <w:contextualSpacing w:val="0"/>
        <w:jc w:val="left"/>
        <w:rPr>
          <w:rFonts w:ascii="Times New Roman" w:hAnsi="Times New Roman" w:cs="Times New Roman"/>
          <w:sz w:val="24"/>
          <w:szCs w:val="24"/>
        </w:rPr>
      </w:pPr>
      <w:r w:rsidRPr="006D18C5">
        <w:rPr>
          <w:rFonts w:ascii="Times New Roman" w:hAnsi="Times New Roman" w:cs="Times New Roman"/>
          <w:sz w:val="24"/>
          <w:szCs w:val="24"/>
        </w:rPr>
        <w:t xml:space="preserve">Two areas were identified that </w:t>
      </w:r>
      <w:r w:rsidR="00660BFF" w:rsidRPr="006D18C5">
        <w:rPr>
          <w:rFonts w:ascii="Times New Roman" w:hAnsi="Times New Roman" w:cs="Times New Roman"/>
          <w:sz w:val="24"/>
          <w:szCs w:val="24"/>
        </w:rPr>
        <w:t>requir</w:t>
      </w:r>
      <w:r w:rsidRPr="006D18C5">
        <w:rPr>
          <w:rFonts w:ascii="Times New Roman" w:hAnsi="Times New Roman" w:cs="Times New Roman"/>
          <w:sz w:val="24"/>
          <w:szCs w:val="24"/>
        </w:rPr>
        <w:t>ed</w:t>
      </w:r>
      <w:r w:rsidR="00660BFF" w:rsidRPr="006D18C5">
        <w:rPr>
          <w:rFonts w:ascii="Times New Roman" w:hAnsi="Times New Roman" w:cs="Times New Roman"/>
          <w:sz w:val="24"/>
          <w:szCs w:val="24"/>
        </w:rPr>
        <w:t xml:space="preserve"> interventions</w:t>
      </w:r>
      <w:r w:rsidRPr="006D18C5">
        <w:rPr>
          <w:rFonts w:ascii="Times New Roman" w:hAnsi="Times New Roman" w:cs="Times New Roman"/>
          <w:sz w:val="24"/>
          <w:szCs w:val="24"/>
        </w:rPr>
        <w:t xml:space="preserve">, namely (i) </w:t>
      </w:r>
      <w:r w:rsidRPr="00D21B4F">
        <w:rPr>
          <w:rFonts w:ascii="Times New Roman" w:hAnsi="Times New Roman" w:cs="Times New Roman"/>
          <w:sz w:val="24"/>
          <w:szCs w:val="24"/>
        </w:rPr>
        <w:t>r</w:t>
      </w:r>
      <w:r w:rsidR="00660BFF" w:rsidRPr="00D21B4F">
        <w:rPr>
          <w:rFonts w:ascii="Times New Roman" w:hAnsi="Times New Roman" w:cs="Times New Roman"/>
          <w:sz w:val="24"/>
          <w:szCs w:val="24"/>
        </w:rPr>
        <w:t>egular, complete and accurate financial statements and performance reports</w:t>
      </w:r>
      <w:r w:rsidRPr="00D21B4F">
        <w:rPr>
          <w:rFonts w:ascii="Times New Roman" w:hAnsi="Times New Roman" w:cs="Times New Roman"/>
          <w:sz w:val="24"/>
          <w:szCs w:val="24"/>
        </w:rPr>
        <w:t xml:space="preserve"> and (ii) </w:t>
      </w:r>
      <w:r>
        <w:rPr>
          <w:rFonts w:ascii="Times New Roman" w:hAnsi="Times New Roman" w:cs="Times New Roman"/>
          <w:sz w:val="24"/>
          <w:szCs w:val="24"/>
        </w:rPr>
        <w:t>r</w:t>
      </w:r>
      <w:r w:rsidR="00660BFF" w:rsidRPr="00D21B4F">
        <w:rPr>
          <w:rFonts w:ascii="Times New Roman" w:hAnsi="Times New Roman" w:cs="Times New Roman"/>
          <w:sz w:val="24"/>
          <w:szCs w:val="24"/>
        </w:rPr>
        <w:t>eview and monitoring of compliance.</w:t>
      </w:r>
    </w:p>
    <w:p w14:paraId="75F227F6" w14:textId="77777777" w:rsidR="00660BFF" w:rsidRPr="00D21B4F" w:rsidRDefault="00D21B4F" w:rsidP="009D5D24">
      <w:pPr>
        <w:pStyle w:val="ListParagraph"/>
        <w:numPr>
          <w:ilvl w:val="0"/>
          <w:numId w:val="19"/>
        </w:numPr>
        <w:spacing w:line="360" w:lineRule="auto"/>
        <w:contextualSpacing w:val="0"/>
        <w:jc w:val="left"/>
        <w:rPr>
          <w:rFonts w:ascii="Times New Roman" w:hAnsi="Times New Roman" w:cs="Times New Roman"/>
          <w:sz w:val="24"/>
          <w:szCs w:val="24"/>
        </w:rPr>
      </w:pPr>
      <w:r w:rsidRPr="00D21B4F">
        <w:rPr>
          <w:rFonts w:ascii="Times New Roman" w:hAnsi="Times New Roman" w:cs="Times New Roman"/>
          <w:sz w:val="24"/>
          <w:szCs w:val="24"/>
        </w:rPr>
        <w:t>Six a</w:t>
      </w:r>
      <w:r w:rsidR="00660BFF" w:rsidRPr="006D18C5">
        <w:rPr>
          <w:rFonts w:ascii="Times New Roman" w:hAnsi="Times New Roman" w:cs="Times New Roman"/>
          <w:sz w:val="24"/>
          <w:szCs w:val="24"/>
        </w:rPr>
        <w:t>reas of concern</w:t>
      </w:r>
      <w:r w:rsidRPr="00D21B4F">
        <w:rPr>
          <w:rFonts w:ascii="Times New Roman" w:hAnsi="Times New Roman" w:cs="Times New Roman"/>
          <w:sz w:val="24"/>
          <w:szCs w:val="24"/>
        </w:rPr>
        <w:t>, namely (i) o</w:t>
      </w:r>
      <w:r w:rsidR="00660BFF" w:rsidRPr="00D21B4F">
        <w:rPr>
          <w:rFonts w:ascii="Times New Roman" w:hAnsi="Times New Roman" w:cs="Times New Roman"/>
          <w:sz w:val="24"/>
          <w:szCs w:val="24"/>
        </w:rPr>
        <w:t>versight responsibility</w:t>
      </w:r>
      <w:r w:rsidRPr="00D21B4F">
        <w:rPr>
          <w:rFonts w:ascii="Times New Roman" w:hAnsi="Times New Roman" w:cs="Times New Roman"/>
          <w:sz w:val="24"/>
          <w:szCs w:val="24"/>
        </w:rPr>
        <w:t>; (ii) p</w:t>
      </w:r>
      <w:r w:rsidR="00660BFF" w:rsidRPr="00D21B4F">
        <w:rPr>
          <w:rFonts w:ascii="Times New Roman" w:hAnsi="Times New Roman" w:cs="Times New Roman"/>
          <w:sz w:val="24"/>
          <w:szCs w:val="24"/>
        </w:rPr>
        <w:t>olicies and procedures</w:t>
      </w:r>
      <w:r w:rsidRPr="00D21B4F">
        <w:rPr>
          <w:rFonts w:ascii="Times New Roman" w:hAnsi="Times New Roman" w:cs="Times New Roman"/>
          <w:sz w:val="24"/>
          <w:szCs w:val="24"/>
        </w:rPr>
        <w:t>; (iii) audit action plans; (iv) p</w:t>
      </w:r>
      <w:r w:rsidR="00660BFF" w:rsidRPr="00D21B4F">
        <w:rPr>
          <w:rFonts w:ascii="Times New Roman" w:hAnsi="Times New Roman" w:cs="Times New Roman"/>
          <w:sz w:val="24"/>
          <w:szCs w:val="24"/>
        </w:rPr>
        <w:t>roper record keeping</w:t>
      </w:r>
      <w:r w:rsidRPr="00D21B4F">
        <w:rPr>
          <w:rFonts w:ascii="Times New Roman" w:hAnsi="Times New Roman" w:cs="Times New Roman"/>
          <w:sz w:val="24"/>
          <w:szCs w:val="24"/>
        </w:rPr>
        <w:t xml:space="preserve">; (v) daily </w:t>
      </w:r>
      <w:r w:rsidR="00660BFF" w:rsidRPr="00D21B4F">
        <w:rPr>
          <w:rFonts w:ascii="Times New Roman" w:hAnsi="Times New Roman" w:cs="Times New Roman"/>
          <w:sz w:val="24"/>
          <w:szCs w:val="24"/>
        </w:rPr>
        <w:t>and monthly controls of financial records</w:t>
      </w:r>
      <w:r w:rsidRPr="00D21B4F">
        <w:rPr>
          <w:rFonts w:ascii="Times New Roman" w:hAnsi="Times New Roman" w:cs="Times New Roman"/>
          <w:sz w:val="24"/>
          <w:szCs w:val="24"/>
        </w:rPr>
        <w:t xml:space="preserve">; and (vi) design </w:t>
      </w:r>
      <w:r w:rsidR="00660BFF" w:rsidRPr="00D21B4F">
        <w:rPr>
          <w:rFonts w:ascii="Times New Roman" w:hAnsi="Times New Roman" w:cs="Times New Roman"/>
          <w:sz w:val="24"/>
          <w:szCs w:val="24"/>
        </w:rPr>
        <w:t>and implementation of Information Technology (IT) controls.</w:t>
      </w:r>
    </w:p>
    <w:p w14:paraId="65F4020D" w14:textId="77777777" w:rsidR="00660BFF" w:rsidRPr="00586CCF" w:rsidRDefault="00660BFF" w:rsidP="00586CCF">
      <w:pPr>
        <w:spacing w:line="360" w:lineRule="auto"/>
        <w:rPr>
          <w:rFonts w:ascii="Times New Roman" w:hAnsi="Times New Roman" w:cs="Times New Roman"/>
          <w:sz w:val="24"/>
          <w:szCs w:val="24"/>
        </w:rPr>
      </w:pPr>
    </w:p>
    <w:p w14:paraId="5CFF9180" w14:textId="77777777" w:rsidR="00660BFF" w:rsidRPr="00586CCF" w:rsidRDefault="00660BF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Furthermore, the </w:t>
      </w:r>
      <w:r w:rsidR="003100D1">
        <w:rPr>
          <w:rFonts w:ascii="Times New Roman" w:hAnsi="Times New Roman" w:cs="Times New Roman"/>
          <w:sz w:val="24"/>
          <w:szCs w:val="24"/>
        </w:rPr>
        <w:t>Auditor-General</w:t>
      </w:r>
      <w:r w:rsidRPr="00586CCF">
        <w:rPr>
          <w:rFonts w:ascii="Times New Roman" w:hAnsi="Times New Roman" w:cs="Times New Roman"/>
          <w:sz w:val="24"/>
          <w:szCs w:val="24"/>
        </w:rPr>
        <w:t xml:space="preserve"> noted that the NCC had incurred irregular expenditure of over R7</w:t>
      </w:r>
      <w:r w:rsidR="00D21B4F">
        <w:rPr>
          <w:rFonts w:ascii="Times New Roman" w:hAnsi="Times New Roman" w:cs="Times New Roman"/>
          <w:sz w:val="24"/>
          <w:szCs w:val="24"/>
        </w:rPr>
        <w:t> </w:t>
      </w:r>
      <w:r w:rsidRPr="00586CCF">
        <w:rPr>
          <w:rFonts w:ascii="Times New Roman" w:hAnsi="Times New Roman" w:cs="Times New Roman"/>
          <w:sz w:val="24"/>
          <w:szCs w:val="24"/>
        </w:rPr>
        <w:t>million during the financial year due to proper supply chain regulations not being followed.</w:t>
      </w:r>
      <w:r w:rsidR="001F01ED">
        <w:rPr>
          <w:rFonts w:ascii="Times New Roman" w:hAnsi="Times New Roman" w:cs="Times New Roman"/>
          <w:sz w:val="24"/>
          <w:szCs w:val="24"/>
        </w:rPr>
        <w:t xml:space="preserve"> </w:t>
      </w:r>
      <w:r w:rsidR="001F01ED" w:rsidRPr="001F01ED">
        <w:rPr>
          <w:rFonts w:ascii="Times New Roman" w:hAnsi="Times New Roman" w:cs="Times New Roman"/>
          <w:sz w:val="24"/>
          <w:szCs w:val="24"/>
        </w:rPr>
        <w:t>The NCC reported that 76% of the irregu</w:t>
      </w:r>
      <w:r w:rsidR="001F01ED">
        <w:rPr>
          <w:rFonts w:ascii="Times New Roman" w:hAnsi="Times New Roman" w:cs="Times New Roman"/>
          <w:sz w:val="24"/>
          <w:szCs w:val="24"/>
        </w:rPr>
        <w:t>lar expenditure amounting to R5.</w:t>
      </w:r>
      <w:r w:rsidR="001F01ED" w:rsidRPr="001F01ED">
        <w:rPr>
          <w:rFonts w:ascii="Times New Roman" w:hAnsi="Times New Roman" w:cs="Times New Roman"/>
          <w:sz w:val="24"/>
          <w:szCs w:val="24"/>
        </w:rPr>
        <w:t>4</w:t>
      </w:r>
      <w:r w:rsidR="001F01ED">
        <w:rPr>
          <w:rFonts w:ascii="Times New Roman" w:hAnsi="Times New Roman" w:cs="Times New Roman"/>
          <w:sz w:val="24"/>
          <w:szCs w:val="24"/>
        </w:rPr>
        <w:t> </w:t>
      </w:r>
      <w:r w:rsidR="001F01ED" w:rsidRPr="001F01ED">
        <w:rPr>
          <w:rFonts w:ascii="Times New Roman" w:hAnsi="Times New Roman" w:cs="Times New Roman"/>
          <w:sz w:val="24"/>
          <w:szCs w:val="24"/>
        </w:rPr>
        <w:t xml:space="preserve">million related to irregular expenditure incurred in the prior financial years, whereas, 24% amounting </w:t>
      </w:r>
      <w:r w:rsidR="001F01ED">
        <w:rPr>
          <w:rFonts w:ascii="Times New Roman" w:hAnsi="Times New Roman" w:cs="Times New Roman"/>
          <w:sz w:val="24"/>
          <w:szCs w:val="24"/>
        </w:rPr>
        <w:t xml:space="preserve">to </w:t>
      </w:r>
      <w:r w:rsidR="001F01ED" w:rsidRPr="001F01ED">
        <w:rPr>
          <w:rFonts w:ascii="Times New Roman" w:hAnsi="Times New Roman" w:cs="Times New Roman"/>
          <w:sz w:val="24"/>
          <w:szCs w:val="24"/>
        </w:rPr>
        <w:t>R1</w:t>
      </w:r>
      <w:r w:rsidR="001F01ED">
        <w:rPr>
          <w:rFonts w:ascii="Times New Roman" w:hAnsi="Times New Roman" w:cs="Times New Roman"/>
          <w:sz w:val="24"/>
          <w:szCs w:val="24"/>
        </w:rPr>
        <w:t>.</w:t>
      </w:r>
      <w:r w:rsidR="001F01ED" w:rsidRPr="001F01ED">
        <w:rPr>
          <w:rFonts w:ascii="Times New Roman" w:hAnsi="Times New Roman" w:cs="Times New Roman"/>
          <w:sz w:val="24"/>
          <w:szCs w:val="24"/>
        </w:rPr>
        <w:t xml:space="preserve">7 million related to irregular expenditure incurred in the 2016/17 </w:t>
      </w:r>
      <w:r w:rsidR="001F01ED">
        <w:rPr>
          <w:rFonts w:ascii="Times New Roman" w:hAnsi="Times New Roman" w:cs="Times New Roman"/>
          <w:sz w:val="24"/>
          <w:szCs w:val="24"/>
        </w:rPr>
        <w:t xml:space="preserve">financial </w:t>
      </w:r>
      <w:r w:rsidR="001F01ED" w:rsidRPr="001F01ED">
        <w:rPr>
          <w:rFonts w:ascii="Times New Roman" w:hAnsi="Times New Roman" w:cs="Times New Roman"/>
          <w:sz w:val="24"/>
          <w:szCs w:val="24"/>
        </w:rPr>
        <w:t>year.</w:t>
      </w:r>
    </w:p>
    <w:p w14:paraId="537DC11A" w14:textId="77777777" w:rsidR="00CE31B0" w:rsidRPr="00586CCF" w:rsidRDefault="00CE31B0" w:rsidP="00586CCF">
      <w:pPr>
        <w:spacing w:line="360" w:lineRule="auto"/>
        <w:rPr>
          <w:rFonts w:ascii="Times New Roman" w:hAnsi="Times New Roman" w:cs="Times New Roman"/>
          <w:b/>
          <w:sz w:val="24"/>
          <w:szCs w:val="24"/>
        </w:rPr>
      </w:pPr>
    </w:p>
    <w:p w14:paraId="1A65E7FA" w14:textId="77777777" w:rsidR="00A055F7" w:rsidRPr="00DF13EE" w:rsidRDefault="00A055F7" w:rsidP="00EF0C57">
      <w:pPr>
        <w:pStyle w:val="Heading22"/>
        <w:numPr>
          <w:ilvl w:val="1"/>
          <w:numId w:val="31"/>
        </w:numPr>
      </w:pPr>
      <w:r w:rsidRPr="00DF13EE">
        <w:t xml:space="preserve">Financial and non-financial performance as at </w:t>
      </w:r>
      <w:r w:rsidR="008711B1" w:rsidRPr="00DF13EE">
        <w:t xml:space="preserve">30 </w:t>
      </w:r>
      <w:r w:rsidRPr="00DF13EE">
        <w:t>June 201</w:t>
      </w:r>
      <w:r w:rsidR="00084049" w:rsidRPr="00DF13EE">
        <w:t>7</w:t>
      </w:r>
      <w:r w:rsidR="00504072" w:rsidRPr="000665EA">
        <w:rPr>
          <w:vertAlign w:val="superscript"/>
        </w:rPr>
        <w:footnoteReference w:id="8"/>
      </w:r>
    </w:p>
    <w:p w14:paraId="52811A04" w14:textId="77777777" w:rsidR="007D2DB6" w:rsidRPr="00586CCF" w:rsidRDefault="007D2DB6" w:rsidP="00586CCF">
      <w:pPr>
        <w:pStyle w:val="Heading33"/>
        <w:numPr>
          <w:ilvl w:val="0"/>
          <w:numId w:val="0"/>
        </w:numPr>
        <w:rPr>
          <w:rFonts w:ascii="Times New Roman" w:hAnsi="Times New Roman" w:cs="Times New Roman"/>
          <w:sz w:val="24"/>
          <w:lang w:val="en-ZA"/>
        </w:rPr>
      </w:pPr>
    </w:p>
    <w:p w14:paraId="3DCFEE22" w14:textId="77777777" w:rsidR="007D2DB6" w:rsidRPr="007D0E14" w:rsidRDefault="007D2DB6" w:rsidP="004265FC">
      <w:pPr>
        <w:pStyle w:val="Heading33"/>
        <w:numPr>
          <w:ilvl w:val="2"/>
          <w:numId w:val="31"/>
        </w:numPr>
        <w:rPr>
          <w:rFonts w:ascii="Times New Roman" w:hAnsi="Times New Roman" w:cs="Times New Roman"/>
          <w:sz w:val="24"/>
        </w:rPr>
      </w:pPr>
      <w:r w:rsidRPr="007D0E14">
        <w:rPr>
          <w:rFonts w:ascii="Times New Roman" w:hAnsi="Times New Roman" w:cs="Times New Roman"/>
          <w:sz w:val="24"/>
        </w:rPr>
        <w:t>Non-financial Performance</w:t>
      </w:r>
    </w:p>
    <w:p w14:paraId="6CEF70A8" w14:textId="77777777" w:rsidR="007D0E14" w:rsidRDefault="007D0E14" w:rsidP="00586CCF">
      <w:pPr>
        <w:pStyle w:val="Heading33"/>
        <w:numPr>
          <w:ilvl w:val="0"/>
          <w:numId w:val="0"/>
        </w:numPr>
        <w:rPr>
          <w:rFonts w:ascii="Times New Roman" w:hAnsi="Times New Roman" w:cs="Times New Roman"/>
          <w:b w:val="0"/>
          <w:sz w:val="24"/>
          <w:lang w:val="en-ZA"/>
        </w:rPr>
      </w:pPr>
    </w:p>
    <w:p w14:paraId="38C1C2DC" w14:textId="77777777" w:rsidR="007D2DB6" w:rsidRPr="00586CCF" w:rsidRDefault="007D2DB6" w:rsidP="00586CCF">
      <w:pPr>
        <w:pStyle w:val="Heading33"/>
        <w:numPr>
          <w:ilvl w:val="0"/>
          <w:numId w:val="0"/>
        </w:numPr>
        <w:rPr>
          <w:rFonts w:ascii="Times New Roman" w:hAnsi="Times New Roman" w:cs="Times New Roman"/>
          <w:b w:val="0"/>
          <w:sz w:val="24"/>
          <w:lang w:val="en-ZA"/>
        </w:rPr>
      </w:pPr>
      <w:r w:rsidRPr="00586CCF">
        <w:rPr>
          <w:rFonts w:ascii="Times New Roman" w:hAnsi="Times New Roman" w:cs="Times New Roman"/>
          <w:b w:val="0"/>
          <w:sz w:val="24"/>
          <w:lang w:val="en-ZA"/>
        </w:rPr>
        <w:t>A total of 18 performance targets were planned for the first quarter. Fifteen targets were achieved or exceeded while three were not achieved. Of the targets not achieved</w:t>
      </w:r>
      <w:r w:rsidR="00AF6BDE">
        <w:rPr>
          <w:rFonts w:ascii="Times New Roman" w:hAnsi="Times New Roman" w:cs="Times New Roman"/>
          <w:b w:val="0"/>
          <w:sz w:val="24"/>
          <w:lang w:val="en-ZA"/>
        </w:rPr>
        <w:t>,</w:t>
      </w:r>
      <w:r w:rsidRPr="00586CCF">
        <w:rPr>
          <w:rFonts w:ascii="Times New Roman" w:hAnsi="Times New Roman" w:cs="Times New Roman"/>
          <w:b w:val="0"/>
          <w:sz w:val="24"/>
          <w:lang w:val="en-ZA"/>
        </w:rPr>
        <w:t xml:space="preserve"> one pertaining to procurement of </w:t>
      </w:r>
      <w:r w:rsidR="00AF6BDE">
        <w:rPr>
          <w:rFonts w:ascii="Times New Roman" w:hAnsi="Times New Roman" w:cs="Times New Roman"/>
          <w:b w:val="0"/>
          <w:sz w:val="24"/>
          <w:lang w:val="en-ZA"/>
        </w:rPr>
        <w:t xml:space="preserve">the opt-out </w:t>
      </w:r>
      <w:r w:rsidRPr="00586CCF">
        <w:rPr>
          <w:rFonts w:ascii="Times New Roman" w:hAnsi="Times New Roman" w:cs="Times New Roman"/>
          <w:b w:val="0"/>
          <w:sz w:val="24"/>
          <w:lang w:val="en-ZA"/>
        </w:rPr>
        <w:t xml:space="preserve">registry is a target that was not achieved in the 2016/17 financial year and </w:t>
      </w:r>
      <w:r w:rsidR="00AF6BDE">
        <w:rPr>
          <w:rFonts w:ascii="Times New Roman" w:hAnsi="Times New Roman" w:cs="Times New Roman"/>
          <w:b w:val="0"/>
          <w:sz w:val="24"/>
          <w:lang w:val="en-ZA"/>
        </w:rPr>
        <w:t xml:space="preserve">was </w:t>
      </w:r>
      <w:r w:rsidRPr="00586CCF">
        <w:rPr>
          <w:rFonts w:ascii="Times New Roman" w:hAnsi="Times New Roman" w:cs="Times New Roman"/>
          <w:b w:val="0"/>
          <w:sz w:val="24"/>
          <w:lang w:val="en-ZA"/>
        </w:rPr>
        <w:t>transferred to the current financial year. The other two target</w:t>
      </w:r>
      <w:r w:rsidR="00AF6BDE">
        <w:rPr>
          <w:rFonts w:ascii="Times New Roman" w:hAnsi="Times New Roman" w:cs="Times New Roman"/>
          <w:b w:val="0"/>
          <w:sz w:val="24"/>
          <w:lang w:val="en-ZA"/>
        </w:rPr>
        <w:t>s</w:t>
      </w:r>
      <w:r w:rsidRPr="00586CCF">
        <w:rPr>
          <w:rFonts w:ascii="Times New Roman" w:hAnsi="Times New Roman" w:cs="Times New Roman"/>
          <w:b w:val="0"/>
          <w:sz w:val="24"/>
          <w:lang w:val="en-ZA"/>
        </w:rPr>
        <w:t xml:space="preserve"> </w:t>
      </w:r>
      <w:r w:rsidR="00AF6BDE">
        <w:rPr>
          <w:rFonts w:ascii="Times New Roman" w:hAnsi="Times New Roman" w:cs="Times New Roman"/>
          <w:b w:val="0"/>
          <w:sz w:val="24"/>
          <w:lang w:val="en-ZA"/>
        </w:rPr>
        <w:t>were</w:t>
      </w:r>
      <w:r w:rsidRPr="00586CCF">
        <w:rPr>
          <w:rFonts w:ascii="Times New Roman" w:hAnsi="Times New Roman" w:cs="Times New Roman"/>
          <w:b w:val="0"/>
          <w:sz w:val="24"/>
          <w:lang w:val="en-ZA"/>
        </w:rPr>
        <w:t xml:space="preserve"> in relation to the processing of complaints which </w:t>
      </w:r>
      <w:r w:rsidR="00AF6BDE">
        <w:rPr>
          <w:rFonts w:ascii="Times New Roman" w:hAnsi="Times New Roman" w:cs="Times New Roman"/>
          <w:b w:val="0"/>
          <w:sz w:val="24"/>
          <w:lang w:val="en-ZA"/>
        </w:rPr>
        <w:t>had been</w:t>
      </w:r>
      <w:r w:rsidR="00AF6BDE" w:rsidRPr="00586CCF">
        <w:rPr>
          <w:rFonts w:ascii="Times New Roman" w:hAnsi="Times New Roman" w:cs="Times New Roman"/>
          <w:b w:val="0"/>
          <w:sz w:val="24"/>
          <w:lang w:val="en-ZA"/>
        </w:rPr>
        <w:t xml:space="preserve"> </w:t>
      </w:r>
      <w:r w:rsidRPr="00586CCF">
        <w:rPr>
          <w:rFonts w:ascii="Times New Roman" w:hAnsi="Times New Roman" w:cs="Times New Roman"/>
          <w:b w:val="0"/>
          <w:sz w:val="24"/>
          <w:lang w:val="en-ZA"/>
        </w:rPr>
        <w:t>at 83</w:t>
      </w:r>
      <w:r w:rsidR="00AF6BDE">
        <w:rPr>
          <w:rFonts w:ascii="Times New Roman" w:hAnsi="Times New Roman" w:cs="Times New Roman"/>
          <w:b w:val="0"/>
          <w:sz w:val="24"/>
          <w:lang w:val="en-ZA"/>
        </w:rPr>
        <w:t>%</w:t>
      </w:r>
      <w:r w:rsidRPr="00586CCF">
        <w:rPr>
          <w:rFonts w:ascii="Times New Roman" w:hAnsi="Times New Roman" w:cs="Times New Roman"/>
          <w:b w:val="0"/>
          <w:sz w:val="24"/>
          <w:lang w:val="en-ZA"/>
        </w:rPr>
        <w:t xml:space="preserve"> for the quarter against a target of 95</w:t>
      </w:r>
      <w:r w:rsidR="00AF6BDE">
        <w:rPr>
          <w:rFonts w:ascii="Times New Roman" w:hAnsi="Times New Roman" w:cs="Times New Roman"/>
          <w:b w:val="0"/>
          <w:sz w:val="24"/>
          <w:lang w:val="en-ZA"/>
        </w:rPr>
        <w:t>%</w:t>
      </w:r>
      <w:r w:rsidRPr="00586CCF">
        <w:rPr>
          <w:rFonts w:ascii="Times New Roman" w:hAnsi="Times New Roman" w:cs="Times New Roman"/>
          <w:b w:val="0"/>
          <w:sz w:val="24"/>
          <w:lang w:val="en-ZA"/>
        </w:rPr>
        <w:t xml:space="preserve"> and the development of Terms of Reference for the research project on the Consumer Protection Act. </w:t>
      </w:r>
    </w:p>
    <w:p w14:paraId="7C5D4610" w14:textId="77777777" w:rsidR="009E4457" w:rsidRPr="00586CCF" w:rsidRDefault="009E4457" w:rsidP="00586CCF">
      <w:pPr>
        <w:spacing w:line="360" w:lineRule="auto"/>
        <w:rPr>
          <w:rFonts w:ascii="Times New Roman" w:hAnsi="Times New Roman" w:cs="Times New Roman"/>
          <w:sz w:val="24"/>
          <w:szCs w:val="24"/>
        </w:rPr>
      </w:pPr>
    </w:p>
    <w:p w14:paraId="2155D358" w14:textId="77777777" w:rsidR="007D2DB6" w:rsidRPr="007D0E14" w:rsidRDefault="007D2DB6" w:rsidP="004265FC">
      <w:pPr>
        <w:pStyle w:val="Heading33"/>
        <w:numPr>
          <w:ilvl w:val="2"/>
          <w:numId w:val="31"/>
        </w:numPr>
        <w:rPr>
          <w:rFonts w:ascii="Times New Roman" w:hAnsi="Times New Roman" w:cs="Times New Roman"/>
          <w:sz w:val="24"/>
        </w:rPr>
      </w:pPr>
      <w:r w:rsidRPr="007D0E14">
        <w:rPr>
          <w:rFonts w:ascii="Times New Roman" w:hAnsi="Times New Roman" w:cs="Times New Roman"/>
          <w:sz w:val="24"/>
        </w:rPr>
        <w:t>Financial Performance</w:t>
      </w:r>
    </w:p>
    <w:p w14:paraId="74999070" w14:textId="77777777" w:rsidR="007D0E14" w:rsidRDefault="007D0E14" w:rsidP="00586CCF">
      <w:pPr>
        <w:spacing w:line="360" w:lineRule="auto"/>
        <w:rPr>
          <w:rFonts w:ascii="Times New Roman" w:hAnsi="Times New Roman" w:cs="Times New Roman"/>
          <w:sz w:val="24"/>
          <w:szCs w:val="24"/>
        </w:rPr>
      </w:pPr>
    </w:p>
    <w:p w14:paraId="4246FEBD" w14:textId="77777777" w:rsidR="007D2DB6" w:rsidRPr="00586CCF" w:rsidRDefault="007D2DB6"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In the first quarter of the 2017/18 financial year, the NCC received a transfer of R13.2</w:t>
      </w:r>
      <w:r w:rsidR="00AF6BDE">
        <w:rPr>
          <w:rFonts w:ascii="Times New Roman" w:hAnsi="Times New Roman" w:cs="Times New Roman"/>
          <w:sz w:val="24"/>
          <w:szCs w:val="24"/>
        </w:rPr>
        <w:t> </w:t>
      </w:r>
      <w:r w:rsidRPr="00586CCF">
        <w:rPr>
          <w:rFonts w:ascii="Times New Roman" w:hAnsi="Times New Roman" w:cs="Times New Roman"/>
          <w:sz w:val="24"/>
          <w:szCs w:val="24"/>
        </w:rPr>
        <w:t xml:space="preserve">million from the DTI, and a further R464 000 was generated from interest income. </w:t>
      </w:r>
      <w:r w:rsidR="00AF6BDE">
        <w:rPr>
          <w:rFonts w:ascii="Times New Roman" w:hAnsi="Times New Roman" w:cs="Times New Roman"/>
          <w:sz w:val="24"/>
          <w:szCs w:val="24"/>
        </w:rPr>
        <w:t>Thus</w:t>
      </w:r>
      <w:r w:rsidRPr="00586CCF">
        <w:rPr>
          <w:rFonts w:ascii="Times New Roman" w:hAnsi="Times New Roman" w:cs="Times New Roman"/>
          <w:sz w:val="24"/>
          <w:szCs w:val="24"/>
        </w:rPr>
        <w:t xml:space="preserve"> total income for the quarter </w:t>
      </w:r>
      <w:r w:rsidR="00AF6BDE">
        <w:rPr>
          <w:rFonts w:ascii="Times New Roman" w:hAnsi="Times New Roman" w:cs="Times New Roman"/>
          <w:sz w:val="24"/>
          <w:szCs w:val="24"/>
        </w:rPr>
        <w:t xml:space="preserve">was </w:t>
      </w:r>
      <w:r w:rsidRPr="00586CCF">
        <w:rPr>
          <w:rFonts w:ascii="Times New Roman" w:hAnsi="Times New Roman" w:cs="Times New Roman"/>
          <w:sz w:val="24"/>
          <w:szCs w:val="24"/>
        </w:rPr>
        <w:t xml:space="preserve">R13.6 million, this was slightly more than the budgeted income. </w:t>
      </w:r>
    </w:p>
    <w:p w14:paraId="38A781C9" w14:textId="77777777" w:rsidR="007D2DB6" w:rsidRPr="00586CCF" w:rsidRDefault="007D2DB6" w:rsidP="00586CCF">
      <w:pPr>
        <w:spacing w:line="360" w:lineRule="auto"/>
        <w:rPr>
          <w:rFonts w:ascii="Times New Roman" w:hAnsi="Times New Roman" w:cs="Times New Roman"/>
          <w:sz w:val="24"/>
          <w:szCs w:val="24"/>
        </w:rPr>
      </w:pPr>
    </w:p>
    <w:p w14:paraId="0D2ACFCB" w14:textId="77777777" w:rsidR="007D2DB6" w:rsidRPr="00586CCF" w:rsidRDefault="007D2DB6"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The NCC spent R12.6 million, against budgeted expenditure of R13.6 million. Thus, the NCC had a surplus of R928 783. By the end of the quarter, total expenditure was at 23.3</w:t>
      </w:r>
      <w:r w:rsidR="00AF6BDE">
        <w:rPr>
          <w:rFonts w:ascii="Times New Roman" w:hAnsi="Times New Roman" w:cs="Times New Roman"/>
          <w:sz w:val="24"/>
          <w:szCs w:val="24"/>
        </w:rPr>
        <w:t>%</w:t>
      </w:r>
      <w:r w:rsidRPr="00586CCF">
        <w:rPr>
          <w:rFonts w:ascii="Times New Roman" w:hAnsi="Times New Roman" w:cs="Times New Roman"/>
          <w:sz w:val="24"/>
          <w:szCs w:val="24"/>
        </w:rPr>
        <w:t xml:space="preserve"> of the annual budgeted expenditure.  Total underspending was approximately 6.8</w:t>
      </w:r>
      <w:r w:rsidR="00AF6BDE">
        <w:rPr>
          <w:rFonts w:ascii="Times New Roman" w:hAnsi="Times New Roman" w:cs="Times New Roman"/>
          <w:sz w:val="24"/>
          <w:szCs w:val="24"/>
        </w:rPr>
        <w:t>%</w:t>
      </w:r>
      <w:r w:rsidRPr="00586CCF">
        <w:rPr>
          <w:rFonts w:ascii="Times New Roman" w:hAnsi="Times New Roman" w:cs="Times New Roman"/>
          <w:sz w:val="24"/>
          <w:szCs w:val="24"/>
        </w:rPr>
        <w:t xml:space="preserve"> of budgeted expenditure. The main sources of under</w:t>
      </w:r>
      <w:r w:rsidR="00AF6BDE">
        <w:rPr>
          <w:rFonts w:ascii="Times New Roman" w:hAnsi="Times New Roman" w:cs="Times New Roman"/>
          <w:sz w:val="24"/>
          <w:szCs w:val="24"/>
        </w:rPr>
        <w:t>-</w:t>
      </w:r>
      <w:r w:rsidRPr="00586CCF">
        <w:rPr>
          <w:rFonts w:ascii="Times New Roman" w:hAnsi="Times New Roman" w:cs="Times New Roman"/>
          <w:sz w:val="24"/>
          <w:szCs w:val="24"/>
        </w:rPr>
        <w:t>expenditure was underspending on inquiry expenses, employee costs, legal fees and consultant costs. The R533 500 budget for inquiry expenses had not been spent, as the first hearing on the timeshare inquiry would be in the second quarter. Underspending on employee costs was R311 976; however, this was only 3</w:t>
      </w:r>
      <w:r w:rsidR="00AF6BDE">
        <w:rPr>
          <w:rFonts w:ascii="Times New Roman" w:hAnsi="Times New Roman" w:cs="Times New Roman"/>
          <w:sz w:val="24"/>
          <w:szCs w:val="24"/>
        </w:rPr>
        <w:t>%</w:t>
      </w:r>
      <w:r w:rsidRPr="00586CCF">
        <w:rPr>
          <w:rFonts w:ascii="Times New Roman" w:hAnsi="Times New Roman" w:cs="Times New Roman"/>
          <w:sz w:val="24"/>
          <w:szCs w:val="24"/>
        </w:rPr>
        <w:t xml:space="preserve"> less than budgeted. Legal fees were 80</w:t>
      </w:r>
      <w:r w:rsidR="00AF6BDE">
        <w:rPr>
          <w:rFonts w:ascii="Times New Roman" w:hAnsi="Times New Roman" w:cs="Times New Roman"/>
          <w:sz w:val="24"/>
          <w:szCs w:val="24"/>
        </w:rPr>
        <w:t>%</w:t>
      </w:r>
      <w:r w:rsidRPr="00586CCF">
        <w:rPr>
          <w:rFonts w:ascii="Times New Roman" w:hAnsi="Times New Roman" w:cs="Times New Roman"/>
          <w:sz w:val="24"/>
          <w:szCs w:val="24"/>
        </w:rPr>
        <w:t xml:space="preserve"> less than budgeted for during the period based on actual work done by external attorneys on NCC litigation matters. Consultant costs were </w:t>
      </w:r>
      <w:r w:rsidR="00AF6BDE">
        <w:rPr>
          <w:rFonts w:ascii="Times New Roman" w:hAnsi="Times New Roman" w:cs="Times New Roman"/>
          <w:sz w:val="24"/>
          <w:szCs w:val="24"/>
        </w:rPr>
        <w:t xml:space="preserve">also </w:t>
      </w:r>
      <w:r w:rsidRPr="00586CCF">
        <w:rPr>
          <w:rFonts w:ascii="Times New Roman" w:hAnsi="Times New Roman" w:cs="Times New Roman"/>
          <w:sz w:val="24"/>
          <w:szCs w:val="24"/>
        </w:rPr>
        <w:t>not spent as procuring project management services for the opt-out register had still been in progress.</w:t>
      </w:r>
    </w:p>
    <w:p w14:paraId="3E725512" w14:textId="77777777" w:rsidR="007D2DB6" w:rsidRPr="00586CCF" w:rsidRDefault="007D2DB6" w:rsidP="00586CCF">
      <w:pPr>
        <w:spacing w:line="360" w:lineRule="auto"/>
        <w:rPr>
          <w:rFonts w:ascii="Times New Roman" w:hAnsi="Times New Roman" w:cs="Times New Roman"/>
          <w:sz w:val="24"/>
          <w:szCs w:val="24"/>
        </w:rPr>
      </w:pPr>
    </w:p>
    <w:p w14:paraId="43366177" w14:textId="77777777" w:rsidR="007D2DB6" w:rsidRPr="00586CCF" w:rsidRDefault="007D2DB6"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The main expenditure items for the quarter were employee</w:t>
      </w:r>
      <w:r w:rsidR="00AF6BDE">
        <w:rPr>
          <w:rFonts w:ascii="Times New Roman" w:hAnsi="Times New Roman" w:cs="Times New Roman"/>
          <w:sz w:val="24"/>
          <w:szCs w:val="24"/>
        </w:rPr>
        <w:t>-</w:t>
      </w:r>
      <w:r w:rsidRPr="00586CCF">
        <w:rPr>
          <w:rFonts w:ascii="Times New Roman" w:hAnsi="Times New Roman" w:cs="Times New Roman"/>
          <w:sz w:val="24"/>
          <w:szCs w:val="24"/>
        </w:rPr>
        <w:t>related costs (81.8</w:t>
      </w:r>
      <w:r w:rsidR="00AF6BDE">
        <w:rPr>
          <w:rFonts w:ascii="Times New Roman" w:hAnsi="Times New Roman" w:cs="Times New Roman"/>
          <w:sz w:val="24"/>
          <w:szCs w:val="24"/>
        </w:rPr>
        <w:t>%</w:t>
      </w:r>
      <w:r w:rsidRPr="00586CCF">
        <w:rPr>
          <w:rFonts w:ascii="Times New Roman" w:hAnsi="Times New Roman" w:cs="Times New Roman"/>
          <w:sz w:val="24"/>
          <w:szCs w:val="24"/>
        </w:rPr>
        <w:t xml:space="preserve"> of total expenditure) and general expenses (18.2</w:t>
      </w:r>
      <w:r w:rsidR="00AF6BDE">
        <w:rPr>
          <w:rFonts w:ascii="Times New Roman" w:hAnsi="Times New Roman" w:cs="Times New Roman"/>
          <w:sz w:val="24"/>
          <w:szCs w:val="24"/>
        </w:rPr>
        <w:t>% of total expenditure</w:t>
      </w:r>
      <w:r w:rsidRPr="00586CCF">
        <w:rPr>
          <w:rFonts w:ascii="Times New Roman" w:hAnsi="Times New Roman" w:cs="Times New Roman"/>
          <w:sz w:val="24"/>
          <w:szCs w:val="24"/>
        </w:rPr>
        <w:t>).</w:t>
      </w:r>
    </w:p>
    <w:p w14:paraId="1845E87A" w14:textId="77777777" w:rsidR="00283959" w:rsidRPr="007D0E14" w:rsidRDefault="00283959" w:rsidP="00EF0C57">
      <w:pPr>
        <w:pStyle w:val="Heading22"/>
        <w:numPr>
          <w:ilvl w:val="0"/>
          <w:numId w:val="0"/>
        </w:numPr>
        <w:ind w:left="720"/>
      </w:pPr>
    </w:p>
    <w:p w14:paraId="4CF4466B" w14:textId="77777777" w:rsidR="003C01A0" w:rsidRPr="00DF13EE" w:rsidRDefault="003C01A0" w:rsidP="00EF0C57">
      <w:pPr>
        <w:pStyle w:val="Heading22"/>
        <w:numPr>
          <w:ilvl w:val="1"/>
          <w:numId w:val="31"/>
        </w:numPr>
      </w:pPr>
      <w:r w:rsidRPr="00DF13EE">
        <w:t xml:space="preserve">Key issues raised by the </w:t>
      </w:r>
      <w:r w:rsidR="005E27D0" w:rsidRPr="00DF13EE">
        <w:t>Committee</w:t>
      </w:r>
    </w:p>
    <w:p w14:paraId="523E5641" w14:textId="77777777" w:rsidR="00613C3C" w:rsidRPr="00586CCF" w:rsidRDefault="00613C3C" w:rsidP="00EF0C57">
      <w:pPr>
        <w:pStyle w:val="Heading22"/>
        <w:numPr>
          <w:ilvl w:val="0"/>
          <w:numId w:val="0"/>
        </w:numPr>
      </w:pPr>
    </w:p>
    <w:p w14:paraId="3C7FDE38" w14:textId="77777777" w:rsidR="0021333A" w:rsidRDefault="0021333A"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following concerns were raised related to the performance of the NCC during </w:t>
      </w:r>
      <w:r w:rsidR="00F66E75" w:rsidRPr="00586CCF">
        <w:rPr>
          <w:rFonts w:ascii="Times New Roman" w:hAnsi="Times New Roman" w:cs="Times New Roman"/>
          <w:sz w:val="24"/>
          <w:szCs w:val="24"/>
        </w:rPr>
        <w:t xml:space="preserve">the </w:t>
      </w:r>
      <w:r w:rsidR="007E6C54" w:rsidRPr="00586CCF">
        <w:rPr>
          <w:rFonts w:ascii="Times New Roman" w:hAnsi="Times New Roman" w:cs="Times New Roman"/>
          <w:sz w:val="24"/>
          <w:szCs w:val="24"/>
        </w:rPr>
        <w:t xml:space="preserve">Committee’s </w:t>
      </w:r>
      <w:r w:rsidRPr="00586CCF">
        <w:rPr>
          <w:rFonts w:ascii="Times New Roman" w:hAnsi="Times New Roman" w:cs="Times New Roman"/>
          <w:sz w:val="24"/>
          <w:szCs w:val="24"/>
        </w:rPr>
        <w:t>deliberations:</w:t>
      </w:r>
    </w:p>
    <w:p w14:paraId="107CE5AF" w14:textId="77777777" w:rsidR="005E27D0" w:rsidRPr="00586CCF" w:rsidRDefault="005E27D0" w:rsidP="00586CCF">
      <w:pPr>
        <w:spacing w:line="360" w:lineRule="auto"/>
        <w:rPr>
          <w:rFonts w:ascii="Times New Roman" w:hAnsi="Times New Roman" w:cs="Times New Roman"/>
          <w:sz w:val="24"/>
          <w:szCs w:val="24"/>
        </w:rPr>
      </w:pPr>
    </w:p>
    <w:p w14:paraId="22842E29" w14:textId="77777777" w:rsidR="008B1D51" w:rsidRPr="008B1D51" w:rsidRDefault="00660BFF" w:rsidP="008B1D51">
      <w:pPr>
        <w:pStyle w:val="ListParagraph"/>
        <w:numPr>
          <w:ilvl w:val="2"/>
          <w:numId w:val="35"/>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 xml:space="preserve">Key control measures and the need for intervention: </w:t>
      </w:r>
      <w:r w:rsidRPr="008B1D51">
        <w:rPr>
          <w:rFonts w:ascii="Times New Roman" w:hAnsi="Times New Roman" w:cs="Times New Roman"/>
          <w:sz w:val="24"/>
          <w:szCs w:val="24"/>
        </w:rPr>
        <w:t xml:space="preserve">The Committee noted with concern that a number of key control measures </w:t>
      </w:r>
      <w:r w:rsidR="009429D9" w:rsidRPr="008B1D51">
        <w:rPr>
          <w:rFonts w:ascii="Times New Roman" w:hAnsi="Times New Roman" w:cs="Times New Roman"/>
          <w:sz w:val="24"/>
          <w:szCs w:val="24"/>
        </w:rPr>
        <w:t xml:space="preserve">had been </w:t>
      </w:r>
      <w:r w:rsidRPr="008B1D51">
        <w:rPr>
          <w:rFonts w:ascii="Times New Roman" w:hAnsi="Times New Roman" w:cs="Times New Roman"/>
          <w:sz w:val="24"/>
          <w:szCs w:val="24"/>
        </w:rPr>
        <w:t>compromised. These control measure</w:t>
      </w:r>
      <w:r w:rsidR="009429D9" w:rsidRPr="008B1D51">
        <w:rPr>
          <w:rFonts w:ascii="Times New Roman" w:hAnsi="Times New Roman" w:cs="Times New Roman"/>
          <w:sz w:val="24"/>
          <w:szCs w:val="24"/>
        </w:rPr>
        <w:t>s</w:t>
      </w:r>
      <w:r w:rsidRPr="008B1D51">
        <w:rPr>
          <w:rFonts w:ascii="Times New Roman" w:hAnsi="Times New Roman" w:cs="Times New Roman"/>
          <w:sz w:val="24"/>
          <w:szCs w:val="24"/>
        </w:rPr>
        <w:t xml:space="preserve"> are critical </w:t>
      </w:r>
      <w:r w:rsidR="009429D9" w:rsidRPr="008B1D51">
        <w:rPr>
          <w:rFonts w:ascii="Times New Roman" w:hAnsi="Times New Roman" w:cs="Times New Roman"/>
          <w:sz w:val="24"/>
          <w:szCs w:val="24"/>
        </w:rPr>
        <w:t>for</w:t>
      </w:r>
      <w:r w:rsidRPr="008B1D51">
        <w:rPr>
          <w:rFonts w:ascii="Times New Roman" w:hAnsi="Times New Roman" w:cs="Times New Roman"/>
          <w:sz w:val="24"/>
          <w:szCs w:val="24"/>
        </w:rPr>
        <w:t xml:space="preserve"> the NCC</w:t>
      </w:r>
      <w:r w:rsidR="009429D9" w:rsidRPr="008B1D51">
        <w:rPr>
          <w:rFonts w:ascii="Times New Roman" w:hAnsi="Times New Roman" w:cs="Times New Roman"/>
          <w:sz w:val="24"/>
          <w:szCs w:val="24"/>
        </w:rPr>
        <w:t xml:space="preserve"> in terms of meeting good governance principles and to</w:t>
      </w:r>
      <w:r w:rsidRPr="008B1D51">
        <w:rPr>
          <w:rFonts w:ascii="Times New Roman" w:hAnsi="Times New Roman" w:cs="Times New Roman"/>
          <w:sz w:val="24"/>
          <w:szCs w:val="24"/>
        </w:rPr>
        <w:t xml:space="preserve"> receive an unqualified audit with no findings. The Committee enquired to the measures being implemented to address these shortcomings with respect to </w:t>
      </w:r>
      <w:r w:rsidR="009429D9" w:rsidRPr="008B1D51">
        <w:rPr>
          <w:rFonts w:ascii="Times New Roman" w:hAnsi="Times New Roman" w:cs="Times New Roman"/>
          <w:sz w:val="24"/>
          <w:szCs w:val="24"/>
        </w:rPr>
        <w:t xml:space="preserve">the NCC’s </w:t>
      </w:r>
      <w:r w:rsidRPr="008B1D51">
        <w:rPr>
          <w:rFonts w:ascii="Times New Roman" w:hAnsi="Times New Roman" w:cs="Times New Roman"/>
          <w:sz w:val="24"/>
          <w:szCs w:val="24"/>
        </w:rPr>
        <w:t>financial and performance management. The NCC acknowledged the challenges identified by the Auditor-General but informed the Committee that the audit action plan had been developed to address the shortcoming</w:t>
      </w:r>
      <w:r w:rsidR="001F01ED" w:rsidRPr="008B1D51">
        <w:rPr>
          <w:rFonts w:ascii="Times New Roman" w:hAnsi="Times New Roman" w:cs="Times New Roman"/>
          <w:sz w:val="24"/>
          <w:szCs w:val="24"/>
        </w:rPr>
        <w:t>s</w:t>
      </w:r>
      <w:r w:rsidRPr="008B1D51">
        <w:rPr>
          <w:rFonts w:ascii="Times New Roman" w:hAnsi="Times New Roman" w:cs="Times New Roman"/>
          <w:sz w:val="24"/>
          <w:szCs w:val="24"/>
        </w:rPr>
        <w:t xml:space="preserve"> to improve</w:t>
      </w:r>
      <w:r w:rsidR="009429D9" w:rsidRPr="008B1D51">
        <w:rPr>
          <w:rFonts w:ascii="Times New Roman" w:hAnsi="Times New Roman" w:cs="Times New Roman"/>
          <w:sz w:val="24"/>
          <w:szCs w:val="24"/>
        </w:rPr>
        <w:t xml:space="preserve"> its</w:t>
      </w:r>
      <w:r w:rsidRPr="008B1D51">
        <w:rPr>
          <w:rFonts w:ascii="Times New Roman" w:hAnsi="Times New Roman" w:cs="Times New Roman"/>
          <w:sz w:val="24"/>
          <w:szCs w:val="24"/>
        </w:rPr>
        <w:t xml:space="preserve"> internal control systems. They informed the Committee </w:t>
      </w:r>
      <w:r w:rsidR="001F01ED" w:rsidRPr="008B1D51">
        <w:rPr>
          <w:rFonts w:ascii="Times New Roman" w:hAnsi="Times New Roman" w:cs="Times New Roman"/>
          <w:sz w:val="24"/>
          <w:szCs w:val="24"/>
        </w:rPr>
        <w:t xml:space="preserve">that </w:t>
      </w:r>
      <w:r w:rsidRPr="008B1D51">
        <w:rPr>
          <w:rFonts w:ascii="Times New Roman" w:hAnsi="Times New Roman" w:cs="Times New Roman"/>
          <w:sz w:val="24"/>
          <w:szCs w:val="24"/>
        </w:rPr>
        <w:t>progress ha</w:t>
      </w:r>
      <w:r w:rsidR="001F01ED" w:rsidRPr="008B1D51">
        <w:rPr>
          <w:rFonts w:ascii="Times New Roman" w:hAnsi="Times New Roman" w:cs="Times New Roman"/>
          <w:sz w:val="24"/>
          <w:szCs w:val="24"/>
        </w:rPr>
        <w:t>d</w:t>
      </w:r>
      <w:r w:rsidRPr="008B1D51">
        <w:rPr>
          <w:rFonts w:ascii="Times New Roman" w:hAnsi="Times New Roman" w:cs="Times New Roman"/>
          <w:sz w:val="24"/>
          <w:szCs w:val="24"/>
        </w:rPr>
        <w:t xml:space="preserve"> been made in relation to the Auditor-General’s findings with respect to the quality of financial information and supply chain management.</w:t>
      </w:r>
      <w:r w:rsidRPr="008B1D51">
        <w:rPr>
          <w:rFonts w:ascii="Times New Roman" w:hAnsi="Times New Roman" w:cs="Times New Roman"/>
          <w:b/>
          <w:i/>
          <w:sz w:val="24"/>
          <w:szCs w:val="24"/>
        </w:rPr>
        <w:t xml:space="preserve"> </w:t>
      </w:r>
    </w:p>
    <w:p w14:paraId="43EBAE97" w14:textId="77777777" w:rsidR="008B1D51" w:rsidRPr="008B1D51" w:rsidRDefault="008B1D51" w:rsidP="008B1D51">
      <w:pPr>
        <w:pStyle w:val="ListParagraph"/>
        <w:spacing w:line="360" w:lineRule="auto"/>
        <w:rPr>
          <w:rFonts w:ascii="Times New Roman" w:hAnsi="Times New Roman" w:cs="Times New Roman"/>
          <w:sz w:val="24"/>
          <w:szCs w:val="24"/>
        </w:rPr>
      </w:pPr>
    </w:p>
    <w:p w14:paraId="4395AC93" w14:textId="77777777" w:rsidR="008B1D51" w:rsidRDefault="00660BFF" w:rsidP="008B1D51">
      <w:pPr>
        <w:pStyle w:val="ListParagraph"/>
        <w:numPr>
          <w:ilvl w:val="2"/>
          <w:numId w:val="35"/>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 xml:space="preserve">The high number of disciplinary cases: </w:t>
      </w:r>
      <w:r w:rsidRPr="008B1D51">
        <w:rPr>
          <w:rFonts w:ascii="Times New Roman" w:hAnsi="Times New Roman" w:cs="Times New Roman"/>
          <w:sz w:val="24"/>
          <w:szCs w:val="24"/>
        </w:rPr>
        <w:t>The Committee was concern</w:t>
      </w:r>
      <w:r w:rsidR="001F01ED" w:rsidRPr="008B1D51">
        <w:rPr>
          <w:rFonts w:ascii="Times New Roman" w:hAnsi="Times New Roman" w:cs="Times New Roman"/>
          <w:sz w:val="24"/>
          <w:szCs w:val="24"/>
        </w:rPr>
        <w:t>ed</w:t>
      </w:r>
      <w:r w:rsidRPr="008B1D51">
        <w:rPr>
          <w:rFonts w:ascii="Times New Roman" w:hAnsi="Times New Roman" w:cs="Times New Roman"/>
          <w:sz w:val="24"/>
          <w:szCs w:val="24"/>
        </w:rPr>
        <w:t xml:space="preserve"> with the high number of disciplinary cases and enquired whether </w:t>
      </w:r>
      <w:r w:rsidR="009429D9" w:rsidRPr="008B1D51">
        <w:rPr>
          <w:rFonts w:ascii="Times New Roman" w:hAnsi="Times New Roman" w:cs="Times New Roman"/>
          <w:sz w:val="24"/>
          <w:szCs w:val="24"/>
        </w:rPr>
        <w:t xml:space="preserve">these were </w:t>
      </w:r>
      <w:r w:rsidRPr="008B1D51">
        <w:rPr>
          <w:rFonts w:ascii="Times New Roman" w:hAnsi="Times New Roman" w:cs="Times New Roman"/>
          <w:sz w:val="24"/>
          <w:szCs w:val="24"/>
        </w:rPr>
        <w:t xml:space="preserve">addressed. The NCC informed the Committee that most of these cases related to poor performance and not misconduct. They also acknowledged the concerns raised by the Auditor-General around consequence management and are in the process of addressing this. </w:t>
      </w:r>
    </w:p>
    <w:p w14:paraId="600A5572" w14:textId="77777777" w:rsidR="008B1D51" w:rsidRPr="008B1D51" w:rsidRDefault="008B1D51" w:rsidP="008B1D51">
      <w:pPr>
        <w:pStyle w:val="ListParagraph"/>
        <w:rPr>
          <w:rFonts w:ascii="Times New Roman" w:hAnsi="Times New Roman" w:cs="Times New Roman"/>
          <w:b/>
          <w:i/>
          <w:sz w:val="24"/>
          <w:szCs w:val="24"/>
        </w:rPr>
      </w:pPr>
    </w:p>
    <w:p w14:paraId="077CF2A6" w14:textId="77777777" w:rsidR="008B1D51" w:rsidRDefault="00660BFF" w:rsidP="008B1D51">
      <w:pPr>
        <w:pStyle w:val="ListParagraph"/>
        <w:numPr>
          <w:ilvl w:val="2"/>
          <w:numId w:val="35"/>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 xml:space="preserve">Number of vacancies: </w:t>
      </w:r>
      <w:r w:rsidRPr="008B1D51">
        <w:rPr>
          <w:rFonts w:ascii="Times New Roman" w:hAnsi="Times New Roman" w:cs="Times New Roman"/>
          <w:sz w:val="24"/>
          <w:szCs w:val="24"/>
        </w:rPr>
        <w:t>The Committee noted the number of vacanc</w:t>
      </w:r>
      <w:r w:rsidR="009429D9" w:rsidRPr="008B1D51">
        <w:rPr>
          <w:rFonts w:ascii="Times New Roman" w:hAnsi="Times New Roman" w:cs="Times New Roman"/>
          <w:sz w:val="24"/>
          <w:szCs w:val="24"/>
        </w:rPr>
        <w:t>ies</w:t>
      </w:r>
      <w:r w:rsidRPr="008B1D51">
        <w:rPr>
          <w:rFonts w:ascii="Times New Roman" w:hAnsi="Times New Roman" w:cs="Times New Roman"/>
          <w:sz w:val="24"/>
          <w:szCs w:val="24"/>
        </w:rPr>
        <w:t xml:space="preserve"> and enquired whether these vacancies were in critical positions and if they were </w:t>
      </w:r>
      <w:r w:rsidR="009429D9" w:rsidRPr="008B1D51">
        <w:rPr>
          <w:rFonts w:ascii="Times New Roman" w:hAnsi="Times New Roman" w:cs="Times New Roman"/>
          <w:sz w:val="24"/>
          <w:szCs w:val="24"/>
        </w:rPr>
        <w:t xml:space="preserve">subsequently </w:t>
      </w:r>
      <w:r w:rsidRPr="008B1D51">
        <w:rPr>
          <w:rFonts w:ascii="Times New Roman" w:hAnsi="Times New Roman" w:cs="Times New Roman"/>
          <w:sz w:val="24"/>
          <w:szCs w:val="24"/>
        </w:rPr>
        <w:t xml:space="preserve">filled. The NCC informed the Committee that all </w:t>
      </w:r>
      <w:r w:rsidR="009429D9" w:rsidRPr="008B1D51">
        <w:rPr>
          <w:rFonts w:ascii="Times New Roman" w:hAnsi="Times New Roman" w:cs="Times New Roman"/>
          <w:sz w:val="24"/>
          <w:szCs w:val="24"/>
        </w:rPr>
        <w:t xml:space="preserve">vacant </w:t>
      </w:r>
      <w:r w:rsidRPr="008B1D51">
        <w:rPr>
          <w:rFonts w:ascii="Times New Roman" w:hAnsi="Times New Roman" w:cs="Times New Roman"/>
          <w:sz w:val="24"/>
          <w:szCs w:val="24"/>
        </w:rPr>
        <w:t>post</w:t>
      </w:r>
      <w:r w:rsidR="009429D9" w:rsidRPr="008B1D51">
        <w:rPr>
          <w:rFonts w:ascii="Times New Roman" w:hAnsi="Times New Roman" w:cs="Times New Roman"/>
          <w:sz w:val="24"/>
          <w:szCs w:val="24"/>
        </w:rPr>
        <w:t>s</w:t>
      </w:r>
      <w:r w:rsidRPr="008B1D51">
        <w:rPr>
          <w:rFonts w:ascii="Times New Roman" w:hAnsi="Times New Roman" w:cs="Times New Roman"/>
          <w:sz w:val="24"/>
          <w:szCs w:val="24"/>
        </w:rPr>
        <w:t xml:space="preserve"> had been filled or </w:t>
      </w:r>
      <w:r w:rsidR="009429D9" w:rsidRPr="008B1D51">
        <w:rPr>
          <w:rFonts w:ascii="Times New Roman" w:hAnsi="Times New Roman" w:cs="Times New Roman"/>
          <w:sz w:val="24"/>
          <w:szCs w:val="24"/>
        </w:rPr>
        <w:t xml:space="preserve">were </w:t>
      </w:r>
      <w:r w:rsidRPr="008B1D51">
        <w:rPr>
          <w:rFonts w:ascii="Times New Roman" w:hAnsi="Times New Roman" w:cs="Times New Roman"/>
          <w:sz w:val="24"/>
          <w:szCs w:val="24"/>
        </w:rPr>
        <w:t>about t</w:t>
      </w:r>
      <w:r w:rsidR="001F01ED" w:rsidRPr="008B1D51">
        <w:rPr>
          <w:rFonts w:ascii="Times New Roman" w:hAnsi="Times New Roman" w:cs="Times New Roman"/>
          <w:sz w:val="24"/>
          <w:szCs w:val="24"/>
        </w:rPr>
        <w:t>o</w:t>
      </w:r>
      <w:r w:rsidRPr="008B1D51">
        <w:rPr>
          <w:rFonts w:ascii="Times New Roman" w:hAnsi="Times New Roman" w:cs="Times New Roman"/>
          <w:sz w:val="24"/>
          <w:szCs w:val="24"/>
        </w:rPr>
        <w:t xml:space="preserve"> be filled. </w:t>
      </w:r>
    </w:p>
    <w:p w14:paraId="5F7583EC" w14:textId="77777777" w:rsidR="008B1D51" w:rsidRPr="008B1D51" w:rsidRDefault="008B1D51" w:rsidP="008B1D51">
      <w:pPr>
        <w:pStyle w:val="ListParagraph"/>
        <w:rPr>
          <w:rFonts w:ascii="Times New Roman" w:hAnsi="Times New Roman" w:cs="Times New Roman"/>
          <w:b/>
          <w:i/>
          <w:sz w:val="24"/>
          <w:szCs w:val="24"/>
        </w:rPr>
      </w:pPr>
    </w:p>
    <w:p w14:paraId="3A52E8B9" w14:textId="77777777" w:rsidR="00660BFF" w:rsidRPr="008B1D51" w:rsidRDefault="00660BFF" w:rsidP="008B1D51">
      <w:pPr>
        <w:pStyle w:val="ListParagraph"/>
        <w:numPr>
          <w:ilvl w:val="2"/>
          <w:numId w:val="35"/>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 xml:space="preserve">Training and skills development: </w:t>
      </w:r>
      <w:r w:rsidRPr="008B1D51">
        <w:rPr>
          <w:rFonts w:ascii="Times New Roman" w:hAnsi="Times New Roman" w:cs="Times New Roman"/>
          <w:sz w:val="24"/>
          <w:szCs w:val="24"/>
        </w:rPr>
        <w:t>The Committee ha</w:t>
      </w:r>
      <w:r w:rsidR="009429D9" w:rsidRPr="008B1D51">
        <w:rPr>
          <w:rFonts w:ascii="Times New Roman" w:hAnsi="Times New Roman" w:cs="Times New Roman"/>
          <w:sz w:val="24"/>
          <w:szCs w:val="24"/>
        </w:rPr>
        <w:t>d</w:t>
      </w:r>
      <w:r w:rsidRPr="008B1D51">
        <w:rPr>
          <w:rFonts w:ascii="Times New Roman" w:hAnsi="Times New Roman" w:cs="Times New Roman"/>
          <w:sz w:val="24"/>
          <w:szCs w:val="24"/>
        </w:rPr>
        <w:t xml:space="preserve"> been aware of the human resource challenges at the NCC and that the skills available</w:t>
      </w:r>
      <w:r w:rsidR="00525714" w:rsidRPr="008B1D51">
        <w:rPr>
          <w:rFonts w:ascii="Times New Roman" w:hAnsi="Times New Roman" w:cs="Times New Roman"/>
          <w:sz w:val="24"/>
          <w:szCs w:val="24"/>
        </w:rPr>
        <w:t>,</w:t>
      </w:r>
      <w:r w:rsidRPr="008B1D51">
        <w:rPr>
          <w:rFonts w:ascii="Times New Roman" w:hAnsi="Times New Roman" w:cs="Times New Roman"/>
          <w:sz w:val="24"/>
          <w:szCs w:val="24"/>
        </w:rPr>
        <w:t xml:space="preserve"> d</w:t>
      </w:r>
      <w:r w:rsidR="009429D9" w:rsidRPr="008B1D51">
        <w:rPr>
          <w:rFonts w:ascii="Times New Roman" w:hAnsi="Times New Roman" w:cs="Times New Roman"/>
          <w:sz w:val="24"/>
          <w:szCs w:val="24"/>
        </w:rPr>
        <w:t>id</w:t>
      </w:r>
      <w:r w:rsidRPr="008B1D51">
        <w:rPr>
          <w:rFonts w:ascii="Times New Roman" w:hAnsi="Times New Roman" w:cs="Times New Roman"/>
          <w:sz w:val="24"/>
          <w:szCs w:val="24"/>
        </w:rPr>
        <w:t xml:space="preserve"> not necessar</w:t>
      </w:r>
      <w:r w:rsidR="009429D9" w:rsidRPr="008B1D51">
        <w:rPr>
          <w:rFonts w:ascii="Times New Roman" w:hAnsi="Times New Roman" w:cs="Times New Roman"/>
          <w:sz w:val="24"/>
          <w:szCs w:val="24"/>
        </w:rPr>
        <w:t>il</w:t>
      </w:r>
      <w:r w:rsidRPr="008B1D51">
        <w:rPr>
          <w:rFonts w:ascii="Times New Roman" w:hAnsi="Times New Roman" w:cs="Times New Roman"/>
          <w:sz w:val="24"/>
          <w:szCs w:val="24"/>
        </w:rPr>
        <w:t xml:space="preserve">y </w:t>
      </w:r>
      <w:r w:rsidR="009429D9" w:rsidRPr="008B1D51">
        <w:rPr>
          <w:rFonts w:ascii="Times New Roman" w:hAnsi="Times New Roman" w:cs="Times New Roman"/>
          <w:sz w:val="24"/>
          <w:szCs w:val="24"/>
        </w:rPr>
        <w:t>match</w:t>
      </w:r>
      <w:r w:rsidRPr="008B1D51">
        <w:rPr>
          <w:rFonts w:ascii="Times New Roman" w:hAnsi="Times New Roman" w:cs="Times New Roman"/>
          <w:sz w:val="24"/>
          <w:szCs w:val="24"/>
        </w:rPr>
        <w:t xml:space="preserve"> what </w:t>
      </w:r>
      <w:r w:rsidR="009429D9" w:rsidRPr="008B1D51">
        <w:rPr>
          <w:rFonts w:ascii="Times New Roman" w:hAnsi="Times New Roman" w:cs="Times New Roman"/>
          <w:sz w:val="24"/>
          <w:szCs w:val="24"/>
        </w:rPr>
        <w:t>was</w:t>
      </w:r>
      <w:r w:rsidRPr="008B1D51">
        <w:rPr>
          <w:rFonts w:ascii="Times New Roman" w:hAnsi="Times New Roman" w:cs="Times New Roman"/>
          <w:sz w:val="24"/>
          <w:szCs w:val="24"/>
        </w:rPr>
        <w:t xml:space="preserve"> required. The Committee enquire</w:t>
      </w:r>
      <w:r w:rsidR="009429D9" w:rsidRPr="008B1D51">
        <w:rPr>
          <w:rFonts w:ascii="Times New Roman" w:hAnsi="Times New Roman" w:cs="Times New Roman"/>
          <w:sz w:val="24"/>
          <w:szCs w:val="24"/>
        </w:rPr>
        <w:t>d</w:t>
      </w:r>
      <w:r w:rsidRPr="008B1D51">
        <w:rPr>
          <w:rFonts w:ascii="Times New Roman" w:hAnsi="Times New Roman" w:cs="Times New Roman"/>
          <w:sz w:val="24"/>
          <w:szCs w:val="24"/>
        </w:rPr>
        <w:t xml:space="preserve"> whether the NCC ha</w:t>
      </w:r>
      <w:r w:rsidR="009429D9" w:rsidRPr="008B1D51">
        <w:rPr>
          <w:rFonts w:ascii="Times New Roman" w:hAnsi="Times New Roman" w:cs="Times New Roman"/>
          <w:sz w:val="24"/>
          <w:szCs w:val="24"/>
        </w:rPr>
        <w:t>d</w:t>
      </w:r>
      <w:r w:rsidRPr="008B1D51">
        <w:rPr>
          <w:rFonts w:ascii="Times New Roman" w:hAnsi="Times New Roman" w:cs="Times New Roman"/>
          <w:sz w:val="24"/>
          <w:szCs w:val="24"/>
        </w:rPr>
        <w:t xml:space="preserve"> developed an employee training programme that would ensure that employees acquire</w:t>
      </w:r>
      <w:r w:rsidR="009429D9" w:rsidRPr="008B1D51">
        <w:rPr>
          <w:rFonts w:ascii="Times New Roman" w:hAnsi="Times New Roman" w:cs="Times New Roman"/>
          <w:sz w:val="24"/>
          <w:szCs w:val="24"/>
        </w:rPr>
        <w:t>d</w:t>
      </w:r>
      <w:r w:rsidRPr="008B1D51">
        <w:rPr>
          <w:rFonts w:ascii="Times New Roman" w:hAnsi="Times New Roman" w:cs="Times New Roman"/>
          <w:sz w:val="24"/>
          <w:szCs w:val="24"/>
        </w:rPr>
        <w:t xml:space="preserve"> the necessary skills for the NCC to fulfil its mandate. The NCC informed the Committee </w:t>
      </w:r>
      <w:r w:rsidR="009429D9" w:rsidRPr="008B1D51">
        <w:rPr>
          <w:rFonts w:ascii="Times New Roman" w:hAnsi="Times New Roman" w:cs="Times New Roman"/>
          <w:sz w:val="24"/>
          <w:szCs w:val="24"/>
        </w:rPr>
        <w:t xml:space="preserve">that </w:t>
      </w:r>
      <w:r w:rsidRPr="008B1D51">
        <w:rPr>
          <w:rFonts w:ascii="Times New Roman" w:hAnsi="Times New Roman" w:cs="Times New Roman"/>
          <w:sz w:val="24"/>
          <w:szCs w:val="24"/>
        </w:rPr>
        <w:t>training especially for managers had been completed. It had done a skills assessment and that the necessary job training programme w</w:t>
      </w:r>
      <w:r w:rsidR="009429D9" w:rsidRPr="008B1D51">
        <w:rPr>
          <w:rFonts w:ascii="Times New Roman" w:hAnsi="Times New Roman" w:cs="Times New Roman"/>
          <w:sz w:val="24"/>
          <w:szCs w:val="24"/>
        </w:rPr>
        <w:t>ould</w:t>
      </w:r>
      <w:r w:rsidRPr="008B1D51">
        <w:rPr>
          <w:rFonts w:ascii="Times New Roman" w:hAnsi="Times New Roman" w:cs="Times New Roman"/>
          <w:sz w:val="24"/>
          <w:szCs w:val="24"/>
        </w:rPr>
        <w:t xml:space="preserve"> commence in </w:t>
      </w:r>
      <w:r w:rsidR="009429D9" w:rsidRPr="008B1D51">
        <w:rPr>
          <w:rFonts w:ascii="Times New Roman" w:hAnsi="Times New Roman" w:cs="Times New Roman"/>
          <w:sz w:val="24"/>
          <w:szCs w:val="24"/>
        </w:rPr>
        <w:t xml:space="preserve">the </w:t>
      </w:r>
      <w:r w:rsidRPr="008B1D51">
        <w:rPr>
          <w:rFonts w:ascii="Times New Roman" w:hAnsi="Times New Roman" w:cs="Times New Roman"/>
          <w:sz w:val="24"/>
          <w:szCs w:val="24"/>
        </w:rPr>
        <w:t>2017/18</w:t>
      </w:r>
      <w:r w:rsidR="009429D9" w:rsidRPr="008B1D51">
        <w:rPr>
          <w:rFonts w:ascii="Times New Roman" w:hAnsi="Times New Roman" w:cs="Times New Roman"/>
          <w:sz w:val="24"/>
          <w:szCs w:val="24"/>
        </w:rPr>
        <w:t xml:space="preserve"> financial year</w:t>
      </w:r>
      <w:r w:rsidR="001F01ED" w:rsidRPr="008B1D51">
        <w:rPr>
          <w:rFonts w:ascii="Times New Roman" w:hAnsi="Times New Roman" w:cs="Times New Roman"/>
          <w:sz w:val="24"/>
          <w:szCs w:val="24"/>
        </w:rPr>
        <w:t>, budget permitting</w:t>
      </w:r>
      <w:r w:rsidRPr="008B1D51">
        <w:rPr>
          <w:rFonts w:ascii="Times New Roman" w:hAnsi="Times New Roman" w:cs="Times New Roman"/>
          <w:sz w:val="24"/>
          <w:szCs w:val="24"/>
        </w:rPr>
        <w:t xml:space="preserve">. </w:t>
      </w:r>
    </w:p>
    <w:p w14:paraId="19B6E1F1" w14:textId="77777777" w:rsidR="00F74CFF" w:rsidRPr="000C1D84" w:rsidRDefault="00F74CFF" w:rsidP="00586CCF">
      <w:pPr>
        <w:spacing w:line="360" w:lineRule="auto"/>
        <w:rPr>
          <w:rFonts w:ascii="Times New Roman" w:hAnsi="Times New Roman" w:cs="Times New Roman"/>
          <w:sz w:val="24"/>
          <w:szCs w:val="24"/>
        </w:rPr>
      </w:pPr>
    </w:p>
    <w:p w14:paraId="1806A123" w14:textId="77777777" w:rsidR="00443C0F" w:rsidRPr="00941818" w:rsidRDefault="00443C0F" w:rsidP="009D5D24">
      <w:pPr>
        <w:pStyle w:val="Heading11"/>
        <w:rPr>
          <w:rFonts w:ascii="Times New Roman" w:hAnsi="Times New Roman" w:cs="Times New Roman"/>
        </w:rPr>
      </w:pPr>
      <w:r w:rsidRPr="00941818">
        <w:rPr>
          <w:rFonts w:ascii="Times New Roman" w:hAnsi="Times New Roman" w:cs="Times New Roman"/>
        </w:rPr>
        <w:t xml:space="preserve">National Credit Regulator </w:t>
      </w:r>
    </w:p>
    <w:p w14:paraId="5160733C" w14:textId="77777777" w:rsidR="00443C0F" w:rsidRPr="00586CCF" w:rsidRDefault="00443C0F" w:rsidP="00443C0F">
      <w:pPr>
        <w:tabs>
          <w:tab w:val="left" w:pos="6045"/>
        </w:tabs>
        <w:spacing w:line="360" w:lineRule="auto"/>
        <w:rPr>
          <w:rFonts w:ascii="Times New Roman" w:hAnsi="Times New Roman" w:cs="Times New Roman"/>
          <w:sz w:val="24"/>
          <w:szCs w:val="24"/>
        </w:rPr>
      </w:pPr>
    </w:p>
    <w:p w14:paraId="7C31B57C"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eastAsia="Calibri" w:hAnsi="Times New Roman" w:cs="Times New Roman"/>
          <w:sz w:val="24"/>
          <w:szCs w:val="24"/>
        </w:rPr>
        <w:t>The NCR falls under the Consumer and Corporate Regulation Division within the</w:t>
      </w:r>
      <w:r>
        <w:rPr>
          <w:rFonts w:ascii="Times New Roman" w:eastAsia="Calibri" w:hAnsi="Times New Roman" w:cs="Times New Roman"/>
          <w:sz w:val="24"/>
          <w:szCs w:val="24"/>
        </w:rPr>
        <w:t xml:space="preserve"> </w:t>
      </w:r>
      <w:r w:rsidRPr="00586CCF">
        <w:rPr>
          <w:rFonts w:ascii="Times New Roman" w:eastAsia="Calibri" w:hAnsi="Times New Roman" w:cs="Times New Roman"/>
          <w:sz w:val="24"/>
          <w:szCs w:val="24"/>
        </w:rPr>
        <w:t xml:space="preserve">DTI. </w:t>
      </w:r>
      <w:r w:rsidRPr="00586CCF">
        <w:rPr>
          <w:rFonts w:ascii="Times New Roman" w:hAnsi="Times New Roman" w:cs="Times New Roman"/>
          <w:sz w:val="24"/>
          <w:szCs w:val="24"/>
        </w:rPr>
        <w:t xml:space="preserve">The </w:t>
      </w:r>
      <w:r w:rsidRPr="00586CCF">
        <w:rPr>
          <w:rFonts w:ascii="Times New Roman" w:hAnsi="Times New Roman" w:cs="Times New Roman"/>
          <w:bCs/>
          <w:sz w:val="24"/>
          <w:szCs w:val="24"/>
        </w:rPr>
        <w:t>NCR</w:t>
      </w:r>
      <w:r w:rsidRPr="00586CCF">
        <w:rPr>
          <w:rFonts w:ascii="Times New Roman" w:hAnsi="Times New Roman" w:cs="Times New Roman"/>
          <w:sz w:val="24"/>
          <w:szCs w:val="24"/>
        </w:rPr>
        <w:t xml:space="preserve"> was established under the </w:t>
      </w:r>
      <w:r w:rsidRPr="00586CCF">
        <w:rPr>
          <w:rFonts w:ascii="Times New Roman" w:hAnsi="Times New Roman" w:cs="Times New Roman"/>
          <w:bCs/>
          <w:sz w:val="24"/>
          <w:szCs w:val="24"/>
        </w:rPr>
        <w:t>National Credit</w:t>
      </w:r>
      <w:r w:rsidRPr="00586CCF">
        <w:rPr>
          <w:rFonts w:ascii="Times New Roman" w:hAnsi="Times New Roman" w:cs="Times New Roman"/>
          <w:sz w:val="24"/>
          <w:szCs w:val="24"/>
        </w:rPr>
        <w:t xml:space="preserve"> Act (No. 34 of 2005) and is responsible for the regulation of the South African </w:t>
      </w:r>
      <w:r w:rsidRPr="00586CCF">
        <w:rPr>
          <w:rFonts w:ascii="Times New Roman" w:hAnsi="Times New Roman" w:cs="Times New Roman"/>
          <w:bCs/>
          <w:sz w:val="24"/>
          <w:szCs w:val="24"/>
        </w:rPr>
        <w:t>credit</w:t>
      </w:r>
      <w:r w:rsidRPr="00586CCF">
        <w:rPr>
          <w:rFonts w:ascii="Times New Roman" w:hAnsi="Times New Roman" w:cs="Times New Roman"/>
          <w:sz w:val="24"/>
          <w:szCs w:val="24"/>
        </w:rPr>
        <w:t xml:space="preserve"> industry in terms of consumer protection. It is tasked with carrying out consumer credit education and </w:t>
      </w:r>
      <w:r w:rsidRPr="00586CCF">
        <w:rPr>
          <w:rFonts w:ascii="Times New Roman" w:hAnsi="Times New Roman" w:cs="Times New Roman"/>
          <w:bCs/>
          <w:sz w:val="24"/>
          <w:szCs w:val="24"/>
        </w:rPr>
        <w:t>public awareness campaigns</w:t>
      </w:r>
      <w:r w:rsidRPr="00586CCF">
        <w:rPr>
          <w:rFonts w:ascii="Times New Roman" w:hAnsi="Times New Roman" w:cs="Times New Roman"/>
          <w:sz w:val="24"/>
          <w:szCs w:val="24"/>
        </w:rPr>
        <w:t xml:space="preserve">, research, policy development, </w:t>
      </w:r>
      <w:r w:rsidRPr="00586CCF">
        <w:rPr>
          <w:rFonts w:ascii="Times New Roman" w:hAnsi="Times New Roman" w:cs="Times New Roman"/>
          <w:bCs/>
          <w:sz w:val="24"/>
          <w:szCs w:val="24"/>
        </w:rPr>
        <w:t>registration</w:t>
      </w:r>
      <w:r w:rsidRPr="00586CCF">
        <w:rPr>
          <w:rFonts w:ascii="Times New Roman" w:hAnsi="Times New Roman" w:cs="Times New Roman"/>
          <w:sz w:val="24"/>
          <w:szCs w:val="24"/>
        </w:rPr>
        <w:t xml:space="preserve"> of industry participants, investigation of </w:t>
      </w:r>
      <w:r w:rsidRPr="00586CCF">
        <w:rPr>
          <w:rFonts w:ascii="Times New Roman" w:hAnsi="Times New Roman" w:cs="Times New Roman"/>
          <w:bCs/>
          <w:sz w:val="24"/>
          <w:szCs w:val="24"/>
        </w:rPr>
        <w:t>complaints</w:t>
      </w:r>
      <w:r w:rsidRPr="00586CCF">
        <w:rPr>
          <w:rFonts w:ascii="Times New Roman" w:hAnsi="Times New Roman" w:cs="Times New Roman"/>
          <w:sz w:val="24"/>
          <w:szCs w:val="24"/>
        </w:rPr>
        <w:t>, and ensuring the enforcement of the Act.</w:t>
      </w:r>
    </w:p>
    <w:p w14:paraId="1A0C5D72" w14:textId="77777777" w:rsidR="00443C0F" w:rsidRPr="00586CCF" w:rsidRDefault="00443C0F" w:rsidP="00443C0F">
      <w:pPr>
        <w:spacing w:line="360" w:lineRule="auto"/>
        <w:rPr>
          <w:rFonts w:ascii="Times New Roman" w:hAnsi="Times New Roman" w:cs="Times New Roman"/>
          <w:sz w:val="24"/>
          <w:szCs w:val="24"/>
        </w:rPr>
      </w:pPr>
    </w:p>
    <w:p w14:paraId="67699A94"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Act requires the NCR to promote the development of an accessible </w:t>
      </w:r>
      <w:r w:rsidRPr="00586CCF">
        <w:rPr>
          <w:rFonts w:ascii="Times New Roman" w:hAnsi="Times New Roman" w:cs="Times New Roman"/>
          <w:bCs/>
          <w:sz w:val="24"/>
          <w:szCs w:val="24"/>
        </w:rPr>
        <w:t>credit</w:t>
      </w:r>
      <w:r w:rsidRPr="00586CCF">
        <w:rPr>
          <w:rFonts w:ascii="Times New Roman" w:hAnsi="Times New Roman" w:cs="Times New Roman"/>
          <w:sz w:val="24"/>
          <w:szCs w:val="24"/>
        </w:rPr>
        <w:t xml:space="preserve"> market, particularly to address the needs of historically disadvantaged persons, low income persons, and rural communities. </w:t>
      </w:r>
      <w:r>
        <w:rPr>
          <w:rFonts w:ascii="Times New Roman" w:hAnsi="Times New Roman" w:cs="Times New Roman"/>
          <w:sz w:val="24"/>
          <w:szCs w:val="24"/>
        </w:rPr>
        <w:t>It</w:t>
      </w:r>
      <w:r w:rsidRPr="00586CCF">
        <w:rPr>
          <w:rFonts w:ascii="Times New Roman" w:hAnsi="Times New Roman" w:cs="Times New Roman"/>
          <w:sz w:val="24"/>
          <w:szCs w:val="24"/>
        </w:rPr>
        <w:t xml:space="preserve"> is also tasked with the </w:t>
      </w:r>
      <w:r w:rsidRPr="00586CCF">
        <w:rPr>
          <w:rFonts w:ascii="Times New Roman" w:hAnsi="Times New Roman" w:cs="Times New Roman"/>
          <w:bCs/>
          <w:sz w:val="24"/>
          <w:szCs w:val="24"/>
        </w:rPr>
        <w:t>registration</w:t>
      </w:r>
      <w:r w:rsidRPr="00586CCF">
        <w:rPr>
          <w:rFonts w:ascii="Times New Roman" w:hAnsi="Times New Roman" w:cs="Times New Roman"/>
          <w:sz w:val="24"/>
          <w:szCs w:val="24"/>
        </w:rPr>
        <w:t xml:space="preserve"> of </w:t>
      </w:r>
      <w:r w:rsidRPr="00586CCF">
        <w:rPr>
          <w:rFonts w:ascii="Times New Roman" w:hAnsi="Times New Roman" w:cs="Times New Roman"/>
          <w:bCs/>
          <w:sz w:val="24"/>
          <w:szCs w:val="24"/>
        </w:rPr>
        <w:t>credit</w:t>
      </w:r>
      <w:r w:rsidRPr="00586CCF">
        <w:rPr>
          <w:rFonts w:ascii="Times New Roman" w:hAnsi="Times New Roman" w:cs="Times New Roman"/>
          <w:sz w:val="24"/>
          <w:szCs w:val="24"/>
        </w:rPr>
        <w:t xml:space="preserve"> providers, </w:t>
      </w:r>
      <w:r w:rsidRPr="00586CCF">
        <w:rPr>
          <w:rFonts w:ascii="Times New Roman" w:hAnsi="Times New Roman" w:cs="Times New Roman"/>
          <w:bCs/>
          <w:sz w:val="24"/>
          <w:szCs w:val="24"/>
        </w:rPr>
        <w:t>credit</w:t>
      </w:r>
      <w:r w:rsidRPr="00586CCF">
        <w:rPr>
          <w:rFonts w:ascii="Times New Roman" w:hAnsi="Times New Roman" w:cs="Times New Roman"/>
          <w:sz w:val="24"/>
          <w:szCs w:val="24"/>
        </w:rPr>
        <w:t xml:space="preserve"> bureaux, </w:t>
      </w:r>
      <w:r w:rsidRPr="00586CCF">
        <w:rPr>
          <w:rFonts w:ascii="Times New Roman" w:hAnsi="Times New Roman" w:cs="Times New Roman"/>
          <w:bCs/>
          <w:sz w:val="24"/>
          <w:szCs w:val="24"/>
        </w:rPr>
        <w:t>debt</w:t>
      </w:r>
      <w:r w:rsidRPr="00586CCF">
        <w:rPr>
          <w:rFonts w:ascii="Times New Roman" w:hAnsi="Times New Roman" w:cs="Times New Roman"/>
          <w:sz w:val="24"/>
          <w:szCs w:val="24"/>
        </w:rPr>
        <w:t xml:space="preserve"> counsellors, payment distribution agents (PDAs) and alternative </w:t>
      </w:r>
      <w:r>
        <w:rPr>
          <w:rFonts w:ascii="Times New Roman" w:hAnsi="Times New Roman" w:cs="Times New Roman"/>
          <w:sz w:val="24"/>
          <w:szCs w:val="24"/>
        </w:rPr>
        <w:t xml:space="preserve">dispute resolution </w:t>
      </w:r>
      <w:r w:rsidRPr="00586CCF">
        <w:rPr>
          <w:rFonts w:ascii="Times New Roman" w:hAnsi="Times New Roman" w:cs="Times New Roman"/>
          <w:sz w:val="24"/>
          <w:szCs w:val="24"/>
        </w:rPr>
        <w:t>agents; and with the enforcement of compliance with the Act as amended.</w:t>
      </w:r>
      <w:r w:rsidRPr="00586CCF">
        <w:rPr>
          <w:rFonts w:ascii="Times New Roman" w:hAnsi="Times New Roman" w:cs="Times New Roman"/>
          <w:color w:val="FF0000"/>
          <w:sz w:val="24"/>
          <w:szCs w:val="24"/>
        </w:rPr>
        <w:t xml:space="preserve"> </w:t>
      </w:r>
      <w:r w:rsidRPr="00586CCF">
        <w:rPr>
          <w:rFonts w:ascii="Times New Roman" w:hAnsi="Times New Roman" w:cs="Times New Roman"/>
          <w:sz w:val="24"/>
          <w:szCs w:val="24"/>
        </w:rPr>
        <w:t xml:space="preserve"> </w:t>
      </w:r>
    </w:p>
    <w:p w14:paraId="595C1A7F" w14:textId="77777777" w:rsidR="00443C0F" w:rsidRDefault="00443C0F" w:rsidP="00443C0F">
      <w:pPr>
        <w:spacing w:line="360" w:lineRule="auto"/>
        <w:rPr>
          <w:rFonts w:ascii="Times New Roman" w:eastAsia="Calibri" w:hAnsi="Times New Roman" w:cs="Times New Roman"/>
          <w:sz w:val="24"/>
          <w:szCs w:val="24"/>
        </w:rPr>
      </w:pPr>
    </w:p>
    <w:p w14:paraId="3D716835" w14:textId="77777777" w:rsidR="00894911" w:rsidRDefault="00894911" w:rsidP="00443C0F">
      <w:pPr>
        <w:spacing w:line="360" w:lineRule="auto"/>
        <w:rPr>
          <w:rFonts w:ascii="Times New Roman" w:eastAsia="Calibri" w:hAnsi="Times New Roman" w:cs="Times New Roman"/>
          <w:sz w:val="24"/>
          <w:szCs w:val="24"/>
        </w:rPr>
      </w:pPr>
    </w:p>
    <w:p w14:paraId="42B78C93" w14:textId="77777777" w:rsidR="00894911" w:rsidRDefault="00894911" w:rsidP="00443C0F">
      <w:pPr>
        <w:spacing w:line="360" w:lineRule="auto"/>
        <w:rPr>
          <w:rFonts w:ascii="Times New Roman" w:eastAsia="Calibri" w:hAnsi="Times New Roman" w:cs="Times New Roman"/>
          <w:sz w:val="24"/>
          <w:szCs w:val="24"/>
        </w:rPr>
      </w:pPr>
    </w:p>
    <w:p w14:paraId="1698BCA5" w14:textId="77777777" w:rsidR="00894911" w:rsidRDefault="00894911" w:rsidP="00443C0F">
      <w:pPr>
        <w:spacing w:line="360" w:lineRule="auto"/>
        <w:rPr>
          <w:rFonts w:ascii="Times New Roman" w:eastAsia="Calibri" w:hAnsi="Times New Roman" w:cs="Times New Roman"/>
          <w:sz w:val="24"/>
          <w:szCs w:val="24"/>
        </w:rPr>
      </w:pPr>
    </w:p>
    <w:p w14:paraId="7C89C63A" w14:textId="77777777" w:rsidR="00894911" w:rsidRPr="00586CCF" w:rsidRDefault="00894911" w:rsidP="00443C0F">
      <w:pPr>
        <w:spacing w:line="360" w:lineRule="auto"/>
        <w:rPr>
          <w:rFonts w:ascii="Times New Roman" w:eastAsia="Calibri" w:hAnsi="Times New Roman" w:cs="Times New Roman"/>
          <w:sz w:val="24"/>
          <w:szCs w:val="24"/>
        </w:rPr>
      </w:pPr>
    </w:p>
    <w:p w14:paraId="4C86996E" w14:textId="77777777" w:rsidR="00443C0F" w:rsidRPr="00DF13EE" w:rsidRDefault="00443C0F" w:rsidP="00EF0C57">
      <w:pPr>
        <w:pStyle w:val="Heading22"/>
        <w:numPr>
          <w:ilvl w:val="1"/>
          <w:numId w:val="31"/>
        </w:numPr>
      </w:pPr>
      <w:r w:rsidRPr="00DF13EE">
        <w:t>Performance for the 2016/17 financial year</w:t>
      </w:r>
    </w:p>
    <w:p w14:paraId="62B8DC43" w14:textId="77777777" w:rsidR="00443C0F" w:rsidRDefault="00443C0F" w:rsidP="00894911">
      <w:pPr>
        <w:pStyle w:val="Heading33"/>
        <w:numPr>
          <w:ilvl w:val="0"/>
          <w:numId w:val="0"/>
        </w:numPr>
        <w:rPr>
          <w:rFonts w:ascii="Times New Roman" w:hAnsi="Times New Roman" w:cs="Times New Roman"/>
          <w:sz w:val="24"/>
        </w:rPr>
      </w:pPr>
    </w:p>
    <w:p w14:paraId="68E6E53B" w14:textId="77777777" w:rsidR="00443C0F" w:rsidRPr="00586CCF" w:rsidRDefault="00443C0F" w:rsidP="004265FC">
      <w:pPr>
        <w:pStyle w:val="Heading33"/>
        <w:numPr>
          <w:ilvl w:val="2"/>
          <w:numId w:val="31"/>
        </w:numPr>
        <w:spacing w:line="300" w:lineRule="exact"/>
        <w:rPr>
          <w:rFonts w:ascii="Times New Roman" w:hAnsi="Times New Roman" w:cs="Times New Roman"/>
          <w:sz w:val="24"/>
        </w:rPr>
      </w:pPr>
      <w:r w:rsidRPr="00586CCF">
        <w:rPr>
          <w:rFonts w:ascii="Times New Roman" w:hAnsi="Times New Roman" w:cs="Times New Roman"/>
          <w:sz w:val="24"/>
        </w:rPr>
        <w:t>Non-Financial Performance</w:t>
      </w:r>
    </w:p>
    <w:p w14:paraId="7CF5020A" w14:textId="77777777" w:rsidR="00443C0F" w:rsidRPr="00586CCF" w:rsidRDefault="00443C0F" w:rsidP="00443C0F">
      <w:pPr>
        <w:pStyle w:val="ListParagraph"/>
        <w:spacing w:line="360" w:lineRule="auto"/>
        <w:ind w:left="0"/>
        <w:rPr>
          <w:rFonts w:ascii="Times New Roman" w:eastAsia="Calibri" w:hAnsi="Times New Roman" w:cs="Times New Roman"/>
          <w:b/>
          <w:sz w:val="24"/>
          <w:szCs w:val="24"/>
        </w:rPr>
      </w:pPr>
    </w:p>
    <w:p w14:paraId="5E5C3244" w14:textId="77777777" w:rsidR="00443C0F" w:rsidRPr="00586CCF" w:rsidRDefault="00443C0F" w:rsidP="00443C0F">
      <w:pPr>
        <w:spacing w:line="360" w:lineRule="auto"/>
        <w:rPr>
          <w:rFonts w:ascii="Times New Roman" w:hAnsi="Times New Roman" w:cs="Times New Roman"/>
          <w:sz w:val="24"/>
          <w:szCs w:val="24"/>
          <w:highlight w:val="yellow"/>
        </w:rPr>
      </w:pPr>
      <w:r w:rsidRPr="00586CCF">
        <w:rPr>
          <w:rFonts w:ascii="Times New Roman" w:hAnsi="Times New Roman" w:cs="Times New Roman"/>
          <w:sz w:val="24"/>
          <w:szCs w:val="24"/>
        </w:rPr>
        <w:t>For the 2016/17</w:t>
      </w:r>
      <w:r>
        <w:rPr>
          <w:rFonts w:ascii="Times New Roman" w:hAnsi="Times New Roman" w:cs="Times New Roman"/>
          <w:sz w:val="24"/>
          <w:szCs w:val="24"/>
        </w:rPr>
        <w:t xml:space="preserve"> </w:t>
      </w:r>
      <w:r w:rsidRPr="00586CCF">
        <w:rPr>
          <w:rFonts w:ascii="Times New Roman" w:hAnsi="Times New Roman" w:cs="Times New Roman"/>
          <w:sz w:val="24"/>
          <w:szCs w:val="24"/>
        </w:rPr>
        <w:t>financial year, the NCR ha</w:t>
      </w:r>
      <w:r>
        <w:rPr>
          <w:rFonts w:ascii="Times New Roman" w:hAnsi="Times New Roman" w:cs="Times New Roman"/>
          <w:sz w:val="24"/>
          <w:szCs w:val="24"/>
        </w:rPr>
        <w:t>d</w:t>
      </w:r>
      <w:r w:rsidRPr="00586CCF">
        <w:rPr>
          <w:rFonts w:ascii="Times New Roman" w:hAnsi="Times New Roman" w:cs="Times New Roman"/>
          <w:sz w:val="24"/>
          <w:szCs w:val="24"/>
        </w:rPr>
        <w:t xml:space="preserve"> five programmes each addressing one of its strategic objectives. It set 15 performance targets for the 2016/17 financial year, of which ten  targets were achieved while five targets were not achieved. The table below shows</w:t>
      </w:r>
      <w:r>
        <w:rPr>
          <w:rFonts w:ascii="Times New Roman" w:hAnsi="Times New Roman" w:cs="Times New Roman"/>
          <w:sz w:val="24"/>
          <w:szCs w:val="24"/>
        </w:rPr>
        <w:t xml:space="preserve"> achievement of</w:t>
      </w:r>
      <w:r w:rsidRPr="00586CCF">
        <w:rPr>
          <w:rFonts w:ascii="Times New Roman" w:hAnsi="Times New Roman" w:cs="Times New Roman"/>
          <w:sz w:val="24"/>
          <w:szCs w:val="24"/>
        </w:rPr>
        <w:t xml:space="preserve"> performance targets by strategic objective. </w:t>
      </w:r>
      <w:r w:rsidRPr="00586CCF">
        <w:rPr>
          <w:rFonts w:ascii="Times New Roman" w:hAnsi="Times New Roman" w:cs="Times New Roman"/>
          <w:sz w:val="24"/>
          <w:szCs w:val="24"/>
          <w:highlight w:val="yellow"/>
        </w:rPr>
        <w:t xml:space="preserve"> </w:t>
      </w:r>
    </w:p>
    <w:p w14:paraId="120145A1" w14:textId="77777777" w:rsidR="00443C0F" w:rsidRPr="00586CCF" w:rsidRDefault="00443C0F" w:rsidP="00443C0F">
      <w:pPr>
        <w:spacing w:line="360" w:lineRule="auto"/>
        <w:rPr>
          <w:rFonts w:ascii="Times New Roman" w:hAnsi="Times New Roman" w:cs="Times New Roman"/>
          <w:sz w:val="24"/>
          <w:szCs w:val="24"/>
          <w:highlight w:val="yellow"/>
        </w:rPr>
      </w:pPr>
    </w:p>
    <w:p w14:paraId="55D8ECAE" w14:textId="77777777" w:rsidR="00443C0F" w:rsidRPr="00586CCF" w:rsidRDefault="00443C0F" w:rsidP="00443C0F">
      <w:pPr>
        <w:spacing w:line="360" w:lineRule="auto"/>
        <w:rPr>
          <w:rFonts w:ascii="Times New Roman" w:hAnsi="Times New Roman" w:cs="Times New Roman"/>
          <w:b/>
          <w:sz w:val="24"/>
          <w:szCs w:val="24"/>
        </w:rPr>
      </w:pPr>
      <w:r w:rsidRPr="00586CCF">
        <w:rPr>
          <w:rFonts w:ascii="Times New Roman" w:hAnsi="Times New Roman" w:cs="Times New Roman"/>
          <w:b/>
          <w:sz w:val="24"/>
          <w:szCs w:val="24"/>
        </w:rPr>
        <w:t>Table</w:t>
      </w:r>
      <w:r>
        <w:rPr>
          <w:rFonts w:ascii="Times New Roman" w:hAnsi="Times New Roman" w:cs="Times New Roman"/>
          <w:b/>
          <w:sz w:val="24"/>
          <w:szCs w:val="24"/>
        </w:rPr>
        <w:t xml:space="preserve"> </w:t>
      </w:r>
      <w:r w:rsidRPr="00586CCF">
        <w:rPr>
          <w:rFonts w:ascii="Times New Roman" w:hAnsi="Times New Roman" w:cs="Times New Roman"/>
          <w:b/>
          <w:sz w:val="24"/>
          <w:szCs w:val="24"/>
        </w:rPr>
        <w:t>1</w:t>
      </w:r>
      <w:r w:rsidR="00510A07">
        <w:rPr>
          <w:rFonts w:ascii="Times New Roman" w:hAnsi="Times New Roman" w:cs="Times New Roman"/>
          <w:b/>
          <w:sz w:val="24"/>
          <w:szCs w:val="24"/>
        </w:rPr>
        <w:t>0</w:t>
      </w:r>
      <w:r w:rsidRPr="00586CCF">
        <w:rPr>
          <w:rFonts w:ascii="Times New Roman" w:hAnsi="Times New Roman" w:cs="Times New Roman"/>
          <w:b/>
          <w:sz w:val="24"/>
          <w:szCs w:val="24"/>
        </w:rPr>
        <w:t>: Performance targets by Strategic Objective</w:t>
      </w:r>
    </w:p>
    <w:tbl>
      <w:tblPr>
        <w:tblStyle w:val="TableGrid"/>
        <w:tblW w:w="0" w:type="auto"/>
        <w:tblLayout w:type="fixed"/>
        <w:tblLook w:val="04A0" w:firstRow="1" w:lastRow="0" w:firstColumn="1" w:lastColumn="0" w:noHBand="0" w:noVBand="1"/>
      </w:tblPr>
      <w:tblGrid>
        <w:gridCol w:w="2533"/>
        <w:gridCol w:w="1686"/>
        <w:gridCol w:w="4841"/>
      </w:tblGrid>
      <w:tr w:rsidR="00443C0F" w:rsidRPr="00385FDC" w14:paraId="1593F150" w14:textId="77777777" w:rsidTr="00443C0F">
        <w:trPr>
          <w:tblHeader/>
        </w:trPr>
        <w:tc>
          <w:tcPr>
            <w:tcW w:w="2533" w:type="dxa"/>
            <w:vMerge w:val="restart"/>
            <w:shd w:val="clear" w:color="auto" w:fill="BFBFBF" w:themeFill="background1" w:themeFillShade="BF"/>
          </w:tcPr>
          <w:p w14:paraId="7DFCBC14" w14:textId="77777777" w:rsidR="00443C0F" w:rsidRPr="006D18C5" w:rsidRDefault="00443C0F" w:rsidP="00443C0F">
            <w:pPr>
              <w:spacing w:after="0" w:line="360" w:lineRule="auto"/>
              <w:jc w:val="center"/>
              <w:rPr>
                <w:rFonts w:ascii="Times New Roman" w:hAnsi="Times New Roman"/>
                <w:b/>
                <w:sz w:val="22"/>
                <w:szCs w:val="24"/>
              </w:rPr>
            </w:pPr>
            <w:r w:rsidRPr="006D18C5">
              <w:rPr>
                <w:rFonts w:ascii="Times New Roman" w:hAnsi="Times New Roman"/>
                <w:b/>
                <w:sz w:val="22"/>
                <w:szCs w:val="24"/>
              </w:rPr>
              <w:t>Strategic Objective</w:t>
            </w:r>
          </w:p>
        </w:tc>
        <w:tc>
          <w:tcPr>
            <w:tcW w:w="6527" w:type="dxa"/>
            <w:gridSpan w:val="2"/>
            <w:shd w:val="clear" w:color="auto" w:fill="BFBFBF" w:themeFill="background1" w:themeFillShade="BF"/>
          </w:tcPr>
          <w:p w14:paraId="63C8488B" w14:textId="77777777" w:rsidR="00443C0F" w:rsidRPr="006D18C5" w:rsidRDefault="00443C0F" w:rsidP="00443C0F">
            <w:pPr>
              <w:spacing w:after="0" w:line="360" w:lineRule="auto"/>
              <w:jc w:val="center"/>
              <w:rPr>
                <w:rFonts w:ascii="Times New Roman" w:hAnsi="Times New Roman"/>
                <w:b/>
                <w:sz w:val="22"/>
                <w:szCs w:val="24"/>
              </w:rPr>
            </w:pPr>
            <w:r w:rsidRPr="006D18C5">
              <w:rPr>
                <w:rFonts w:ascii="Times New Roman" w:hAnsi="Times New Roman"/>
                <w:b/>
                <w:sz w:val="22"/>
                <w:szCs w:val="24"/>
              </w:rPr>
              <w:t>Performance Indicators/Targets</w:t>
            </w:r>
          </w:p>
        </w:tc>
      </w:tr>
      <w:tr w:rsidR="00443C0F" w:rsidRPr="00385FDC" w14:paraId="1131C1C0" w14:textId="77777777" w:rsidTr="00443C0F">
        <w:trPr>
          <w:tblHeader/>
        </w:trPr>
        <w:tc>
          <w:tcPr>
            <w:tcW w:w="2533" w:type="dxa"/>
            <w:vMerge/>
            <w:shd w:val="clear" w:color="auto" w:fill="BFBFBF" w:themeFill="background1" w:themeFillShade="BF"/>
          </w:tcPr>
          <w:p w14:paraId="679D445B" w14:textId="77777777" w:rsidR="00443C0F" w:rsidRPr="00D6084A" w:rsidRDefault="00443C0F" w:rsidP="00443C0F">
            <w:pPr>
              <w:spacing w:after="0" w:line="360" w:lineRule="auto"/>
              <w:jc w:val="center"/>
              <w:rPr>
                <w:rFonts w:ascii="Times New Roman" w:hAnsi="Times New Roman"/>
                <w:b/>
                <w:szCs w:val="24"/>
              </w:rPr>
            </w:pPr>
          </w:p>
        </w:tc>
        <w:tc>
          <w:tcPr>
            <w:tcW w:w="1686" w:type="dxa"/>
            <w:shd w:val="clear" w:color="auto" w:fill="BFBFBF" w:themeFill="background1" w:themeFillShade="BF"/>
          </w:tcPr>
          <w:p w14:paraId="17543D0A" w14:textId="77777777" w:rsidR="00443C0F" w:rsidRPr="00D6084A" w:rsidRDefault="00443C0F" w:rsidP="00443C0F">
            <w:pPr>
              <w:spacing w:after="0" w:line="360" w:lineRule="auto"/>
              <w:jc w:val="center"/>
              <w:rPr>
                <w:rFonts w:ascii="Times New Roman" w:hAnsi="Times New Roman"/>
                <w:b/>
                <w:szCs w:val="24"/>
              </w:rPr>
            </w:pPr>
            <w:r>
              <w:rPr>
                <w:rFonts w:ascii="Times New Roman" w:hAnsi="Times New Roman"/>
                <w:b/>
                <w:szCs w:val="24"/>
              </w:rPr>
              <w:t>Number</w:t>
            </w:r>
          </w:p>
        </w:tc>
        <w:tc>
          <w:tcPr>
            <w:tcW w:w="4841" w:type="dxa"/>
            <w:shd w:val="clear" w:color="auto" w:fill="BFBFBF" w:themeFill="background1" w:themeFillShade="BF"/>
          </w:tcPr>
          <w:p w14:paraId="15B66447" w14:textId="77777777" w:rsidR="00443C0F" w:rsidRPr="00D6084A" w:rsidRDefault="00443C0F" w:rsidP="00443C0F">
            <w:pPr>
              <w:spacing w:after="0" w:line="360" w:lineRule="auto"/>
              <w:jc w:val="center"/>
              <w:rPr>
                <w:rFonts w:ascii="Times New Roman" w:hAnsi="Times New Roman"/>
                <w:b/>
                <w:szCs w:val="24"/>
              </w:rPr>
            </w:pPr>
            <w:r>
              <w:rPr>
                <w:rFonts w:ascii="Times New Roman" w:hAnsi="Times New Roman"/>
                <w:b/>
                <w:szCs w:val="24"/>
              </w:rPr>
              <w:t>Description of unachieved targets</w:t>
            </w:r>
          </w:p>
        </w:tc>
      </w:tr>
      <w:tr w:rsidR="00443C0F" w:rsidRPr="00586CCF" w14:paraId="07DA97D2" w14:textId="77777777" w:rsidTr="00443C0F">
        <w:tc>
          <w:tcPr>
            <w:tcW w:w="2533" w:type="dxa"/>
          </w:tcPr>
          <w:p w14:paraId="3CE2A0F1"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b/>
                <w:sz w:val="22"/>
                <w:szCs w:val="24"/>
              </w:rPr>
              <w:t>Strategic objective 1:</w:t>
            </w:r>
            <w:r w:rsidRPr="006D18C5">
              <w:rPr>
                <w:rFonts w:ascii="Times New Roman" w:hAnsi="Times New Roman"/>
                <w:sz w:val="22"/>
                <w:szCs w:val="24"/>
              </w:rPr>
              <w:t xml:space="preserve"> To promote responsible credit granting</w:t>
            </w:r>
          </w:p>
        </w:tc>
        <w:tc>
          <w:tcPr>
            <w:tcW w:w="1686" w:type="dxa"/>
          </w:tcPr>
          <w:p w14:paraId="5D450E3F" w14:textId="77777777" w:rsidR="00443C0F" w:rsidRDefault="00443C0F" w:rsidP="00443C0F">
            <w:pPr>
              <w:spacing w:after="0" w:line="360" w:lineRule="auto"/>
              <w:rPr>
                <w:rFonts w:ascii="Times New Roman" w:hAnsi="Times New Roman"/>
                <w:sz w:val="22"/>
                <w:szCs w:val="24"/>
              </w:rPr>
            </w:pPr>
            <w:r>
              <w:rPr>
                <w:rFonts w:ascii="Times New Roman" w:hAnsi="Times New Roman"/>
                <w:sz w:val="22"/>
                <w:szCs w:val="24"/>
              </w:rPr>
              <w:t>Achieved: 1</w:t>
            </w:r>
          </w:p>
          <w:p w14:paraId="3D4078C7" w14:textId="77777777" w:rsidR="00443C0F" w:rsidRPr="006D18C5" w:rsidRDefault="00443C0F" w:rsidP="00443C0F">
            <w:pPr>
              <w:spacing w:after="0" w:line="360" w:lineRule="auto"/>
              <w:rPr>
                <w:rFonts w:ascii="Times New Roman" w:hAnsi="Times New Roman"/>
                <w:b/>
                <w:sz w:val="22"/>
                <w:szCs w:val="24"/>
              </w:rPr>
            </w:pPr>
            <w:r>
              <w:rPr>
                <w:rFonts w:ascii="Times New Roman" w:hAnsi="Times New Roman"/>
                <w:sz w:val="22"/>
                <w:szCs w:val="24"/>
              </w:rPr>
              <w:t>Not achieved: 1</w:t>
            </w:r>
          </w:p>
        </w:tc>
        <w:tc>
          <w:tcPr>
            <w:tcW w:w="4841" w:type="dxa"/>
          </w:tcPr>
          <w:p w14:paraId="6D6647BA"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 xml:space="preserve">Although the NCR had concluded more than the planned 40 investigations into compliance in relation to the total cost of credit, it had still been in the process of concluding enforcement actions on these. The NCR had prioritised concluding outstanding enforcement action from the prior year and had addressed </w:t>
            </w:r>
            <w:r>
              <w:rPr>
                <w:rFonts w:ascii="Times New Roman" w:hAnsi="Times New Roman"/>
                <w:sz w:val="22"/>
                <w:szCs w:val="24"/>
              </w:rPr>
              <w:t>seven</w:t>
            </w:r>
            <w:r w:rsidRPr="006D18C5">
              <w:rPr>
                <w:rFonts w:ascii="Times New Roman" w:hAnsi="Times New Roman"/>
                <w:sz w:val="22"/>
                <w:szCs w:val="24"/>
              </w:rPr>
              <w:t xml:space="preserve"> matters for the financial year under review. It also noted that a new enforcement approach had recently been adopted to fast track enforcement actions.</w:t>
            </w:r>
          </w:p>
        </w:tc>
      </w:tr>
      <w:tr w:rsidR="00443C0F" w:rsidRPr="00586CCF" w14:paraId="10FB05B9" w14:textId="77777777" w:rsidTr="00443C0F">
        <w:tc>
          <w:tcPr>
            <w:tcW w:w="2533" w:type="dxa"/>
          </w:tcPr>
          <w:p w14:paraId="67FF0078" w14:textId="77777777" w:rsidR="00443C0F" w:rsidRPr="006D18C5" w:rsidRDefault="00443C0F" w:rsidP="00443C0F">
            <w:pPr>
              <w:spacing w:after="0" w:line="360" w:lineRule="auto"/>
              <w:rPr>
                <w:rFonts w:ascii="Times New Roman" w:hAnsi="Times New Roman"/>
                <w:sz w:val="22"/>
                <w:szCs w:val="24"/>
                <w:highlight w:val="yellow"/>
              </w:rPr>
            </w:pPr>
            <w:r w:rsidRPr="006D18C5">
              <w:rPr>
                <w:rFonts w:ascii="Times New Roman" w:hAnsi="Times New Roman"/>
                <w:b/>
                <w:sz w:val="22"/>
                <w:szCs w:val="24"/>
              </w:rPr>
              <w:t>Strategic objective 2:</w:t>
            </w:r>
            <w:r w:rsidRPr="006D18C5">
              <w:rPr>
                <w:rFonts w:ascii="Times New Roman" w:hAnsi="Times New Roman"/>
                <w:sz w:val="22"/>
                <w:szCs w:val="24"/>
              </w:rPr>
              <w:t xml:space="preserve"> To protect consumers from abuse and unfair practices in the consumer credit market and address over-indebtedness</w:t>
            </w:r>
          </w:p>
        </w:tc>
        <w:tc>
          <w:tcPr>
            <w:tcW w:w="1686" w:type="dxa"/>
          </w:tcPr>
          <w:p w14:paraId="3CC1E9BD" w14:textId="77777777" w:rsidR="00443C0F" w:rsidRDefault="00443C0F" w:rsidP="00443C0F">
            <w:pPr>
              <w:spacing w:after="0" w:line="360" w:lineRule="auto"/>
              <w:rPr>
                <w:rFonts w:ascii="Times New Roman" w:hAnsi="Times New Roman"/>
                <w:sz w:val="22"/>
                <w:szCs w:val="24"/>
              </w:rPr>
            </w:pPr>
            <w:r>
              <w:rPr>
                <w:rFonts w:ascii="Times New Roman" w:hAnsi="Times New Roman"/>
                <w:sz w:val="22"/>
                <w:szCs w:val="24"/>
              </w:rPr>
              <w:t>Achieved: 1</w:t>
            </w:r>
          </w:p>
          <w:p w14:paraId="7630D1F2" w14:textId="77777777" w:rsidR="00443C0F" w:rsidRPr="006D18C5" w:rsidRDefault="00443C0F" w:rsidP="00443C0F">
            <w:pPr>
              <w:spacing w:after="0" w:line="360" w:lineRule="auto"/>
              <w:rPr>
                <w:rFonts w:ascii="Times New Roman" w:hAnsi="Times New Roman"/>
                <w:b/>
                <w:sz w:val="22"/>
                <w:szCs w:val="24"/>
                <w:highlight w:val="yellow"/>
              </w:rPr>
            </w:pPr>
            <w:r>
              <w:rPr>
                <w:rFonts w:ascii="Times New Roman" w:hAnsi="Times New Roman"/>
                <w:sz w:val="22"/>
                <w:szCs w:val="24"/>
              </w:rPr>
              <w:t>Not achieved: 1</w:t>
            </w:r>
          </w:p>
        </w:tc>
        <w:tc>
          <w:tcPr>
            <w:tcW w:w="4841" w:type="dxa"/>
          </w:tcPr>
          <w:p w14:paraId="49F32C65" w14:textId="77777777" w:rsidR="009E4457"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Although the NCR had concluded more than the planned 60 investigations reckless lending, it had still been in the process of concluding enforcement actions on these. The NCR had prioritised concluding outstanding enforcement action from the prior year and had addressed 14 matters for the financial year under review. It also noted that a new enforcement approach had recently been adopted to fast track enforcement actions.</w:t>
            </w:r>
          </w:p>
        </w:tc>
      </w:tr>
      <w:tr w:rsidR="00443C0F" w:rsidRPr="00586CCF" w14:paraId="1ACBFEAD" w14:textId="77777777" w:rsidTr="00443C0F">
        <w:tc>
          <w:tcPr>
            <w:tcW w:w="2533" w:type="dxa"/>
          </w:tcPr>
          <w:p w14:paraId="09173452"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b/>
                <w:sz w:val="22"/>
                <w:szCs w:val="24"/>
              </w:rPr>
              <w:t>Strategic objective 3:</w:t>
            </w:r>
            <w:r w:rsidRPr="006D18C5">
              <w:rPr>
                <w:rFonts w:ascii="Times New Roman" w:hAnsi="Times New Roman"/>
                <w:sz w:val="22"/>
                <w:szCs w:val="24"/>
              </w:rPr>
              <w:t xml:space="preserve"> To enhance the quality and accuracy of credit bureau information</w:t>
            </w:r>
          </w:p>
        </w:tc>
        <w:tc>
          <w:tcPr>
            <w:tcW w:w="1686" w:type="dxa"/>
          </w:tcPr>
          <w:p w14:paraId="5A3EE469" w14:textId="77777777" w:rsidR="00443C0F" w:rsidRPr="006D18C5" w:rsidRDefault="00443C0F" w:rsidP="00443C0F">
            <w:pPr>
              <w:spacing w:after="0" w:line="360" w:lineRule="auto"/>
              <w:rPr>
                <w:rFonts w:ascii="Times New Roman" w:hAnsi="Times New Roman"/>
                <w:sz w:val="22"/>
                <w:szCs w:val="24"/>
                <w:highlight w:val="yellow"/>
              </w:rPr>
            </w:pPr>
            <w:r>
              <w:rPr>
                <w:rFonts w:ascii="Times New Roman" w:hAnsi="Times New Roman"/>
                <w:sz w:val="22"/>
                <w:szCs w:val="24"/>
              </w:rPr>
              <w:t>Achieved: 2</w:t>
            </w:r>
          </w:p>
        </w:tc>
        <w:tc>
          <w:tcPr>
            <w:tcW w:w="4841" w:type="dxa"/>
          </w:tcPr>
          <w:p w14:paraId="39CD79F2" w14:textId="77777777" w:rsidR="00443C0F" w:rsidRPr="006D18C5" w:rsidRDefault="00443C0F" w:rsidP="00443C0F">
            <w:pPr>
              <w:spacing w:after="0" w:line="360" w:lineRule="auto"/>
              <w:rPr>
                <w:rFonts w:ascii="Times New Roman" w:hAnsi="Times New Roman"/>
                <w:sz w:val="22"/>
                <w:szCs w:val="24"/>
              </w:rPr>
            </w:pPr>
          </w:p>
        </w:tc>
      </w:tr>
      <w:tr w:rsidR="00443C0F" w:rsidRPr="00586CCF" w14:paraId="7CB9CE5F" w14:textId="77777777" w:rsidTr="00443C0F">
        <w:tc>
          <w:tcPr>
            <w:tcW w:w="2533" w:type="dxa"/>
          </w:tcPr>
          <w:p w14:paraId="1EF5EA72"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b/>
                <w:sz w:val="22"/>
                <w:szCs w:val="24"/>
              </w:rPr>
              <w:t>Strategic objective 4:</w:t>
            </w:r>
            <w:r w:rsidRPr="006D18C5">
              <w:rPr>
                <w:rFonts w:ascii="Times New Roman" w:hAnsi="Times New Roman"/>
                <w:sz w:val="22"/>
                <w:szCs w:val="24"/>
              </w:rPr>
              <w:t xml:space="preserve"> To improve NCR’s operational efficiency</w:t>
            </w:r>
          </w:p>
        </w:tc>
        <w:tc>
          <w:tcPr>
            <w:tcW w:w="1686" w:type="dxa"/>
          </w:tcPr>
          <w:p w14:paraId="5B2FE8B6" w14:textId="77777777" w:rsidR="00443C0F" w:rsidRPr="006D18C5" w:rsidRDefault="00443C0F" w:rsidP="00443C0F">
            <w:pPr>
              <w:spacing w:after="0" w:line="360" w:lineRule="auto"/>
              <w:rPr>
                <w:rFonts w:ascii="Times New Roman" w:hAnsi="Times New Roman"/>
                <w:b/>
                <w:color w:val="00B050"/>
                <w:sz w:val="22"/>
                <w:szCs w:val="24"/>
              </w:rPr>
            </w:pPr>
            <w:r>
              <w:rPr>
                <w:rFonts w:ascii="Times New Roman" w:hAnsi="Times New Roman"/>
                <w:sz w:val="22"/>
                <w:szCs w:val="24"/>
              </w:rPr>
              <w:t>Achieved: 2</w:t>
            </w:r>
          </w:p>
        </w:tc>
        <w:tc>
          <w:tcPr>
            <w:tcW w:w="4841" w:type="dxa"/>
          </w:tcPr>
          <w:p w14:paraId="57FF6B07" w14:textId="77777777" w:rsidR="00443C0F" w:rsidRPr="006D18C5" w:rsidRDefault="00443C0F" w:rsidP="00443C0F">
            <w:pPr>
              <w:spacing w:after="0" w:line="360" w:lineRule="auto"/>
              <w:rPr>
                <w:rFonts w:ascii="Times New Roman" w:hAnsi="Times New Roman"/>
                <w:sz w:val="22"/>
                <w:szCs w:val="24"/>
              </w:rPr>
            </w:pPr>
          </w:p>
        </w:tc>
      </w:tr>
      <w:tr w:rsidR="00443C0F" w:rsidRPr="00586CCF" w14:paraId="18F7D894" w14:textId="77777777" w:rsidTr="00443C0F">
        <w:tc>
          <w:tcPr>
            <w:tcW w:w="2533" w:type="dxa"/>
          </w:tcPr>
          <w:p w14:paraId="7F2F02C0" w14:textId="77777777" w:rsidR="00443C0F" w:rsidRPr="006D18C5" w:rsidRDefault="00443C0F" w:rsidP="00443C0F">
            <w:pPr>
              <w:spacing w:after="0" w:line="360" w:lineRule="auto"/>
              <w:rPr>
                <w:rFonts w:ascii="Times New Roman" w:hAnsi="Times New Roman"/>
                <w:b/>
                <w:sz w:val="22"/>
                <w:szCs w:val="24"/>
              </w:rPr>
            </w:pPr>
            <w:r w:rsidRPr="006D18C5">
              <w:rPr>
                <w:rFonts w:ascii="Times New Roman" w:hAnsi="Times New Roman"/>
                <w:b/>
                <w:sz w:val="22"/>
                <w:szCs w:val="24"/>
              </w:rPr>
              <w:t xml:space="preserve">Strategic objective 5: </w:t>
            </w:r>
            <w:r w:rsidRPr="006D18C5">
              <w:rPr>
                <w:rFonts w:ascii="Times New Roman" w:hAnsi="Times New Roman"/>
                <w:sz w:val="22"/>
                <w:szCs w:val="24"/>
              </w:rPr>
              <w:t>To ensure effective implementation of the National Credit Act as amended</w:t>
            </w:r>
          </w:p>
        </w:tc>
        <w:tc>
          <w:tcPr>
            <w:tcW w:w="1686" w:type="dxa"/>
          </w:tcPr>
          <w:p w14:paraId="498983D9" w14:textId="77777777" w:rsidR="00443C0F" w:rsidRDefault="00443C0F" w:rsidP="00443C0F">
            <w:pPr>
              <w:spacing w:after="0" w:line="360" w:lineRule="auto"/>
              <w:rPr>
                <w:rFonts w:ascii="Times New Roman" w:hAnsi="Times New Roman"/>
                <w:sz w:val="22"/>
                <w:szCs w:val="24"/>
              </w:rPr>
            </w:pPr>
            <w:r>
              <w:rPr>
                <w:rFonts w:ascii="Times New Roman" w:hAnsi="Times New Roman"/>
                <w:sz w:val="22"/>
                <w:szCs w:val="24"/>
              </w:rPr>
              <w:t>Achieved: 4</w:t>
            </w:r>
          </w:p>
          <w:p w14:paraId="3B93FEAA" w14:textId="77777777" w:rsidR="00443C0F" w:rsidRPr="006D18C5" w:rsidRDefault="00443C0F" w:rsidP="00443C0F">
            <w:pPr>
              <w:spacing w:after="0" w:line="360" w:lineRule="auto"/>
              <w:rPr>
                <w:rFonts w:ascii="Times New Roman" w:hAnsi="Times New Roman"/>
                <w:sz w:val="22"/>
                <w:szCs w:val="24"/>
              </w:rPr>
            </w:pPr>
            <w:r>
              <w:rPr>
                <w:rFonts w:ascii="Times New Roman" w:hAnsi="Times New Roman"/>
                <w:sz w:val="22"/>
                <w:szCs w:val="24"/>
              </w:rPr>
              <w:t>Not achieved: 3</w:t>
            </w:r>
          </w:p>
        </w:tc>
        <w:tc>
          <w:tcPr>
            <w:tcW w:w="4841" w:type="dxa"/>
          </w:tcPr>
          <w:p w14:paraId="379D89A3"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The NCR achieved or exceeded its investigations targets for:</w:t>
            </w:r>
          </w:p>
          <w:p w14:paraId="31B60FCD" w14:textId="77777777" w:rsidR="00443C0F" w:rsidRPr="006D18C5" w:rsidRDefault="00443C0F" w:rsidP="009D5D24">
            <w:pPr>
              <w:pStyle w:val="ListParagraph"/>
              <w:numPr>
                <w:ilvl w:val="0"/>
                <w:numId w:val="20"/>
              </w:numPr>
              <w:spacing w:after="0" w:line="360" w:lineRule="auto"/>
              <w:contextualSpacing w:val="0"/>
              <w:rPr>
                <w:rFonts w:ascii="Times New Roman" w:hAnsi="Times New Roman"/>
                <w:sz w:val="22"/>
                <w:szCs w:val="24"/>
              </w:rPr>
            </w:pPr>
            <w:r w:rsidRPr="006D18C5">
              <w:rPr>
                <w:rFonts w:ascii="Times New Roman" w:hAnsi="Times New Roman"/>
                <w:sz w:val="22"/>
                <w:szCs w:val="24"/>
              </w:rPr>
              <w:t>Prescribed debt,</w:t>
            </w:r>
          </w:p>
          <w:p w14:paraId="3089004B" w14:textId="77777777" w:rsidR="00443C0F" w:rsidRPr="006D18C5" w:rsidRDefault="00443C0F" w:rsidP="009D5D24">
            <w:pPr>
              <w:pStyle w:val="ListParagraph"/>
              <w:numPr>
                <w:ilvl w:val="0"/>
                <w:numId w:val="20"/>
              </w:numPr>
              <w:spacing w:after="0" w:line="360" w:lineRule="auto"/>
              <w:contextualSpacing w:val="0"/>
              <w:rPr>
                <w:rFonts w:ascii="Times New Roman" w:hAnsi="Times New Roman"/>
                <w:sz w:val="22"/>
                <w:szCs w:val="24"/>
              </w:rPr>
            </w:pPr>
            <w:r w:rsidRPr="006D18C5">
              <w:rPr>
                <w:rFonts w:ascii="Times New Roman" w:hAnsi="Times New Roman"/>
                <w:sz w:val="22"/>
                <w:szCs w:val="24"/>
              </w:rPr>
              <w:t>Garnishee orders, and</w:t>
            </w:r>
          </w:p>
          <w:p w14:paraId="12DD0867" w14:textId="77777777" w:rsidR="00443C0F" w:rsidRPr="006D18C5" w:rsidRDefault="00443C0F" w:rsidP="009D5D24">
            <w:pPr>
              <w:pStyle w:val="ListParagraph"/>
              <w:numPr>
                <w:ilvl w:val="0"/>
                <w:numId w:val="20"/>
              </w:numPr>
              <w:spacing w:after="0" w:line="360" w:lineRule="auto"/>
              <w:contextualSpacing w:val="0"/>
              <w:rPr>
                <w:rFonts w:ascii="Times New Roman" w:hAnsi="Times New Roman"/>
                <w:sz w:val="22"/>
                <w:szCs w:val="24"/>
              </w:rPr>
            </w:pPr>
            <w:r w:rsidRPr="006D18C5">
              <w:rPr>
                <w:rFonts w:ascii="Times New Roman" w:hAnsi="Times New Roman"/>
                <w:sz w:val="22"/>
                <w:szCs w:val="24"/>
              </w:rPr>
              <w:t>Unregistered or new entrants.</w:t>
            </w:r>
          </w:p>
          <w:p w14:paraId="44981203"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 xml:space="preserve">However, it had not concluded enforcement actions </w:t>
            </w:r>
            <w:r>
              <w:rPr>
                <w:rFonts w:ascii="Times New Roman" w:hAnsi="Times New Roman"/>
                <w:sz w:val="22"/>
                <w:szCs w:val="24"/>
              </w:rPr>
              <w:t xml:space="preserve">portions </w:t>
            </w:r>
            <w:r w:rsidRPr="006D18C5">
              <w:rPr>
                <w:rFonts w:ascii="Times New Roman" w:hAnsi="Times New Roman"/>
                <w:sz w:val="22"/>
                <w:szCs w:val="24"/>
              </w:rPr>
              <w:t>on the abovementioned matters, due to outstanding matters from the previous year being prioritised.</w:t>
            </w:r>
          </w:p>
        </w:tc>
      </w:tr>
    </w:tbl>
    <w:p w14:paraId="773C7749" w14:textId="77777777" w:rsidR="00443C0F" w:rsidRDefault="00443C0F" w:rsidP="00443C0F">
      <w:pPr>
        <w:spacing w:line="360" w:lineRule="auto"/>
        <w:rPr>
          <w:rFonts w:ascii="Times New Roman" w:hAnsi="Times New Roman" w:cs="Times New Roman"/>
          <w:sz w:val="24"/>
          <w:szCs w:val="24"/>
        </w:rPr>
      </w:pPr>
      <w:r w:rsidRPr="00894911">
        <w:rPr>
          <w:rFonts w:ascii="Times New Roman" w:hAnsi="Times New Roman" w:cs="Times New Roman"/>
          <w:sz w:val="24"/>
          <w:szCs w:val="24"/>
        </w:rPr>
        <w:t>Source:</w:t>
      </w:r>
      <w:r w:rsidRPr="00586CCF">
        <w:rPr>
          <w:rFonts w:ascii="Times New Roman" w:hAnsi="Times New Roman" w:cs="Times New Roman"/>
          <w:sz w:val="24"/>
          <w:szCs w:val="24"/>
        </w:rPr>
        <w:t xml:space="preserve"> N</w:t>
      </w:r>
      <w:r w:rsidR="00894911">
        <w:rPr>
          <w:rFonts w:ascii="Times New Roman" w:hAnsi="Times New Roman" w:cs="Times New Roman"/>
          <w:sz w:val="24"/>
          <w:szCs w:val="24"/>
        </w:rPr>
        <w:t xml:space="preserve">ational </w:t>
      </w:r>
      <w:r w:rsidRPr="00586CCF">
        <w:rPr>
          <w:rFonts w:ascii="Times New Roman" w:hAnsi="Times New Roman" w:cs="Times New Roman"/>
          <w:sz w:val="24"/>
          <w:szCs w:val="24"/>
        </w:rPr>
        <w:t>C</w:t>
      </w:r>
      <w:r w:rsidR="00894911">
        <w:rPr>
          <w:rFonts w:ascii="Times New Roman" w:hAnsi="Times New Roman" w:cs="Times New Roman"/>
          <w:sz w:val="24"/>
          <w:szCs w:val="24"/>
        </w:rPr>
        <w:t xml:space="preserve">redit </w:t>
      </w:r>
      <w:r w:rsidRPr="00586CCF">
        <w:rPr>
          <w:rFonts w:ascii="Times New Roman" w:hAnsi="Times New Roman" w:cs="Times New Roman"/>
          <w:sz w:val="24"/>
          <w:szCs w:val="24"/>
        </w:rPr>
        <w:t>R</w:t>
      </w:r>
      <w:r w:rsidR="00894911">
        <w:rPr>
          <w:rFonts w:ascii="Times New Roman" w:hAnsi="Times New Roman" w:cs="Times New Roman"/>
          <w:sz w:val="24"/>
          <w:szCs w:val="24"/>
        </w:rPr>
        <w:t>egulator</w:t>
      </w:r>
      <w:r w:rsidRPr="00586CCF">
        <w:rPr>
          <w:rFonts w:ascii="Times New Roman" w:hAnsi="Times New Roman" w:cs="Times New Roman"/>
          <w:sz w:val="24"/>
          <w:szCs w:val="24"/>
        </w:rPr>
        <w:t xml:space="preserve"> (2017</w:t>
      </w:r>
      <w:r w:rsidR="00894911">
        <w:rPr>
          <w:rFonts w:ascii="Times New Roman" w:hAnsi="Times New Roman" w:cs="Times New Roman"/>
          <w:sz w:val="24"/>
          <w:szCs w:val="24"/>
        </w:rPr>
        <w:t>a</w:t>
      </w:r>
      <w:r w:rsidRPr="00586CCF">
        <w:rPr>
          <w:rFonts w:ascii="Times New Roman" w:hAnsi="Times New Roman" w:cs="Times New Roman"/>
          <w:sz w:val="24"/>
          <w:szCs w:val="24"/>
        </w:rPr>
        <w:t>)</w:t>
      </w:r>
    </w:p>
    <w:p w14:paraId="65B91D55" w14:textId="77777777" w:rsidR="00443C0F" w:rsidRPr="00586CCF" w:rsidRDefault="00443C0F" w:rsidP="00443C0F">
      <w:pPr>
        <w:spacing w:line="360" w:lineRule="auto"/>
        <w:rPr>
          <w:rFonts w:ascii="Times New Roman" w:hAnsi="Times New Roman" w:cs="Times New Roman"/>
          <w:sz w:val="24"/>
          <w:szCs w:val="24"/>
        </w:rPr>
      </w:pPr>
    </w:p>
    <w:p w14:paraId="09A742CA" w14:textId="77777777" w:rsidR="00443C0F" w:rsidRPr="00586CCF" w:rsidRDefault="00443C0F" w:rsidP="004265FC">
      <w:pPr>
        <w:pStyle w:val="Heading33"/>
        <w:numPr>
          <w:ilvl w:val="2"/>
          <w:numId w:val="31"/>
        </w:numPr>
        <w:spacing w:line="300" w:lineRule="exact"/>
        <w:rPr>
          <w:rFonts w:ascii="Times New Roman" w:hAnsi="Times New Roman" w:cs="Times New Roman"/>
          <w:sz w:val="24"/>
        </w:rPr>
      </w:pPr>
      <w:r w:rsidRPr="00586CCF">
        <w:rPr>
          <w:rFonts w:ascii="Times New Roman" w:hAnsi="Times New Roman" w:cs="Times New Roman"/>
          <w:sz w:val="24"/>
        </w:rPr>
        <w:t>Resources</w:t>
      </w:r>
    </w:p>
    <w:p w14:paraId="70B9EAFD" w14:textId="77777777" w:rsidR="00443C0F" w:rsidRPr="00586CCF" w:rsidRDefault="00443C0F" w:rsidP="00443C0F">
      <w:pPr>
        <w:spacing w:line="360" w:lineRule="auto"/>
        <w:rPr>
          <w:rFonts w:ascii="Times New Roman" w:hAnsi="Times New Roman" w:cs="Times New Roman"/>
          <w:sz w:val="24"/>
          <w:szCs w:val="24"/>
        </w:rPr>
      </w:pPr>
    </w:p>
    <w:p w14:paraId="2778E12D" w14:textId="77777777" w:rsidR="00443C0F" w:rsidRPr="00586CCF" w:rsidRDefault="00443C0F" w:rsidP="00443C0F">
      <w:pPr>
        <w:spacing w:line="360" w:lineRule="auto"/>
        <w:rPr>
          <w:rFonts w:ascii="Times New Roman" w:hAnsi="Times New Roman" w:cs="Times New Roman"/>
          <w:sz w:val="24"/>
          <w:szCs w:val="24"/>
          <w:highlight w:val="yellow"/>
        </w:rPr>
      </w:pPr>
      <w:r w:rsidRPr="00586CCF">
        <w:rPr>
          <w:rFonts w:ascii="Times New Roman" w:hAnsi="Times New Roman" w:cs="Times New Roman"/>
          <w:sz w:val="24"/>
          <w:szCs w:val="24"/>
        </w:rPr>
        <w:t xml:space="preserve">For the financial year, the NCR had an approved structure of </w:t>
      </w:r>
      <w:r w:rsidRPr="006D18C5">
        <w:rPr>
          <w:rFonts w:ascii="Times New Roman" w:hAnsi="Times New Roman" w:cs="Times New Roman"/>
          <w:sz w:val="24"/>
          <w:szCs w:val="24"/>
        </w:rPr>
        <w:t>189 employees</w:t>
      </w:r>
      <w:r w:rsidRPr="0091667C">
        <w:rPr>
          <w:rFonts w:ascii="Times New Roman" w:hAnsi="Times New Roman" w:cs="Times New Roman"/>
          <w:sz w:val="24"/>
          <w:szCs w:val="24"/>
        </w:rPr>
        <w:t xml:space="preserve">, of which </w:t>
      </w:r>
      <w:r w:rsidRPr="006D18C5">
        <w:rPr>
          <w:rFonts w:ascii="Times New Roman" w:hAnsi="Times New Roman" w:cs="Times New Roman"/>
          <w:sz w:val="24"/>
          <w:szCs w:val="24"/>
        </w:rPr>
        <w:t>148 posts</w:t>
      </w:r>
      <w:r w:rsidRPr="0091667C">
        <w:rPr>
          <w:rFonts w:ascii="Times New Roman" w:hAnsi="Times New Roman" w:cs="Times New Roman"/>
          <w:sz w:val="24"/>
          <w:szCs w:val="24"/>
        </w:rPr>
        <w:t xml:space="preserve"> were filled at a cost of </w:t>
      </w:r>
      <w:r w:rsidRPr="006D18C5">
        <w:rPr>
          <w:rFonts w:ascii="Times New Roman" w:hAnsi="Times New Roman" w:cs="Times New Roman"/>
          <w:sz w:val="24"/>
          <w:szCs w:val="24"/>
        </w:rPr>
        <w:t>R70.1 million (56% of total expenditure for the financial year)</w:t>
      </w:r>
      <w:r w:rsidRPr="0091667C">
        <w:rPr>
          <w:rFonts w:ascii="Times New Roman" w:hAnsi="Times New Roman" w:cs="Times New Roman"/>
          <w:sz w:val="24"/>
          <w:szCs w:val="24"/>
        </w:rPr>
        <w:t>. This translate</w:t>
      </w:r>
      <w:r>
        <w:rPr>
          <w:rFonts w:ascii="Times New Roman" w:hAnsi="Times New Roman" w:cs="Times New Roman"/>
          <w:sz w:val="24"/>
          <w:szCs w:val="24"/>
        </w:rPr>
        <w:t>d</w:t>
      </w:r>
      <w:r w:rsidRPr="0091667C">
        <w:rPr>
          <w:rFonts w:ascii="Times New Roman" w:hAnsi="Times New Roman" w:cs="Times New Roman"/>
          <w:sz w:val="24"/>
          <w:szCs w:val="24"/>
        </w:rPr>
        <w:t xml:space="preserve"> to a </w:t>
      </w:r>
      <w:r w:rsidRPr="006D18C5">
        <w:rPr>
          <w:rFonts w:ascii="Times New Roman" w:hAnsi="Times New Roman" w:cs="Times New Roman"/>
          <w:sz w:val="24"/>
          <w:szCs w:val="24"/>
        </w:rPr>
        <w:t>vacancy rate of 21.7% with 41 posts remaining unfilled</w:t>
      </w:r>
      <w:r w:rsidRPr="0091667C">
        <w:rPr>
          <w:rFonts w:ascii="Times New Roman" w:hAnsi="Times New Roman" w:cs="Times New Roman"/>
          <w:sz w:val="24"/>
          <w:szCs w:val="24"/>
        </w:rPr>
        <w:t>. The majority of the vacancies were in Programme 2 dealing with consumer protection (46.3% of total vacancies), followed by Programme 4 responsible</w:t>
      </w:r>
      <w:r w:rsidRPr="00586CCF">
        <w:rPr>
          <w:rFonts w:ascii="Times New Roman" w:hAnsi="Times New Roman" w:cs="Times New Roman"/>
          <w:sz w:val="24"/>
          <w:szCs w:val="24"/>
        </w:rPr>
        <w:t xml:space="preserve"> for operational efficiency and service delivery (34.1% of total vacancies), and Programme 1 responsible for compliance by credit providers (12.2% of total vacancies). </w:t>
      </w:r>
    </w:p>
    <w:p w14:paraId="63633929" w14:textId="77777777" w:rsidR="00443C0F" w:rsidRPr="00586CCF" w:rsidRDefault="00443C0F" w:rsidP="00443C0F">
      <w:pPr>
        <w:spacing w:line="360" w:lineRule="auto"/>
        <w:rPr>
          <w:rFonts w:ascii="Times New Roman" w:hAnsi="Times New Roman" w:cs="Times New Roman"/>
          <w:sz w:val="24"/>
          <w:szCs w:val="24"/>
          <w:highlight w:val="yellow"/>
        </w:rPr>
      </w:pPr>
    </w:p>
    <w:p w14:paraId="7094D479"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In terms of employment equity, 91.2% of all employees are black, 66.2% are female and 1.4% have disabilities, while 60% of top and senior management are female and 100% are black.  </w:t>
      </w:r>
    </w:p>
    <w:p w14:paraId="18A82C75" w14:textId="77777777" w:rsidR="00443C0F" w:rsidRPr="00586CCF" w:rsidRDefault="00443C0F" w:rsidP="00443C0F">
      <w:pPr>
        <w:spacing w:line="360" w:lineRule="auto"/>
        <w:rPr>
          <w:rFonts w:ascii="Times New Roman" w:hAnsi="Times New Roman" w:cs="Times New Roman"/>
          <w:sz w:val="24"/>
          <w:szCs w:val="24"/>
          <w:highlight w:val="yellow"/>
        </w:rPr>
      </w:pPr>
    </w:p>
    <w:p w14:paraId="06BE39C8"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Other human resource matters that the entity dealt with during the financial year are the following:</w:t>
      </w:r>
    </w:p>
    <w:p w14:paraId="4ABB66C0" w14:textId="77777777" w:rsidR="00443C0F" w:rsidRPr="00586CCF" w:rsidRDefault="00443C0F" w:rsidP="00443C0F">
      <w:pPr>
        <w:spacing w:line="360" w:lineRule="auto"/>
        <w:rPr>
          <w:rFonts w:ascii="Times New Roman" w:hAnsi="Times New Roman" w:cs="Times New Roman"/>
          <w:sz w:val="24"/>
          <w:szCs w:val="24"/>
          <w:highlight w:val="yellow"/>
        </w:rPr>
      </w:pPr>
    </w:p>
    <w:p w14:paraId="1261BD54" w14:textId="77777777" w:rsidR="00443C0F" w:rsidRPr="0091667C" w:rsidRDefault="00443C0F" w:rsidP="009D5D24">
      <w:pPr>
        <w:pStyle w:val="ListParagraph"/>
        <w:numPr>
          <w:ilvl w:val="0"/>
          <w:numId w:val="10"/>
        </w:numPr>
        <w:spacing w:line="360" w:lineRule="auto"/>
        <w:ind w:left="426" w:hanging="426"/>
        <w:contextualSpacing w:val="0"/>
        <w:rPr>
          <w:rFonts w:ascii="Times New Roman" w:hAnsi="Times New Roman" w:cs="Times New Roman"/>
          <w:sz w:val="24"/>
          <w:szCs w:val="24"/>
        </w:rPr>
      </w:pPr>
      <w:r w:rsidRPr="00586CCF">
        <w:rPr>
          <w:rFonts w:ascii="Times New Roman" w:hAnsi="Times New Roman" w:cs="Times New Roman"/>
          <w:sz w:val="24"/>
          <w:szCs w:val="24"/>
        </w:rPr>
        <w:t>Th</w:t>
      </w:r>
      <w:r w:rsidRPr="0091667C">
        <w:rPr>
          <w:rFonts w:ascii="Times New Roman" w:hAnsi="Times New Roman" w:cs="Times New Roman"/>
          <w:sz w:val="24"/>
          <w:szCs w:val="24"/>
        </w:rPr>
        <w:t xml:space="preserve">ere were </w:t>
      </w:r>
      <w:r w:rsidRPr="006D18C5">
        <w:rPr>
          <w:rFonts w:ascii="Times New Roman" w:hAnsi="Times New Roman" w:cs="Times New Roman"/>
          <w:sz w:val="24"/>
          <w:szCs w:val="24"/>
        </w:rPr>
        <w:t>27 terminations of employment</w:t>
      </w:r>
      <w:r w:rsidRPr="0091667C">
        <w:rPr>
          <w:rFonts w:ascii="Times New Roman" w:hAnsi="Times New Roman" w:cs="Times New Roman"/>
          <w:sz w:val="24"/>
          <w:szCs w:val="24"/>
        </w:rPr>
        <w:t>, 13 of which were resignations mainly related to being able to attain better compensation and benefits.</w:t>
      </w:r>
    </w:p>
    <w:p w14:paraId="4AA8F05E" w14:textId="77777777" w:rsidR="00443C0F" w:rsidRPr="0091667C" w:rsidRDefault="00443C0F" w:rsidP="009D5D24">
      <w:pPr>
        <w:pStyle w:val="ListParagraph"/>
        <w:numPr>
          <w:ilvl w:val="0"/>
          <w:numId w:val="10"/>
        </w:numPr>
        <w:spacing w:line="360" w:lineRule="auto"/>
        <w:ind w:left="426" w:hanging="426"/>
        <w:contextualSpacing w:val="0"/>
        <w:rPr>
          <w:rFonts w:ascii="Times New Roman" w:hAnsi="Times New Roman" w:cs="Times New Roman"/>
          <w:sz w:val="24"/>
          <w:szCs w:val="24"/>
        </w:rPr>
      </w:pPr>
      <w:r w:rsidRPr="0091667C">
        <w:rPr>
          <w:rFonts w:ascii="Times New Roman" w:hAnsi="Times New Roman" w:cs="Times New Roman"/>
          <w:sz w:val="24"/>
          <w:szCs w:val="24"/>
        </w:rPr>
        <w:t xml:space="preserve">A total of </w:t>
      </w:r>
      <w:r w:rsidRPr="006D18C5">
        <w:rPr>
          <w:rFonts w:ascii="Times New Roman" w:hAnsi="Times New Roman" w:cs="Times New Roman"/>
          <w:sz w:val="24"/>
          <w:szCs w:val="24"/>
        </w:rPr>
        <w:t>five employees were promoted</w:t>
      </w:r>
      <w:r w:rsidRPr="0091667C">
        <w:rPr>
          <w:rFonts w:ascii="Times New Roman" w:hAnsi="Times New Roman" w:cs="Times New Roman"/>
          <w:sz w:val="24"/>
          <w:szCs w:val="24"/>
        </w:rPr>
        <w:t xml:space="preserve"> into another salary level.  </w:t>
      </w:r>
    </w:p>
    <w:p w14:paraId="4E1A3079" w14:textId="77777777" w:rsidR="00443C0F" w:rsidRPr="0091667C" w:rsidRDefault="00443C0F" w:rsidP="009D5D24">
      <w:pPr>
        <w:pStyle w:val="ListParagraph"/>
        <w:numPr>
          <w:ilvl w:val="0"/>
          <w:numId w:val="10"/>
        </w:numPr>
        <w:spacing w:line="360" w:lineRule="auto"/>
        <w:ind w:left="426" w:hanging="426"/>
        <w:contextualSpacing w:val="0"/>
        <w:rPr>
          <w:rFonts w:ascii="Times New Roman" w:hAnsi="Times New Roman" w:cs="Times New Roman"/>
          <w:sz w:val="24"/>
          <w:szCs w:val="24"/>
        </w:rPr>
      </w:pPr>
      <w:r w:rsidRPr="0091667C">
        <w:rPr>
          <w:rFonts w:ascii="Times New Roman" w:hAnsi="Times New Roman" w:cs="Times New Roman"/>
          <w:sz w:val="24"/>
          <w:szCs w:val="24"/>
        </w:rPr>
        <w:t xml:space="preserve">There were </w:t>
      </w:r>
      <w:r>
        <w:rPr>
          <w:rFonts w:ascii="Times New Roman" w:hAnsi="Times New Roman" w:cs="Times New Roman"/>
          <w:sz w:val="24"/>
          <w:szCs w:val="24"/>
        </w:rPr>
        <w:t>two</w:t>
      </w:r>
      <w:r w:rsidRPr="0091667C">
        <w:rPr>
          <w:rFonts w:ascii="Times New Roman" w:hAnsi="Times New Roman" w:cs="Times New Roman"/>
          <w:sz w:val="24"/>
          <w:szCs w:val="24"/>
        </w:rPr>
        <w:t xml:space="preserve"> dismissals.  </w:t>
      </w:r>
    </w:p>
    <w:p w14:paraId="5DC26221" w14:textId="77777777" w:rsidR="00443C0F" w:rsidRPr="0091667C" w:rsidRDefault="00443C0F" w:rsidP="009D5D24">
      <w:pPr>
        <w:pStyle w:val="ListParagraph"/>
        <w:numPr>
          <w:ilvl w:val="0"/>
          <w:numId w:val="10"/>
        </w:numPr>
        <w:spacing w:line="360" w:lineRule="auto"/>
        <w:ind w:left="426" w:hanging="426"/>
        <w:contextualSpacing w:val="0"/>
        <w:rPr>
          <w:rFonts w:ascii="Times New Roman" w:hAnsi="Times New Roman" w:cs="Times New Roman"/>
          <w:sz w:val="24"/>
          <w:szCs w:val="24"/>
        </w:rPr>
      </w:pPr>
      <w:r w:rsidRPr="0091667C">
        <w:rPr>
          <w:rFonts w:ascii="Times New Roman" w:hAnsi="Times New Roman" w:cs="Times New Roman"/>
          <w:sz w:val="24"/>
          <w:szCs w:val="24"/>
        </w:rPr>
        <w:t>The NCR undertook</w:t>
      </w:r>
      <w:r w:rsidRPr="00052A85">
        <w:rPr>
          <w:rFonts w:ascii="Times New Roman" w:hAnsi="Times New Roman" w:cs="Times New Roman"/>
          <w:sz w:val="24"/>
          <w:szCs w:val="24"/>
        </w:rPr>
        <w:t xml:space="preserve"> a skills audit to profile its employees correctly. This resulted in a number of employees being moved to positions where they are able to add more value, based on their background. Some staff </w:t>
      </w:r>
      <w:r w:rsidRPr="0091667C">
        <w:rPr>
          <w:rFonts w:ascii="Times New Roman" w:hAnsi="Times New Roman" w:cs="Times New Roman"/>
          <w:sz w:val="24"/>
          <w:szCs w:val="24"/>
        </w:rPr>
        <w:t>members were promoted; while others were transferred to different departments enabling them to make valuable contributions within the respective departments. This also enhanced cross-functional awareness within the business.</w:t>
      </w:r>
    </w:p>
    <w:p w14:paraId="053B7378" w14:textId="77777777" w:rsidR="00443C0F" w:rsidRPr="00586CCF" w:rsidRDefault="00443C0F" w:rsidP="009D5D24">
      <w:pPr>
        <w:pStyle w:val="ListParagraph"/>
        <w:numPr>
          <w:ilvl w:val="0"/>
          <w:numId w:val="10"/>
        </w:numPr>
        <w:spacing w:line="360" w:lineRule="auto"/>
        <w:ind w:left="426" w:hanging="426"/>
        <w:contextualSpacing w:val="0"/>
        <w:rPr>
          <w:rFonts w:ascii="Times New Roman" w:hAnsi="Times New Roman" w:cs="Times New Roman"/>
          <w:sz w:val="24"/>
          <w:szCs w:val="24"/>
        </w:rPr>
      </w:pPr>
      <w:r w:rsidRPr="00586CCF">
        <w:rPr>
          <w:rFonts w:ascii="Times New Roman" w:hAnsi="Times New Roman" w:cs="Times New Roman"/>
          <w:sz w:val="24"/>
          <w:szCs w:val="24"/>
        </w:rPr>
        <w:t>There was a partnership with The Learning Organisation from January 2016 to October 2016 on a ten-month pilot project where five learners were given the opportunity to acquire work based experience and training at no cost to the NCR. The learners obtained an end-user, NQF level 3 Computing Certificate and three learners were absorbed into the NCR on a permanent basis in the Call Centre and Registrations Department. A further learner was contracted for a year in the Finance department.</w:t>
      </w:r>
    </w:p>
    <w:p w14:paraId="54C97026" w14:textId="77777777" w:rsidR="00443C0F" w:rsidRPr="00586CCF" w:rsidRDefault="00443C0F" w:rsidP="009D5D24">
      <w:pPr>
        <w:pStyle w:val="ListParagraph"/>
        <w:numPr>
          <w:ilvl w:val="0"/>
          <w:numId w:val="10"/>
        </w:numPr>
        <w:spacing w:line="360" w:lineRule="auto"/>
        <w:ind w:left="426" w:hanging="426"/>
        <w:contextualSpacing w:val="0"/>
        <w:rPr>
          <w:rFonts w:ascii="Times New Roman" w:hAnsi="Times New Roman" w:cs="Times New Roman"/>
          <w:sz w:val="24"/>
          <w:szCs w:val="24"/>
        </w:rPr>
      </w:pPr>
      <w:r w:rsidRPr="00586CCF">
        <w:rPr>
          <w:rFonts w:ascii="Times New Roman" w:hAnsi="Times New Roman" w:cs="Times New Roman"/>
          <w:sz w:val="24"/>
          <w:szCs w:val="24"/>
        </w:rPr>
        <w:t xml:space="preserve">Bankseta assigned two learners to the NCR for the 2017/18 financial year. The learners commenced their learnership on 16 February 2017. </w:t>
      </w:r>
    </w:p>
    <w:p w14:paraId="4EE04C6D" w14:textId="77777777" w:rsidR="00443C0F" w:rsidRPr="00586CCF" w:rsidRDefault="00443C0F" w:rsidP="00443C0F">
      <w:pPr>
        <w:spacing w:line="360" w:lineRule="auto"/>
        <w:rPr>
          <w:rFonts w:ascii="Times New Roman" w:hAnsi="Times New Roman" w:cs="Times New Roman"/>
          <w:sz w:val="24"/>
          <w:szCs w:val="24"/>
        </w:rPr>
      </w:pPr>
    </w:p>
    <w:p w14:paraId="0DE0DDA6"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The NCR expressed challenges in terms of meeting its disability targets and having inadequate office space.</w:t>
      </w:r>
    </w:p>
    <w:p w14:paraId="06A3D9F0" w14:textId="77777777" w:rsidR="00443C0F" w:rsidRPr="00586CCF" w:rsidRDefault="00443C0F" w:rsidP="00443C0F">
      <w:pPr>
        <w:spacing w:line="360" w:lineRule="auto"/>
        <w:rPr>
          <w:rFonts w:ascii="Times New Roman" w:hAnsi="Times New Roman" w:cs="Times New Roman"/>
          <w:sz w:val="24"/>
          <w:szCs w:val="24"/>
        </w:rPr>
      </w:pPr>
    </w:p>
    <w:p w14:paraId="56EC7B3E" w14:textId="77777777" w:rsidR="00443C0F" w:rsidRPr="00586CCF" w:rsidRDefault="00443C0F" w:rsidP="004265FC">
      <w:pPr>
        <w:pStyle w:val="Heading33"/>
        <w:numPr>
          <w:ilvl w:val="2"/>
          <w:numId w:val="31"/>
        </w:numPr>
        <w:rPr>
          <w:rFonts w:ascii="Times New Roman" w:hAnsi="Times New Roman" w:cs="Times New Roman"/>
          <w:sz w:val="24"/>
        </w:rPr>
      </w:pPr>
      <w:r w:rsidRPr="00586CCF">
        <w:rPr>
          <w:rFonts w:ascii="Times New Roman" w:hAnsi="Times New Roman" w:cs="Times New Roman"/>
          <w:sz w:val="24"/>
        </w:rPr>
        <w:t>Financial Performance</w:t>
      </w:r>
    </w:p>
    <w:p w14:paraId="4940D60F" w14:textId="77777777" w:rsidR="00443C0F" w:rsidRPr="00586CCF" w:rsidRDefault="00443C0F" w:rsidP="00443C0F">
      <w:pPr>
        <w:spacing w:line="360" w:lineRule="auto"/>
        <w:rPr>
          <w:rFonts w:ascii="Times New Roman" w:hAnsi="Times New Roman" w:cs="Times New Roman"/>
          <w:b/>
          <w:sz w:val="24"/>
          <w:szCs w:val="24"/>
        </w:rPr>
      </w:pPr>
    </w:p>
    <w:p w14:paraId="5760E3CD" w14:textId="77777777" w:rsidR="00443C0F" w:rsidRPr="00586CCF" w:rsidRDefault="00443C0F" w:rsidP="00443C0F">
      <w:pPr>
        <w:spacing w:line="360" w:lineRule="auto"/>
        <w:rPr>
          <w:rFonts w:ascii="Times New Roman" w:hAnsi="Times New Roman" w:cs="Times New Roman"/>
          <w:sz w:val="24"/>
          <w:szCs w:val="24"/>
          <w:highlight w:val="yellow"/>
        </w:rPr>
      </w:pPr>
      <w:r w:rsidRPr="00586CCF">
        <w:rPr>
          <w:rFonts w:ascii="Times New Roman" w:hAnsi="Times New Roman" w:cs="Times New Roman"/>
          <w:sz w:val="24"/>
          <w:szCs w:val="24"/>
        </w:rPr>
        <w:t>In the 2016/17 financial year, the NCR’s budgeted income was approximately R127.2</w:t>
      </w:r>
      <w:r>
        <w:rPr>
          <w:rFonts w:ascii="Times New Roman" w:hAnsi="Times New Roman" w:cs="Times New Roman"/>
          <w:sz w:val="24"/>
          <w:szCs w:val="24"/>
        </w:rPr>
        <w:t> </w:t>
      </w:r>
      <w:r w:rsidRPr="00586CCF">
        <w:rPr>
          <w:rFonts w:ascii="Times New Roman" w:hAnsi="Times New Roman" w:cs="Times New Roman"/>
          <w:sz w:val="24"/>
          <w:szCs w:val="24"/>
        </w:rPr>
        <w:t xml:space="preserve">million; however, actual income was lower than budgeted at R120.4 million (94.7% of budgeted income). The largest share of income was acquired from the transfer payment from the </w:t>
      </w:r>
      <w:r>
        <w:rPr>
          <w:rFonts w:ascii="Times New Roman" w:hAnsi="Times New Roman" w:cs="Times New Roman"/>
          <w:sz w:val="24"/>
          <w:szCs w:val="24"/>
        </w:rPr>
        <w:t xml:space="preserve">DTI </w:t>
      </w:r>
      <w:r w:rsidRPr="00586CCF">
        <w:rPr>
          <w:rFonts w:ascii="Times New Roman" w:hAnsi="Times New Roman" w:cs="Times New Roman"/>
          <w:sz w:val="24"/>
          <w:szCs w:val="24"/>
        </w:rPr>
        <w:t xml:space="preserve">amounting to R69.6 million (57.8% of total income). The second largest source of income was fee revenue at R34 million (28.3% of total income) for the financial year. However, this was R7.8 million </w:t>
      </w:r>
      <w:r>
        <w:rPr>
          <w:rFonts w:ascii="Times New Roman" w:hAnsi="Times New Roman" w:cs="Times New Roman"/>
          <w:sz w:val="24"/>
          <w:szCs w:val="24"/>
        </w:rPr>
        <w:t xml:space="preserve">lower </w:t>
      </w:r>
      <w:r w:rsidRPr="00586CCF">
        <w:rPr>
          <w:rFonts w:ascii="Times New Roman" w:hAnsi="Times New Roman" w:cs="Times New Roman"/>
          <w:sz w:val="24"/>
          <w:szCs w:val="24"/>
        </w:rPr>
        <w:t>than budgeted due to the approved Regulations pertaining to a new renewal date of 31 July 2017 for all registrants. Renewal fees for all registrants whose renewal dates are after 31 August 2016 were therefore pro-rated for alignment to this new date. This impact had not been taken into account in the 2016/17 budget.</w:t>
      </w:r>
      <w:r w:rsidRPr="00586CCF">
        <w:rPr>
          <w:rFonts w:ascii="Times New Roman" w:hAnsi="Times New Roman" w:cs="Times New Roman"/>
          <w:sz w:val="24"/>
          <w:szCs w:val="24"/>
          <w:highlight w:val="yellow"/>
        </w:rPr>
        <w:t xml:space="preserve"> </w:t>
      </w:r>
    </w:p>
    <w:p w14:paraId="3B100DF5" w14:textId="77777777" w:rsidR="00443C0F" w:rsidRPr="00586CCF" w:rsidRDefault="00443C0F" w:rsidP="00443C0F">
      <w:pPr>
        <w:spacing w:line="360" w:lineRule="auto"/>
        <w:rPr>
          <w:rFonts w:ascii="Times New Roman" w:hAnsi="Times New Roman" w:cs="Times New Roman"/>
          <w:sz w:val="24"/>
          <w:szCs w:val="24"/>
          <w:highlight w:val="yellow"/>
        </w:rPr>
      </w:pPr>
    </w:p>
    <w:p w14:paraId="71F44BB7" w14:textId="77777777" w:rsidR="00894911" w:rsidRDefault="00894911">
      <w:pPr>
        <w:rPr>
          <w:rFonts w:ascii="Times New Roman" w:hAnsi="Times New Roman" w:cs="Times New Roman"/>
          <w:b/>
          <w:sz w:val="24"/>
          <w:szCs w:val="24"/>
        </w:rPr>
      </w:pPr>
      <w:r>
        <w:rPr>
          <w:rFonts w:ascii="Times New Roman" w:hAnsi="Times New Roman" w:cs="Times New Roman"/>
          <w:b/>
          <w:sz w:val="24"/>
          <w:szCs w:val="24"/>
        </w:rPr>
        <w:br w:type="page"/>
      </w:r>
    </w:p>
    <w:p w14:paraId="440991E8" w14:textId="77777777" w:rsidR="00443C0F" w:rsidRPr="00586CCF" w:rsidRDefault="00443C0F" w:rsidP="00443C0F">
      <w:pPr>
        <w:spacing w:line="360" w:lineRule="auto"/>
        <w:rPr>
          <w:rFonts w:ascii="Times New Roman" w:hAnsi="Times New Roman" w:cs="Times New Roman"/>
          <w:b/>
          <w:sz w:val="24"/>
          <w:szCs w:val="24"/>
        </w:rPr>
      </w:pPr>
      <w:r>
        <w:rPr>
          <w:rFonts w:ascii="Times New Roman" w:hAnsi="Times New Roman" w:cs="Times New Roman"/>
          <w:b/>
          <w:sz w:val="24"/>
          <w:szCs w:val="24"/>
        </w:rPr>
        <w:t>Table</w:t>
      </w:r>
      <w:r w:rsidR="00510A07">
        <w:rPr>
          <w:rFonts w:ascii="Times New Roman" w:hAnsi="Times New Roman" w:cs="Times New Roman"/>
          <w:b/>
          <w:sz w:val="24"/>
          <w:szCs w:val="24"/>
        </w:rPr>
        <w:t xml:space="preserve"> 11</w:t>
      </w:r>
      <w:r w:rsidRPr="00586CCF">
        <w:rPr>
          <w:rFonts w:ascii="Times New Roman" w:hAnsi="Times New Roman" w:cs="Times New Roman"/>
          <w:b/>
          <w:sz w:val="24"/>
          <w:szCs w:val="24"/>
        </w:rPr>
        <w:t>: Financial Performance</w:t>
      </w:r>
    </w:p>
    <w:tbl>
      <w:tblPr>
        <w:tblW w:w="9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86"/>
        <w:gridCol w:w="1586"/>
        <w:gridCol w:w="1586"/>
      </w:tblGrid>
      <w:tr w:rsidR="00443C0F" w:rsidRPr="00385FDC" w14:paraId="60D7CAD6" w14:textId="77777777" w:rsidTr="00443C0F">
        <w:trPr>
          <w:trHeight w:val="20"/>
          <w:tblHeader/>
        </w:trPr>
        <w:tc>
          <w:tcPr>
            <w:tcW w:w="4536" w:type="dxa"/>
            <w:vMerge w:val="restart"/>
            <w:shd w:val="clear" w:color="auto" w:fill="BFBFBF" w:themeFill="background1" w:themeFillShade="BF"/>
            <w:noWrap/>
            <w:vAlign w:val="bottom"/>
            <w:hideMark/>
          </w:tcPr>
          <w:p w14:paraId="3E2F56CF" w14:textId="77777777" w:rsidR="00443C0F" w:rsidRPr="006D18C5" w:rsidRDefault="00443C0F" w:rsidP="00443C0F">
            <w:pPr>
              <w:spacing w:line="360" w:lineRule="auto"/>
              <w:jc w:val="left"/>
              <w:rPr>
                <w:rFonts w:ascii="Times New Roman" w:eastAsia="Times New Roman" w:hAnsi="Times New Roman" w:cs="Times New Roman"/>
                <w:szCs w:val="24"/>
                <w:lang w:eastAsia="en-ZA"/>
              </w:rPr>
            </w:pPr>
          </w:p>
        </w:tc>
        <w:tc>
          <w:tcPr>
            <w:tcW w:w="1586" w:type="dxa"/>
            <w:vMerge w:val="restart"/>
            <w:shd w:val="clear" w:color="auto" w:fill="BFBFBF" w:themeFill="background1" w:themeFillShade="BF"/>
            <w:vAlign w:val="center"/>
            <w:hideMark/>
          </w:tcPr>
          <w:p w14:paraId="392221C2" w14:textId="77777777" w:rsidR="00443C0F" w:rsidRPr="006D18C5" w:rsidRDefault="00443C0F" w:rsidP="00443C0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2015/16</w:t>
            </w:r>
          </w:p>
        </w:tc>
        <w:tc>
          <w:tcPr>
            <w:tcW w:w="3172" w:type="dxa"/>
            <w:gridSpan w:val="2"/>
            <w:shd w:val="clear" w:color="auto" w:fill="BFBFBF" w:themeFill="background1" w:themeFillShade="BF"/>
            <w:noWrap/>
            <w:vAlign w:val="bottom"/>
            <w:hideMark/>
          </w:tcPr>
          <w:p w14:paraId="6D75F228" w14:textId="77777777" w:rsidR="00443C0F" w:rsidRPr="006D18C5" w:rsidRDefault="00443C0F" w:rsidP="00443C0F">
            <w:pPr>
              <w:spacing w:line="360" w:lineRule="auto"/>
              <w:jc w:val="center"/>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2016/17</w:t>
            </w:r>
          </w:p>
        </w:tc>
      </w:tr>
      <w:tr w:rsidR="00443C0F" w:rsidRPr="00385FDC" w14:paraId="288E3362" w14:textId="77777777" w:rsidTr="00443C0F">
        <w:trPr>
          <w:trHeight w:val="20"/>
          <w:tblHeader/>
        </w:trPr>
        <w:tc>
          <w:tcPr>
            <w:tcW w:w="4536" w:type="dxa"/>
            <w:vMerge/>
            <w:shd w:val="clear" w:color="auto" w:fill="BFBFBF" w:themeFill="background1" w:themeFillShade="BF"/>
            <w:vAlign w:val="center"/>
            <w:hideMark/>
          </w:tcPr>
          <w:p w14:paraId="518D5992" w14:textId="77777777" w:rsidR="00443C0F" w:rsidRPr="006D18C5" w:rsidRDefault="00443C0F" w:rsidP="00443C0F">
            <w:pPr>
              <w:spacing w:line="360" w:lineRule="auto"/>
              <w:jc w:val="left"/>
              <w:rPr>
                <w:rFonts w:ascii="Times New Roman" w:eastAsia="Times New Roman" w:hAnsi="Times New Roman" w:cs="Times New Roman"/>
                <w:szCs w:val="24"/>
                <w:lang w:eastAsia="en-ZA"/>
              </w:rPr>
            </w:pPr>
          </w:p>
        </w:tc>
        <w:tc>
          <w:tcPr>
            <w:tcW w:w="1586" w:type="dxa"/>
            <w:vMerge/>
            <w:shd w:val="clear" w:color="auto" w:fill="BFBFBF" w:themeFill="background1" w:themeFillShade="BF"/>
            <w:vAlign w:val="center"/>
            <w:hideMark/>
          </w:tcPr>
          <w:p w14:paraId="36B20A1C" w14:textId="77777777" w:rsidR="00443C0F" w:rsidRPr="006D18C5" w:rsidRDefault="00443C0F" w:rsidP="00443C0F">
            <w:pPr>
              <w:spacing w:line="360" w:lineRule="auto"/>
              <w:jc w:val="left"/>
              <w:rPr>
                <w:rFonts w:ascii="Times New Roman" w:eastAsia="Times New Roman" w:hAnsi="Times New Roman" w:cs="Times New Roman"/>
                <w:b/>
                <w:bCs/>
                <w:szCs w:val="24"/>
                <w:lang w:eastAsia="en-ZA"/>
              </w:rPr>
            </w:pPr>
          </w:p>
        </w:tc>
        <w:tc>
          <w:tcPr>
            <w:tcW w:w="1586" w:type="dxa"/>
            <w:shd w:val="clear" w:color="auto" w:fill="BFBFBF" w:themeFill="background1" w:themeFillShade="BF"/>
            <w:vAlign w:val="center"/>
            <w:hideMark/>
          </w:tcPr>
          <w:p w14:paraId="673AA65E" w14:textId="77777777" w:rsidR="00443C0F" w:rsidRPr="006D18C5" w:rsidRDefault="00443C0F" w:rsidP="00443C0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w w:val="98"/>
                <w:szCs w:val="24"/>
                <w:lang w:eastAsia="en-ZA"/>
              </w:rPr>
              <w:t>Final budget</w:t>
            </w:r>
            <w:r>
              <w:rPr>
                <w:rFonts w:ascii="Times New Roman" w:eastAsia="Times New Roman" w:hAnsi="Times New Roman" w:cs="Times New Roman"/>
                <w:b/>
                <w:bCs/>
                <w:w w:val="98"/>
                <w:szCs w:val="24"/>
                <w:lang w:eastAsia="en-ZA"/>
              </w:rPr>
              <w:t xml:space="preserve"> </w:t>
            </w:r>
            <w:r w:rsidRPr="006D18C5">
              <w:rPr>
                <w:rFonts w:ascii="Times New Roman" w:eastAsia="Times New Roman" w:hAnsi="Times New Roman" w:cs="Times New Roman"/>
                <w:b/>
                <w:bCs/>
                <w:szCs w:val="24"/>
                <w:lang w:eastAsia="en-ZA"/>
              </w:rPr>
              <w:t>(R)</w:t>
            </w:r>
          </w:p>
        </w:tc>
        <w:tc>
          <w:tcPr>
            <w:tcW w:w="1586" w:type="dxa"/>
            <w:shd w:val="clear" w:color="auto" w:fill="BFBFBF" w:themeFill="background1" w:themeFillShade="BF"/>
            <w:vAlign w:val="center"/>
            <w:hideMark/>
          </w:tcPr>
          <w:p w14:paraId="500D47F4" w14:textId="77777777" w:rsidR="00443C0F" w:rsidRPr="006D18C5" w:rsidRDefault="00443C0F" w:rsidP="00443C0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w w:val="98"/>
                <w:szCs w:val="24"/>
                <w:lang w:eastAsia="en-ZA"/>
              </w:rPr>
              <w:t>Actual (R)</w:t>
            </w:r>
          </w:p>
        </w:tc>
      </w:tr>
      <w:tr w:rsidR="00443C0F" w:rsidRPr="00586CCF" w14:paraId="6909C482" w14:textId="77777777" w:rsidTr="00443C0F">
        <w:trPr>
          <w:trHeight w:val="20"/>
        </w:trPr>
        <w:tc>
          <w:tcPr>
            <w:tcW w:w="9294" w:type="dxa"/>
            <w:gridSpan w:val="4"/>
            <w:shd w:val="clear" w:color="auto" w:fill="auto"/>
            <w:vAlign w:val="center"/>
          </w:tcPr>
          <w:p w14:paraId="725604F9" w14:textId="77777777" w:rsidR="00443C0F" w:rsidRPr="006D18C5" w:rsidRDefault="00443C0F" w:rsidP="00443C0F">
            <w:pPr>
              <w:spacing w:line="360" w:lineRule="auto"/>
              <w:jc w:val="left"/>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Revenue</w:t>
            </w:r>
          </w:p>
        </w:tc>
      </w:tr>
      <w:tr w:rsidR="00443C0F" w:rsidRPr="00586CCF" w14:paraId="5185732B" w14:textId="77777777" w:rsidTr="00443C0F">
        <w:trPr>
          <w:trHeight w:val="20"/>
        </w:trPr>
        <w:tc>
          <w:tcPr>
            <w:tcW w:w="4536" w:type="dxa"/>
            <w:shd w:val="clear" w:color="auto" w:fill="auto"/>
            <w:vAlign w:val="center"/>
          </w:tcPr>
          <w:p w14:paraId="36C49967" w14:textId="77777777" w:rsidR="00443C0F" w:rsidRPr="006D18C5" w:rsidRDefault="00443C0F" w:rsidP="00443C0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Interest received - investment</w:t>
            </w:r>
          </w:p>
        </w:tc>
        <w:tc>
          <w:tcPr>
            <w:tcW w:w="1586" w:type="dxa"/>
            <w:shd w:val="clear" w:color="auto" w:fill="auto"/>
            <w:vAlign w:val="center"/>
          </w:tcPr>
          <w:p w14:paraId="2F3DC6A8"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1 054 695</w:t>
            </w:r>
          </w:p>
        </w:tc>
        <w:tc>
          <w:tcPr>
            <w:tcW w:w="1586" w:type="dxa"/>
            <w:shd w:val="clear" w:color="auto" w:fill="auto"/>
            <w:vAlign w:val="center"/>
          </w:tcPr>
          <w:p w14:paraId="6FFAE462"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1 620 000</w:t>
            </w:r>
          </w:p>
        </w:tc>
        <w:tc>
          <w:tcPr>
            <w:tcW w:w="1586" w:type="dxa"/>
            <w:shd w:val="clear" w:color="auto" w:fill="auto"/>
            <w:vAlign w:val="center"/>
          </w:tcPr>
          <w:p w14:paraId="07187D24"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1 700 270</w:t>
            </w:r>
          </w:p>
        </w:tc>
      </w:tr>
      <w:tr w:rsidR="00443C0F" w:rsidRPr="00586CCF" w14:paraId="30EAFF6E" w14:textId="77777777" w:rsidTr="00443C0F">
        <w:trPr>
          <w:trHeight w:val="20"/>
        </w:trPr>
        <w:tc>
          <w:tcPr>
            <w:tcW w:w="4536" w:type="dxa"/>
            <w:shd w:val="clear" w:color="auto" w:fill="auto"/>
            <w:vAlign w:val="center"/>
          </w:tcPr>
          <w:p w14:paraId="07A00F18" w14:textId="77777777" w:rsidR="00443C0F" w:rsidRPr="006D18C5" w:rsidRDefault="00443C0F" w:rsidP="00443C0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Other revenue from exchange transactions</w:t>
            </w:r>
          </w:p>
        </w:tc>
        <w:tc>
          <w:tcPr>
            <w:tcW w:w="1586" w:type="dxa"/>
            <w:shd w:val="clear" w:color="auto" w:fill="auto"/>
            <w:vAlign w:val="center"/>
          </w:tcPr>
          <w:p w14:paraId="226FB05C"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886 621</w:t>
            </w:r>
          </w:p>
        </w:tc>
        <w:tc>
          <w:tcPr>
            <w:tcW w:w="1586" w:type="dxa"/>
            <w:shd w:val="clear" w:color="auto" w:fill="auto"/>
            <w:vAlign w:val="center"/>
          </w:tcPr>
          <w:p w14:paraId="31CD8C72"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w:t>
            </w:r>
          </w:p>
        </w:tc>
        <w:tc>
          <w:tcPr>
            <w:tcW w:w="1586" w:type="dxa"/>
            <w:shd w:val="clear" w:color="auto" w:fill="auto"/>
            <w:vAlign w:val="center"/>
          </w:tcPr>
          <w:p w14:paraId="3591AEC8"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99 777</w:t>
            </w:r>
          </w:p>
        </w:tc>
      </w:tr>
      <w:tr w:rsidR="00443C0F" w:rsidRPr="00586CCF" w14:paraId="0E2F56C6" w14:textId="77777777" w:rsidTr="00443C0F">
        <w:trPr>
          <w:trHeight w:val="20"/>
        </w:trPr>
        <w:tc>
          <w:tcPr>
            <w:tcW w:w="4536" w:type="dxa"/>
            <w:shd w:val="clear" w:color="auto" w:fill="auto"/>
            <w:vAlign w:val="center"/>
          </w:tcPr>
          <w:p w14:paraId="4255F175" w14:textId="77777777" w:rsidR="00443C0F" w:rsidRPr="006D18C5" w:rsidRDefault="00443C0F" w:rsidP="00443C0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Fee revenue</w:t>
            </w:r>
          </w:p>
        </w:tc>
        <w:tc>
          <w:tcPr>
            <w:tcW w:w="1586" w:type="dxa"/>
            <w:shd w:val="clear" w:color="auto" w:fill="auto"/>
            <w:vAlign w:val="center"/>
          </w:tcPr>
          <w:p w14:paraId="761CEED1"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32 900 685</w:t>
            </w:r>
          </w:p>
        </w:tc>
        <w:tc>
          <w:tcPr>
            <w:tcW w:w="1586" w:type="dxa"/>
            <w:shd w:val="clear" w:color="auto" w:fill="auto"/>
            <w:vAlign w:val="center"/>
          </w:tcPr>
          <w:p w14:paraId="4F02B58C"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41 886 606</w:t>
            </w:r>
          </w:p>
        </w:tc>
        <w:tc>
          <w:tcPr>
            <w:tcW w:w="1586" w:type="dxa"/>
            <w:shd w:val="clear" w:color="auto" w:fill="auto"/>
            <w:vAlign w:val="center"/>
          </w:tcPr>
          <w:p w14:paraId="35FB8BCF"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34 028 665</w:t>
            </w:r>
          </w:p>
        </w:tc>
      </w:tr>
      <w:tr w:rsidR="00443C0F" w:rsidRPr="00586CCF" w14:paraId="4E520256" w14:textId="77777777" w:rsidTr="00443C0F">
        <w:trPr>
          <w:trHeight w:val="20"/>
        </w:trPr>
        <w:tc>
          <w:tcPr>
            <w:tcW w:w="4536" w:type="dxa"/>
            <w:shd w:val="clear" w:color="auto" w:fill="auto"/>
            <w:vAlign w:val="center"/>
          </w:tcPr>
          <w:p w14:paraId="4920A3D9" w14:textId="77777777" w:rsidR="00443C0F" w:rsidRPr="006D18C5" w:rsidRDefault="00443C0F" w:rsidP="00443C0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Transfer payment</w:t>
            </w:r>
          </w:p>
        </w:tc>
        <w:tc>
          <w:tcPr>
            <w:tcW w:w="1586" w:type="dxa"/>
            <w:shd w:val="clear" w:color="auto" w:fill="auto"/>
            <w:vAlign w:val="center"/>
          </w:tcPr>
          <w:p w14:paraId="043AA556"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66 899 044</w:t>
            </w:r>
          </w:p>
        </w:tc>
        <w:tc>
          <w:tcPr>
            <w:tcW w:w="1586" w:type="dxa"/>
            <w:shd w:val="clear" w:color="auto" w:fill="auto"/>
            <w:vAlign w:val="center"/>
          </w:tcPr>
          <w:p w14:paraId="58E57E20"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69 577 000</w:t>
            </w:r>
          </w:p>
        </w:tc>
        <w:tc>
          <w:tcPr>
            <w:tcW w:w="1586" w:type="dxa"/>
            <w:shd w:val="clear" w:color="auto" w:fill="auto"/>
            <w:vAlign w:val="center"/>
          </w:tcPr>
          <w:p w14:paraId="77248011"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69 577 000</w:t>
            </w:r>
          </w:p>
        </w:tc>
      </w:tr>
      <w:tr w:rsidR="00443C0F" w:rsidRPr="00586CCF" w14:paraId="4C7078DC" w14:textId="77777777" w:rsidTr="00443C0F">
        <w:trPr>
          <w:trHeight w:val="20"/>
        </w:trPr>
        <w:tc>
          <w:tcPr>
            <w:tcW w:w="4536" w:type="dxa"/>
            <w:shd w:val="clear" w:color="auto" w:fill="auto"/>
            <w:vAlign w:val="center"/>
            <w:hideMark/>
          </w:tcPr>
          <w:p w14:paraId="3B308851" w14:textId="77777777" w:rsidR="00443C0F" w:rsidRPr="006D18C5" w:rsidRDefault="00443C0F" w:rsidP="00443C0F">
            <w:pPr>
              <w:spacing w:line="360" w:lineRule="auto"/>
              <w:jc w:val="lef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Other revenue from non-exchange transactions</w:t>
            </w:r>
          </w:p>
        </w:tc>
        <w:tc>
          <w:tcPr>
            <w:tcW w:w="1586" w:type="dxa"/>
            <w:shd w:val="clear" w:color="auto" w:fill="auto"/>
            <w:vAlign w:val="center"/>
          </w:tcPr>
          <w:p w14:paraId="4FEA548E"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5 657 229</w:t>
            </w:r>
          </w:p>
        </w:tc>
        <w:tc>
          <w:tcPr>
            <w:tcW w:w="1586" w:type="dxa"/>
            <w:shd w:val="clear" w:color="auto" w:fill="auto"/>
            <w:vAlign w:val="center"/>
          </w:tcPr>
          <w:p w14:paraId="6BBAB036"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14 100 000</w:t>
            </w:r>
          </w:p>
        </w:tc>
        <w:tc>
          <w:tcPr>
            <w:tcW w:w="1586" w:type="dxa"/>
            <w:shd w:val="clear" w:color="auto" w:fill="auto"/>
            <w:vAlign w:val="center"/>
          </w:tcPr>
          <w:p w14:paraId="740705A5"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15 000 357</w:t>
            </w:r>
          </w:p>
        </w:tc>
      </w:tr>
      <w:tr w:rsidR="00443C0F" w:rsidRPr="00586CCF" w14:paraId="450B0475" w14:textId="77777777" w:rsidTr="00443C0F">
        <w:trPr>
          <w:trHeight w:val="20"/>
        </w:trPr>
        <w:tc>
          <w:tcPr>
            <w:tcW w:w="4536" w:type="dxa"/>
            <w:shd w:val="clear" w:color="auto" w:fill="auto"/>
            <w:vAlign w:val="center"/>
            <w:hideMark/>
          </w:tcPr>
          <w:p w14:paraId="11D97BBF" w14:textId="77777777" w:rsidR="00443C0F" w:rsidRPr="006D18C5" w:rsidRDefault="00443C0F" w:rsidP="00443C0F">
            <w:pPr>
              <w:spacing w:line="360" w:lineRule="auto"/>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Total Revenue</w:t>
            </w:r>
          </w:p>
        </w:tc>
        <w:tc>
          <w:tcPr>
            <w:tcW w:w="1586" w:type="dxa"/>
            <w:shd w:val="clear" w:color="auto" w:fill="auto"/>
            <w:vAlign w:val="center"/>
          </w:tcPr>
          <w:p w14:paraId="5F6D1079" w14:textId="77777777" w:rsidR="00443C0F" w:rsidRPr="006D18C5" w:rsidRDefault="00443C0F" w:rsidP="00443C0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107 398 274</w:t>
            </w:r>
          </w:p>
        </w:tc>
        <w:tc>
          <w:tcPr>
            <w:tcW w:w="1586" w:type="dxa"/>
            <w:shd w:val="clear" w:color="auto" w:fill="auto"/>
            <w:vAlign w:val="center"/>
          </w:tcPr>
          <w:p w14:paraId="761DD3BC" w14:textId="77777777" w:rsidR="00443C0F" w:rsidRPr="006D18C5" w:rsidRDefault="00443C0F" w:rsidP="00443C0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127 183 606</w:t>
            </w:r>
          </w:p>
        </w:tc>
        <w:tc>
          <w:tcPr>
            <w:tcW w:w="1586" w:type="dxa"/>
            <w:shd w:val="clear" w:color="auto" w:fill="auto"/>
            <w:vAlign w:val="center"/>
          </w:tcPr>
          <w:p w14:paraId="7150D512" w14:textId="77777777" w:rsidR="00443C0F" w:rsidRPr="006D18C5" w:rsidRDefault="00443C0F" w:rsidP="00443C0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120 406 069</w:t>
            </w:r>
          </w:p>
        </w:tc>
      </w:tr>
      <w:tr w:rsidR="00443C0F" w:rsidRPr="00586CCF" w14:paraId="49C2D13B" w14:textId="77777777" w:rsidTr="00443C0F">
        <w:trPr>
          <w:trHeight w:val="20"/>
        </w:trPr>
        <w:tc>
          <w:tcPr>
            <w:tcW w:w="9294" w:type="dxa"/>
            <w:gridSpan w:val="4"/>
            <w:shd w:val="clear" w:color="auto" w:fill="auto"/>
            <w:noWrap/>
            <w:vAlign w:val="bottom"/>
            <w:hideMark/>
          </w:tcPr>
          <w:p w14:paraId="52B6CC27" w14:textId="77777777" w:rsidR="00443C0F" w:rsidRPr="006D18C5" w:rsidRDefault="00443C0F" w:rsidP="00443C0F">
            <w:pPr>
              <w:spacing w:line="360" w:lineRule="auto"/>
              <w:jc w:val="left"/>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 xml:space="preserve">Expenses </w:t>
            </w:r>
          </w:p>
        </w:tc>
      </w:tr>
      <w:tr w:rsidR="00443C0F" w:rsidRPr="00586CCF" w14:paraId="668761D5" w14:textId="77777777" w:rsidTr="00443C0F">
        <w:trPr>
          <w:trHeight w:val="20"/>
        </w:trPr>
        <w:tc>
          <w:tcPr>
            <w:tcW w:w="4536" w:type="dxa"/>
            <w:shd w:val="clear" w:color="auto" w:fill="auto"/>
            <w:vAlign w:val="center"/>
            <w:hideMark/>
          </w:tcPr>
          <w:p w14:paraId="51E18ED6" w14:textId="77777777" w:rsidR="00443C0F" w:rsidRPr="006D18C5" w:rsidRDefault="00443C0F" w:rsidP="00443C0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Personnel expenditure</w:t>
            </w:r>
          </w:p>
        </w:tc>
        <w:tc>
          <w:tcPr>
            <w:tcW w:w="1586" w:type="dxa"/>
            <w:shd w:val="clear" w:color="auto" w:fill="auto"/>
            <w:vAlign w:val="center"/>
          </w:tcPr>
          <w:p w14:paraId="55318FBE"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(72 266 955)</w:t>
            </w:r>
          </w:p>
        </w:tc>
        <w:tc>
          <w:tcPr>
            <w:tcW w:w="1586" w:type="dxa"/>
            <w:shd w:val="clear" w:color="auto" w:fill="auto"/>
            <w:vAlign w:val="center"/>
          </w:tcPr>
          <w:p w14:paraId="69644A5B"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(76 560 238)</w:t>
            </w:r>
          </w:p>
        </w:tc>
        <w:tc>
          <w:tcPr>
            <w:tcW w:w="1586" w:type="dxa"/>
            <w:shd w:val="clear" w:color="auto" w:fill="auto"/>
            <w:vAlign w:val="center"/>
          </w:tcPr>
          <w:p w14:paraId="47857933"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(70 120 975)</w:t>
            </w:r>
          </w:p>
        </w:tc>
      </w:tr>
      <w:tr w:rsidR="00443C0F" w:rsidRPr="00586CCF" w14:paraId="4A2EECAF" w14:textId="77777777" w:rsidTr="00443C0F">
        <w:trPr>
          <w:trHeight w:val="20"/>
        </w:trPr>
        <w:tc>
          <w:tcPr>
            <w:tcW w:w="4536" w:type="dxa"/>
            <w:shd w:val="clear" w:color="auto" w:fill="auto"/>
            <w:vAlign w:val="center"/>
            <w:hideMark/>
          </w:tcPr>
          <w:p w14:paraId="72C10D14" w14:textId="77777777" w:rsidR="00443C0F" w:rsidRPr="006D18C5" w:rsidRDefault="00443C0F" w:rsidP="00443C0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Operating expenses</w:t>
            </w:r>
          </w:p>
        </w:tc>
        <w:tc>
          <w:tcPr>
            <w:tcW w:w="1586" w:type="dxa"/>
            <w:shd w:val="clear" w:color="auto" w:fill="auto"/>
            <w:vAlign w:val="center"/>
          </w:tcPr>
          <w:p w14:paraId="731FBD43"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(17 160 705)</w:t>
            </w:r>
          </w:p>
        </w:tc>
        <w:tc>
          <w:tcPr>
            <w:tcW w:w="1586" w:type="dxa"/>
            <w:shd w:val="clear" w:color="auto" w:fill="auto"/>
            <w:vAlign w:val="center"/>
          </w:tcPr>
          <w:p w14:paraId="23AC9D11"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(22 489 537)</w:t>
            </w:r>
          </w:p>
        </w:tc>
        <w:tc>
          <w:tcPr>
            <w:tcW w:w="1586" w:type="dxa"/>
            <w:shd w:val="clear" w:color="auto" w:fill="auto"/>
            <w:vAlign w:val="center"/>
          </w:tcPr>
          <w:p w14:paraId="3012540B"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(20 117 568)</w:t>
            </w:r>
          </w:p>
        </w:tc>
      </w:tr>
      <w:tr w:rsidR="00443C0F" w:rsidRPr="00586CCF" w14:paraId="1FB8E809" w14:textId="77777777" w:rsidTr="00443C0F">
        <w:trPr>
          <w:trHeight w:val="20"/>
        </w:trPr>
        <w:tc>
          <w:tcPr>
            <w:tcW w:w="4536" w:type="dxa"/>
            <w:shd w:val="clear" w:color="auto" w:fill="auto"/>
            <w:vAlign w:val="center"/>
            <w:hideMark/>
          </w:tcPr>
          <w:p w14:paraId="053AC261" w14:textId="77777777" w:rsidR="00443C0F" w:rsidRPr="006D18C5" w:rsidRDefault="00443C0F" w:rsidP="00443C0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Finance costs</w:t>
            </w:r>
          </w:p>
        </w:tc>
        <w:tc>
          <w:tcPr>
            <w:tcW w:w="1586" w:type="dxa"/>
            <w:shd w:val="clear" w:color="auto" w:fill="auto"/>
            <w:vAlign w:val="center"/>
          </w:tcPr>
          <w:p w14:paraId="3A3FBDAF"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(2 234)</w:t>
            </w:r>
          </w:p>
        </w:tc>
        <w:tc>
          <w:tcPr>
            <w:tcW w:w="1586" w:type="dxa"/>
            <w:shd w:val="clear" w:color="auto" w:fill="auto"/>
            <w:vAlign w:val="center"/>
          </w:tcPr>
          <w:p w14:paraId="3A5CB020"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w:t>
            </w:r>
          </w:p>
        </w:tc>
        <w:tc>
          <w:tcPr>
            <w:tcW w:w="1586" w:type="dxa"/>
            <w:shd w:val="clear" w:color="auto" w:fill="auto"/>
            <w:vAlign w:val="center"/>
          </w:tcPr>
          <w:p w14:paraId="10DD9564"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(199)</w:t>
            </w:r>
          </w:p>
        </w:tc>
      </w:tr>
      <w:tr w:rsidR="00443C0F" w:rsidRPr="00586CCF" w14:paraId="5AA590B6" w14:textId="77777777" w:rsidTr="00443C0F">
        <w:trPr>
          <w:trHeight w:val="20"/>
        </w:trPr>
        <w:tc>
          <w:tcPr>
            <w:tcW w:w="4536" w:type="dxa"/>
            <w:shd w:val="clear" w:color="auto" w:fill="auto"/>
            <w:vAlign w:val="center"/>
            <w:hideMark/>
          </w:tcPr>
          <w:p w14:paraId="13AA586B" w14:textId="77777777" w:rsidR="00443C0F" w:rsidRPr="006D18C5" w:rsidRDefault="00443C0F" w:rsidP="00443C0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Administrative expenses</w:t>
            </w:r>
          </w:p>
        </w:tc>
        <w:tc>
          <w:tcPr>
            <w:tcW w:w="1586" w:type="dxa"/>
            <w:shd w:val="clear" w:color="auto" w:fill="auto"/>
            <w:vAlign w:val="center"/>
          </w:tcPr>
          <w:p w14:paraId="090ECEBA"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(18 368 445)</w:t>
            </w:r>
          </w:p>
        </w:tc>
        <w:tc>
          <w:tcPr>
            <w:tcW w:w="1586" w:type="dxa"/>
            <w:shd w:val="clear" w:color="auto" w:fill="auto"/>
            <w:vAlign w:val="center"/>
          </w:tcPr>
          <w:p w14:paraId="181D5E7C"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(21 783 948)</w:t>
            </w:r>
          </w:p>
        </w:tc>
        <w:tc>
          <w:tcPr>
            <w:tcW w:w="1586" w:type="dxa"/>
            <w:shd w:val="clear" w:color="auto" w:fill="auto"/>
            <w:vAlign w:val="center"/>
          </w:tcPr>
          <w:p w14:paraId="39BE7544"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(23 290 333)</w:t>
            </w:r>
          </w:p>
        </w:tc>
      </w:tr>
      <w:tr w:rsidR="00443C0F" w:rsidRPr="00586CCF" w14:paraId="0222413D" w14:textId="77777777" w:rsidTr="00443C0F">
        <w:trPr>
          <w:trHeight w:val="20"/>
        </w:trPr>
        <w:tc>
          <w:tcPr>
            <w:tcW w:w="4536" w:type="dxa"/>
            <w:shd w:val="clear" w:color="auto" w:fill="auto"/>
            <w:vAlign w:val="center"/>
            <w:hideMark/>
          </w:tcPr>
          <w:p w14:paraId="1CAD7C3F" w14:textId="77777777" w:rsidR="00443C0F" w:rsidRPr="006D18C5" w:rsidRDefault="00443C0F" w:rsidP="00443C0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Depreciation and Amortisation</w:t>
            </w:r>
          </w:p>
        </w:tc>
        <w:tc>
          <w:tcPr>
            <w:tcW w:w="1586" w:type="dxa"/>
            <w:shd w:val="clear" w:color="auto" w:fill="auto"/>
            <w:vAlign w:val="center"/>
          </w:tcPr>
          <w:p w14:paraId="46844677"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(6 398 332)</w:t>
            </w:r>
          </w:p>
        </w:tc>
        <w:tc>
          <w:tcPr>
            <w:tcW w:w="1586" w:type="dxa"/>
            <w:shd w:val="clear" w:color="auto" w:fill="auto"/>
            <w:vAlign w:val="center"/>
          </w:tcPr>
          <w:p w14:paraId="5B902B4E"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w:t>
            </w:r>
          </w:p>
        </w:tc>
        <w:tc>
          <w:tcPr>
            <w:tcW w:w="1586" w:type="dxa"/>
            <w:shd w:val="clear" w:color="auto" w:fill="auto"/>
            <w:vAlign w:val="center"/>
          </w:tcPr>
          <w:p w14:paraId="44DA34A4" w14:textId="77777777" w:rsidR="00443C0F" w:rsidRPr="006D18C5" w:rsidRDefault="00443C0F" w:rsidP="00443C0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(5 369 912)</w:t>
            </w:r>
          </w:p>
        </w:tc>
      </w:tr>
      <w:tr w:rsidR="00443C0F" w:rsidRPr="00586CCF" w14:paraId="34CE71B5" w14:textId="77777777" w:rsidTr="00443C0F">
        <w:trPr>
          <w:trHeight w:val="20"/>
        </w:trPr>
        <w:tc>
          <w:tcPr>
            <w:tcW w:w="4536" w:type="dxa"/>
            <w:shd w:val="clear" w:color="auto" w:fill="auto"/>
            <w:vAlign w:val="center"/>
            <w:hideMark/>
          </w:tcPr>
          <w:p w14:paraId="772D6379" w14:textId="77777777" w:rsidR="00443C0F" w:rsidRPr="006D18C5" w:rsidRDefault="00443C0F" w:rsidP="00443C0F">
            <w:pPr>
              <w:spacing w:line="360" w:lineRule="auto"/>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Total expenditure</w:t>
            </w:r>
          </w:p>
        </w:tc>
        <w:tc>
          <w:tcPr>
            <w:tcW w:w="1586" w:type="dxa"/>
            <w:shd w:val="clear" w:color="auto" w:fill="auto"/>
            <w:vAlign w:val="center"/>
          </w:tcPr>
          <w:p w14:paraId="234E2082" w14:textId="77777777" w:rsidR="00443C0F" w:rsidRPr="006D18C5" w:rsidRDefault="00443C0F" w:rsidP="00443C0F">
            <w:pPr>
              <w:spacing w:line="360" w:lineRule="auto"/>
              <w:jc w:val="right"/>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(114 196 671)</w:t>
            </w:r>
          </w:p>
        </w:tc>
        <w:tc>
          <w:tcPr>
            <w:tcW w:w="1586" w:type="dxa"/>
            <w:shd w:val="clear" w:color="auto" w:fill="auto"/>
            <w:vAlign w:val="center"/>
          </w:tcPr>
          <w:p w14:paraId="0741D5E6" w14:textId="77777777" w:rsidR="00443C0F" w:rsidRPr="006D18C5" w:rsidRDefault="00443C0F" w:rsidP="00443C0F">
            <w:pPr>
              <w:spacing w:line="360" w:lineRule="auto"/>
              <w:jc w:val="right"/>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(120 833 723)</w:t>
            </w:r>
          </w:p>
        </w:tc>
        <w:tc>
          <w:tcPr>
            <w:tcW w:w="1586" w:type="dxa"/>
            <w:shd w:val="clear" w:color="auto" w:fill="auto"/>
            <w:vAlign w:val="center"/>
          </w:tcPr>
          <w:p w14:paraId="03B794A7" w14:textId="77777777" w:rsidR="00443C0F" w:rsidRPr="006D18C5" w:rsidRDefault="00443C0F" w:rsidP="00443C0F">
            <w:pPr>
              <w:spacing w:line="360" w:lineRule="auto"/>
              <w:jc w:val="right"/>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(118 898 987)</w:t>
            </w:r>
          </w:p>
        </w:tc>
      </w:tr>
      <w:tr w:rsidR="00443C0F" w:rsidRPr="00586CCF" w14:paraId="0346F0AF" w14:textId="77777777" w:rsidTr="00443C0F">
        <w:trPr>
          <w:trHeight w:val="20"/>
        </w:trPr>
        <w:tc>
          <w:tcPr>
            <w:tcW w:w="4536" w:type="dxa"/>
            <w:shd w:val="clear" w:color="auto" w:fill="auto"/>
            <w:vAlign w:val="center"/>
            <w:hideMark/>
          </w:tcPr>
          <w:p w14:paraId="6EECF894" w14:textId="77777777" w:rsidR="00443C0F" w:rsidRPr="006D18C5" w:rsidRDefault="00443C0F" w:rsidP="00443C0F">
            <w:pPr>
              <w:spacing w:line="360" w:lineRule="auto"/>
              <w:jc w:val="lef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Operating surplus/(deficit)</w:t>
            </w:r>
          </w:p>
        </w:tc>
        <w:tc>
          <w:tcPr>
            <w:tcW w:w="1586" w:type="dxa"/>
            <w:shd w:val="clear" w:color="auto" w:fill="auto"/>
            <w:vAlign w:val="center"/>
          </w:tcPr>
          <w:p w14:paraId="14093F14" w14:textId="77777777" w:rsidR="00443C0F" w:rsidRPr="006D18C5" w:rsidRDefault="00443C0F" w:rsidP="00443C0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(6 798 397)</w:t>
            </w:r>
          </w:p>
        </w:tc>
        <w:tc>
          <w:tcPr>
            <w:tcW w:w="1586" w:type="dxa"/>
            <w:shd w:val="clear" w:color="auto" w:fill="auto"/>
            <w:vAlign w:val="center"/>
          </w:tcPr>
          <w:p w14:paraId="41C598BD" w14:textId="77777777" w:rsidR="00443C0F" w:rsidRPr="006D18C5" w:rsidRDefault="00443C0F" w:rsidP="00443C0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6 349 883</w:t>
            </w:r>
          </w:p>
        </w:tc>
        <w:tc>
          <w:tcPr>
            <w:tcW w:w="1586" w:type="dxa"/>
            <w:shd w:val="clear" w:color="auto" w:fill="auto"/>
            <w:vAlign w:val="center"/>
          </w:tcPr>
          <w:p w14:paraId="54816685" w14:textId="77777777" w:rsidR="00443C0F" w:rsidRPr="006D18C5" w:rsidRDefault="00443C0F" w:rsidP="00443C0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1 507 082</w:t>
            </w:r>
          </w:p>
        </w:tc>
      </w:tr>
    </w:tbl>
    <w:p w14:paraId="538C206C" w14:textId="77777777" w:rsidR="00443C0F" w:rsidRPr="00586CCF" w:rsidRDefault="00443C0F" w:rsidP="00443C0F">
      <w:pPr>
        <w:spacing w:line="360" w:lineRule="auto"/>
        <w:rPr>
          <w:rFonts w:ascii="Times New Roman" w:hAnsi="Times New Roman" w:cs="Times New Roman"/>
          <w:sz w:val="24"/>
          <w:szCs w:val="24"/>
        </w:rPr>
      </w:pPr>
      <w:r w:rsidRPr="00AB63A9">
        <w:rPr>
          <w:rFonts w:ascii="Times New Roman" w:hAnsi="Times New Roman" w:cs="Times New Roman"/>
          <w:sz w:val="24"/>
          <w:szCs w:val="24"/>
        </w:rPr>
        <w:t>Source:</w:t>
      </w:r>
      <w:r w:rsidRPr="00586CCF">
        <w:rPr>
          <w:rFonts w:ascii="Times New Roman" w:hAnsi="Times New Roman" w:cs="Times New Roman"/>
          <w:sz w:val="24"/>
          <w:szCs w:val="24"/>
        </w:rPr>
        <w:t xml:space="preserve"> N</w:t>
      </w:r>
      <w:r w:rsidR="00894911">
        <w:rPr>
          <w:rFonts w:ascii="Times New Roman" w:hAnsi="Times New Roman" w:cs="Times New Roman"/>
          <w:sz w:val="24"/>
          <w:szCs w:val="24"/>
        </w:rPr>
        <w:t xml:space="preserve">ational </w:t>
      </w:r>
      <w:r w:rsidRPr="00586CCF">
        <w:rPr>
          <w:rFonts w:ascii="Times New Roman" w:hAnsi="Times New Roman" w:cs="Times New Roman"/>
          <w:sz w:val="24"/>
          <w:szCs w:val="24"/>
        </w:rPr>
        <w:t>C</w:t>
      </w:r>
      <w:r w:rsidR="00894911">
        <w:rPr>
          <w:rFonts w:ascii="Times New Roman" w:hAnsi="Times New Roman" w:cs="Times New Roman"/>
          <w:sz w:val="24"/>
          <w:szCs w:val="24"/>
        </w:rPr>
        <w:t xml:space="preserve">redit </w:t>
      </w:r>
      <w:r w:rsidRPr="00586CCF">
        <w:rPr>
          <w:rFonts w:ascii="Times New Roman" w:hAnsi="Times New Roman" w:cs="Times New Roman"/>
          <w:sz w:val="24"/>
          <w:szCs w:val="24"/>
        </w:rPr>
        <w:t>R</w:t>
      </w:r>
      <w:r w:rsidR="00894911">
        <w:rPr>
          <w:rFonts w:ascii="Times New Roman" w:hAnsi="Times New Roman" w:cs="Times New Roman"/>
          <w:sz w:val="24"/>
          <w:szCs w:val="24"/>
        </w:rPr>
        <w:t>egulator</w:t>
      </w:r>
      <w:r w:rsidRPr="00586CCF">
        <w:rPr>
          <w:rFonts w:ascii="Times New Roman" w:hAnsi="Times New Roman" w:cs="Times New Roman"/>
          <w:sz w:val="24"/>
          <w:szCs w:val="24"/>
        </w:rPr>
        <w:t xml:space="preserve"> (2017</w:t>
      </w:r>
      <w:r w:rsidR="00894911">
        <w:rPr>
          <w:rFonts w:ascii="Times New Roman" w:hAnsi="Times New Roman" w:cs="Times New Roman"/>
          <w:sz w:val="24"/>
          <w:szCs w:val="24"/>
        </w:rPr>
        <w:t>a</w:t>
      </w:r>
      <w:r w:rsidRPr="00586CCF">
        <w:rPr>
          <w:rFonts w:ascii="Times New Roman" w:hAnsi="Times New Roman" w:cs="Times New Roman"/>
          <w:sz w:val="24"/>
          <w:szCs w:val="24"/>
        </w:rPr>
        <w:t>)</w:t>
      </w:r>
    </w:p>
    <w:p w14:paraId="41C4A794" w14:textId="77777777" w:rsidR="00443C0F" w:rsidRPr="00586CCF" w:rsidRDefault="00443C0F" w:rsidP="00443C0F">
      <w:pPr>
        <w:spacing w:line="360" w:lineRule="auto"/>
        <w:rPr>
          <w:rFonts w:ascii="Times New Roman" w:hAnsi="Times New Roman" w:cs="Times New Roman"/>
          <w:sz w:val="24"/>
          <w:szCs w:val="24"/>
          <w:highlight w:val="yellow"/>
        </w:rPr>
      </w:pPr>
    </w:p>
    <w:p w14:paraId="305DA92A"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Other sources of income include other revenue from non-exchange transactions of R15</w:t>
      </w:r>
      <w:r>
        <w:rPr>
          <w:rFonts w:ascii="Times New Roman" w:hAnsi="Times New Roman" w:cs="Times New Roman"/>
          <w:sz w:val="24"/>
          <w:szCs w:val="24"/>
        </w:rPr>
        <w:t> </w:t>
      </w:r>
      <w:r w:rsidRPr="00586CCF">
        <w:rPr>
          <w:rFonts w:ascii="Times New Roman" w:hAnsi="Times New Roman" w:cs="Times New Roman"/>
          <w:sz w:val="24"/>
          <w:szCs w:val="24"/>
        </w:rPr>
        <w:t xml:space="preserve">million mainly from </w:t>
      </w:r>
      <w:r w:rsidR="0087013D">
        <w:rPr>
          <w:rFonts w:ascii="Times New Roman" w:hAnsi="Times New Roman" w:cs="Times New Roman"/>
          <w:sz w:val="24"/>
          <w:szCs w:val="24"/>
        </w:rPr>
        <w:t>PDAs</w:t>
      </w:r>
      <w:r w:rsidRPr="00586CCF">
        <w:rPr>
          <w:rFonts w:ascii="Times New Roman" w:hAnsi="Times New Roman" w:cs="Times New Roman"/>
          <w:sz w:val="24"/>
          <w:szCs w:val="24"/>
        </w:rPr>
        <w:t xml:space="preserve"> in terms of their approved interest utilisation policy (97.3% of other revenue received) and prescribed income in terms of the Prescription Act (2.7% of other revenue received), interest income of R1.7 million and other revenue from exchange transactions of R99 777 in terms of skills development levy recovered, reimbursements and proceeds from an insurance claim.</w:t>
      </w:r>
    </w:p>
    <w:p w14:paraId="142F8647" w14:textId="77777777" w:rsidR="00443C0F" w:rsidRPr="00586CCF" w:rsidRDefault="00443C0F" w:rsidP="00443C0F">
      <w:pPr>
        <w:spacing w:line="360" w:lineRule="auto"/>
        <w:rPr>
          <w:rFonts w:ascii="Times New Roman" w:hAnsi="Times New Roman" w:cs="Times New Roman"/>
          <w:sz w:val="24"/>
          <w:szCs w:val="24"/>
          <w:highlight w:val="yellow"/>
        </w:rPr>
      </w:pPr>
    </w:p>
    <w:p w14:paraId="7E3F1959"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Expenditure for the financial year was projected at R120.8 million while actual expenditure was R1.9 million (1.6%) less than budgeted. The main expenditure was on personnel costs (R70.1 million or 59% of total expenditure). However, </w:t>
      </w:r>
      <w:r>
        <w:rPr>
          <w:rFonts w:ascii="Times New Roman" w:hAnsi="Times New Roman" w:cs="Times New Roman"/>
          <w:sz w:val="24"/>
          <w:szCs w:val="24"/>
        </w:rPr>
        <w:t>this</w:t>
      </w:r>
      <w:r w:rsidRPr="00586CCF">
        <w:rPr>
          <w:rFonts w:ascii="Times New Roman" w:hAnsi="Times New Roman" w:cs="Times New Roman"/>
          <w:sz w:val="24"/>
          <w:szCs w:val="24"/>
        </w:rPr>
        <w:t xml:space="preserve"> was underspent by R6.4 million due to resignations during the year. Personnel expenditure also declined by 3% since the 2015/16 financial year with 13 resignations during the financial year under review. </w:t>
      </w:r>
    </w:p>
    <w:p w14:paraId="55BC5714" w14:textId="77777777" w:rsidR="00443C0F" w:rsidRPr="00586CCF" w:rsidRDefault="00443C0F" w:rsidP="00443C0F">
      <w:pPr>
        <w:spacing w:line="360" w:lineRule="auto"/>
        <w:rPr>
          <w:rFonts w:ascii="Times New Roman" w:hAnsi="Times New Roman" w:cs="Times New Roman"/>
          <w:sz w:val="24"/>
          <w:szCs w:val="24"/>
        </w:rPr>
      </w:pPr>
    </w:p>
    <w:p w14:paraId="35657BE6"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Administrative expenses were R23.3 million (19.6% of total expenditure), which increased by 26.8% since the 2015/16 financial year. This increase was primarily due to an increase in general expenses of 44.5% compared to the 2015/16 financial year, in particular travel and accommodation increased by 100.3%, while bad debts increased by 77.5%, bank charges by 24.9% and audit and risk management fees by 23.7%. Furthermore, expenditure on information technology increased by 58%, followed by recruitment costs (42%) and communication costs (28.2%). </w:t>
      </w:r>
    </w:p>
    <w:p w14:paraId="114EF409" w14:textId="77777777" w:rsidR="00443C0F" w:rsidRPr="00586CCF" w:rsidRDefault="00443C0F" w:rsidP="00443C0F">
      <w:pPr>
        <w:spacing w:line="360" w:lineRule="auto"/>
        <w:rPr>
          <w:rFonts w:ascii="Times New Roman" w:hAnsi="Times New Roman" w:cs="Times New Roman"/>
          <w:sz w:val="24"/>
          <w:szCs w:val="24"/>
        </w:rPr>
      </w:pPr>
    </w:p>
    <w:p w14:paraId="1CF4A9B4"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In terms of operating costs, the NCR spent R20.1 million, 11.8% more than the budgeted allocation.  However, this was 17.2% more than the prior financial year. The largest proportion of operating expense was for professional fees (56.7% of operating expenses), which showed a savings of R1.4 million for the 2016/17 financial year due to on-going legal processes. This was a 29.9% increase since the 2015/16 financial year. The second largest proportion was spent on consumer education (33.5% of operating expenses), which increased by 32.6% since the 2015/16 financial year.</w:t>
      </w:r>
    </w:p>
    <w:p w14:paraId="711F2D36" w14:textId="77777777" w:rsidR="00443C0F" w:rsidRPr="00586CCF" w:rsidRDefault="00443C0F" w:rsidP="00443C0F">
      <w:pPr>
        <w:pStyle w:val="Heading2"/>
        <w:spacing w:before="0" w:line="360" w:lineRule="auto"/>
        <w:rPr>
          <w:rFonts w:ascii="Times New Roman" w:eastAsiaTheme="minorHAnsi" w:hAnsi="Times New Roman" w:cs="Times New Roman"/>
          <w:b w:val="0"/>
          <w:bCs w:val="0"/>
          <w:color w:val="auto"/>
          <w:sz w:val="24"/>
          <w:szCs w:val="24"/>
        </w:rPr>
      </w:pPr>
    </w:p>
    <w:p w14:paraId="5416741E" w14:textId="77777777" w:rsidR="00443C0F" w:rsidRPr="004265FC" w:rsidRDefault="00443C0F"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Auditor-General’s Report</w:t>
      </w:r>
    </w:p>
    <w:p w14:paraId="7C717458" w14:textId="77777777" w:rsidR="00443C0F" w:rsidRPr="00586CCF" w:rsidRDefault="00443C0F" w:rsidP="00443C0F">
      <w:pPr>
        <w:spacing w:line="360" w:lineRule="auto"/>
        <w:rPr>
          <w:rFonts w:ascii="Times New Roman" w:hAnsi="Times New Roman" w:cs="Times New Roman"/>
          <w:sz w:val="24"/>
          <w:szCs w:val="24"/>
        </w:rPr>
      </w:pPr>
    </w:p>
    <w:p w14:paraId="27893ED1"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The NCR received an unqualified opinion with findings. The Auditor-General’s Office made the following findings:</w:t>
      </w:r>
    </w:p>
    <w:p w14:paraId="573BB2AA" w14:textId="77777777" w:rsidR="00443C0F" w:rsidRPr="00586CCF" w:rsidRDefault="00443C0F" w:rsidP="00443C0F">
      <w:pPr>
        <w:spacing w:line="360" w:lineRule="auto"/>
        <w:rPr>
          <w:rFonts w:ascii="Times New Roman" w:hAnsi="Times New Roman" w:cs="Times New Roman"/>
          <w:sz w:val="24"/>
          <w:szCs w:val="24"/>
        </w:rPr>
      </w:pPr>
    </w:p>
    <w:p w14:paraId="2841FC53" w14:textId="77777777" w:rsidR="00443C0F" w:rsidRPr="00586CCF" w:rsidRDefault="00443C0F" w:rsidP="009D5D24">
      <w:pPr>
        <w:pStyle w:val="ListParagraph"/>
        <w:numPr>
          <w:ilvl w:val="0"/>
          <w:numId w:val="21"/>
        </w:numPr>
        <w:spacing w:line="360" w:lineRule="auto"/>
        <w:contextualSpacing w:val="0"/>
        <w:jc w:val="left"/>
        <w:rPr>
          <w:rFonts w:ascii="Times New Roman" w:hAnsi="Times New Roman" w:cs="Times New Roman"/>
          <w:sz w:val="24"/>
          <w:szCs w:val="24"/>
        </w:rPr>
      </w:pPr>
      <w:r w:rsidRPr="00586CCF">
        <w:rPr>
          <w:rFonts w:ascii="Times New Roman" w:hAnsi="Times New Roman" w:cs="Times New Roman"/>
          <w:sz w:val="24"/>
          <w:szCs w:val="24"/>
        </w:rPr>
        <w:t>Management had not exercised sufficient oversight regarding financial reporting, in relation to the misstatements identified in the financial statements.</w:t>
      </w:r>
    </w:p>
    <w:p w14:paraId="0679CA75" w14:textId="77777777" w:rsidR="00443C0F" w:rsidRPr="00586CCF" w:rsidRDefault="00443C0F" w:rsidP="009D5D24">
      <w:pPr>
        <w:pStyle w:val="ListParagraph"/>
        <w:numPr>
          <w:ilvl w:val="0"/>
          <w:numId w:val="21"/>
        </w:numPr>
        <w:spacing w:line="360" w:lineRule="auto"/>
        <w:contextualSpacing w:val="0"/>
        <w:jc w:val="left"/>
        <w:rPr>
          <w:rFonts w:ascii="Times New Roman" w:hAnsi="Times New Roman" w:cs="Times New Roman"/>
          <w:sz w:val="24"/>
          <w:szCs w:val="24"/>
        </w:rPr>
      </w:pPr>
      <w:r w:rsidRPr="00586CCF">
        <w:rPr>
          <w:rFonts w:ascii="Times New Roman" w:hAnsi="Times New Roman" w:cs="Times New Roman"/>
          <w:sz w:val="24"/>
          <w:szCs w:val="24"/>
        </w:rPr>
        <w:t>Management had not prepared accurate and complete financial statements supported by reliable information in relation to the misstatements identified in the financial statements.</w:t>
      </w:r>
    </w:p>
    <w:p w14:paraId="095896DD" w14:textId="77777777" w:rsidR="00443C0F" w:rsidRPr="00586CCF" w:rsidRDefault="00443C0F" w:rsidP="00443C0F">
      <w:pPr>
        <w:spacing w:line="360" w:lineRule="auto"/>
        <w:rPr>
          <w:rFonts w:ascii="Times New Roman" w:hAnsi="Times New Roman" w:cs="Times New Roman"/>
          <w:sz w:val="24"/>
          <w:szCs w:val="24"/>
        </w:rPr>
      </w:pPr>
    </w:p>
    <w:p w14:paraId="26A06425"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However, the material misstatements of receivables from non-exchange and disclosure on payables from non-exchange, identified by the auditors in the submitted financial statement were corrected, which resulted in the financial statements receiving an unqualified audit opinion. </w:t>
      </w:r>
    </w:p>
    <w:p w14:paraId="722E9A55" w14:textId="77777777" w:rsidR="009E4457" w:rsidRPr="00586CCF" w:rsidRDefault="009E4457" w:rsidP="00443C0F">
      <w:pPr>
        <w:spacing w:line="360" w:lineRule="auto"/>
        <w:rPr>
          <w:rFonts w:ascii="Times New Roman" w:hAnsi="Times New Roman" w:cs="Times New Roman"/>
          <w:sz w:val="24"/>
          <w:szCs w:val="24"/>
        </w:rPr>
      </w:pPr>
    </w:p>
    <w:p w14:paraId="00E3A63E" w14:textId="77777777" w:rsidR="00894911" w:rsidRDefault="00894911">
      <w:pPr>
        <w:rPr>
          <w:rFonts w:ascii="Times New Roman" w:hAnsi="Times New Roman" w:cs="Times New Roman"/>
          <w:b/>
          <w:sz w:val="24"/>
          <w:szCs w:val="24"/>
        </w:rPr>
      </w:pPr>
      <w:r>
        <w:br w:type="page"/>
      </w:r>
    </w:p>
    <w:p w14:paraId="386D59A3" w14:textId="77777777" w:rsidR="00443C0F" w:rsidRPr="00586CCF" w:rsidRDefault="00443C0F" w:rsidP="00EF0C57">
      <w:pPr>
        <w:pStyle w:val="Heading22"/>
        <w:numPr>
          <w:ilvl w:val="1"/>
          <w:numId w:val="31"/>
        </w:numPr>
      </w:pPr>
      <w:r w:rsidRPr="00586CCF">
        <w:t xml:space="preserve">Financial and non-financial performance as at </w:t>
      </w:r>
      <w:r>
        <w:t xml:space="preserve">30 </w:t>
      </w:r>
      <w:r w:rsidRPr="00586CCF">
        <w:t>June 2017</w:t>
      </w:r>
      <w:r w:rsidRPr="008B1D51">
        <w:rPr>
          <w:vertAlign w:val="superscript"/>
        </w:rPr>
        <w:footnoteReference w:id="9"/>
      </w:r>
    </w:p>
    <w:p w14:paraId="56149622" w14:textId="77777777" w:rsidR="00443C0F" w:rsidRPr="00586CCF" w:rsidRDefault="00443C0F" w:rsidP="00443C0F">
      <w:pPr>
        <w:pStyle w:val="Heading33"/>
        <w:numPr>
          <w:ilvl w:val="0"/>
          <w:numId w:val="0"/>
        </w:numPr>
        <w:ind w:left="720" w:hanging="720"/>
        <w:rPr>
          <w:rFonts w:ascii="Times New Roman" w:hAnsi="Times New Roman" w:cs="Times New Roman"/>
          <w:sz w:val="24"/>
          <w:lang w:val="en-ZA"/>
        </w:rPr>
      </w:pPr>
    </w:p>
    <w:p w14:paraId="6ED08C70" w14:textId="77777777" w:rsidR="00443C0F" w:rsidRPr="004265FC" w:rsidRDefault="00443C0F" w:rsidP="004265FC">
      <w:pPr>
        <w:pStyle w:val="Heading33"/>
        <w:numPr>
          <w:ilvl w:val="2"/>
          <w:numId w:val="31"/>
        </w:numPr>
        <w:spacing w:line="300" w:lineRule="exact"/>
        <w:rPr>
          <w:rFonts w:ascii="Times New Roman" w:hAnsi="Times New Roman" w:cs="Times New Roman"/>
          <w:sz w:val="24"/>
        </w:rPr>
      </w:pPr>
      <w:r w:rsidRPr="004265FC">
        <w:rPr>
          <w:rFonts w:ascii="Times New Roman" w:hAnsi="Times New Roman" w:cs="Times New Roman"/>
          <w:sz w:val="24"/>
        </w:rPr>
        <w:t>Non-financial Performance</w:t>
      </w:r>
    </w:p>
    <w:p w14:paraId="51A888B7" w14:textId="77777777" w:rsidR="00443C0F" w:rsidRPr="00586CCF" w:rsidRDefault="00443C0F" w:rsidP="00443C0F">
      <w:pPr>
        <w:pStyle w:val="Heading33"/>
        <w:numPr>
          <w:ilvl w:val="0"/>
          <w:numId w:val="0"/>
        </w:numPr>
        <w:rPr>
          <w:rFonts w:ascii="Times New Roman" w:hAnsi="Times New Roman" w:cs="Times New Roman"/>
          <w:b w:val="0"/>
          <w:sz w:val="24"/>
          <w:lang w:val="en-ZA"/>
        </w:rPr>
      </w:pPr>
    </w:p>
    <w:p w14:paraId="4991C133" w14:textId="77777777" w:rsidR="00443C0F" w:rsidRPr="00586CCF" w:rsidRDefault="00443C0F" w:rsidP="00443C0F">
      <w:pPr>
        <w:pStyle w:val="Heading33"/>
        <w:numPr>
          <w:ilvl w:val="0"/>
          <w:numId w:val="0"/>
        </w:numPr>
        <w:rPr>
          <w:rFonts w:ascii="Times New Roman" w:hAnsi="Times New Roman" w:cs="Times New Roman"/>
          <w:b w:val="0"/>
          <w:sz w:val="24"/>
          <w:lang w:val="en-ZA"/>
        </w:rPr>
      </w:pPr>
      <w:r w:rsidRPr="00586CCF">
        <w:rPr>
          <w:rFonts w:ascii="Times New Roman" w:hAnsi="Times New Roman" w:cs="Times New Roman"/>
          <w:b w:val="0"/>
          <w:sz w:val="24"/>
          <w:lang w:val="en-ZA"/>
        </w:rPr>
        <w:t xml:space="preserve">The NCR had 13 performance targets for the quarter, all of which were achieved. </w:t>
      </w:r>
      <w:r>
        <w:rPr>
          <w:rFonts w:ascii="Times New Roman" w:hAnsi="Times New Roman" w:cs="Times New Roman"/>
          <w:b w:val="0"/>
          <w:sz w:val="24"/>
          <w:lang w:val="en-ZA"/>
        </w:rPr>
        <w:t>It</w:t>
      </w:r>
      <w:r w:rsidRPr="00586CCF">
        <w:rPr>
          <w:rFonts w:ascii="Times New Roman" w:hAnsi="Times New Roman" w:cs="Times New Roman"/>
          <w:b w:val="0"/>
          <w:sz w:val="24"/>
          <w:lang w:val="en-ZA"/>
        </w:rPr>
        <w:t xml:space="preserve"> continued to perform well with most of its performance targets for the quarter exceeded. The first quarter report further show</w:t>
      </w:r>
      <w:r>
        <w:rPr>
          <w:rFonts w:ascii="Times New Roman" w:hAnsi="Times New Roman" w:cs="Times New Roman"/>
          <w:b w:val="0"/>
          <w:sz w:val="24"/>
          <w:lang w:val="en-ZA"/>
        </w:rPr>
        <w:t>ed</w:t>
      </w:r>
      <w:r w:rsidRPr="00586CCF">
        <w:rPr>
          <w:rFonts w:ascii="Times New Roman" w:hAnsi="Times New Roman" w:cs="Times New Roman"/>
          <w:b w:val="0"/>
          <w:sz w:val="24"/>
          <w:lang w:val="en-ZA"/>
        </w:rPr>
        <w:t xml:space="preserve"> that issue</w:t>
      </w:r>
      <w:r>
        <w:rPr>
          <w:rFonts w:ascii="Times New Roman" w:hAnsi="Times New Roman" w:cs="Times New Roman"/>
          <w:b w:val="0"/>
          <w:sz w:val="24"/>
          <w:lang w:val="en-ZA"/>
        </w:rPr>
        <w:t>s</w:t>
      </w:r>
      <w:r w:rsidRPr="00586CCF">
        <w:rPr>
          <w:rFonts w:ascii="Times New Roman" w:hAnsi="Times New Roman" w:cs="Times New Roman"/>
          <w:b w:val="0"/>
          <w:sz w:val="24"/>
          <w:lang w:val="en-ZA"/>
        </w:rPr>
        <w:t xml:space="preserve"> identified by the </w:t>
      </w:r>
      <w:r w:rsidR="003100D1">
        <w:rPr>
          <w:rFonts w:ascii="Times New Roman" w:hAnsi="Times New Roman" w:cs="Times New Roman"/>
          <w:b w:val="0"/>
          <w:sz w:val="24"/>
          <w:lang w:val="en-ZA"/>
        </w:rPr>
        <w:t>Auditor-General</w:t>
      </w:r>
      <w:r w:rsidRPr="00586CCF">
        <w:rPr>
          <w:rFonts w:ascii="Times New Roman" w:hAnsi="Times New Roman" w:cs="Times New Roman"/>
          <w:b w:val="0"/>
          <w:sz w:val="24"/>
          <w:lang w:val="en-ZA"/>
        </w:rPr>
        <w:t xml:space="preserve"> as challenges </w:t>
      </w:r>
      <w:r>
        <w:rPr>
          <w:rFonts w:ascii="Times New Roman" w:hAnsi="Times New Roman" w:cs="Times New Roman"/>
          <w:b w:val="0"/>
          <w:sz w:val="24"/>
          <w:lang w:val="en-ZA"/>
        </w:rPr>
        <w:t>we</w:t>
      </w:r>
      <w:r w:rsidRPr="00586CCF">
        <w:rPr>
          <w:rFonts w:ascii="Times New Roman" w:hAnsi="Times New Roman" w:cs="Times New Roman"/>
          <w:b w:val="0"/>
          <w:sz w:val="24"/>
          <w:lang w:val="en-ZA"/>
        </w:rPr>
        <w:t>re being addressed (outlined in the risk register).</w:t>
      </w:r>
    </w:p>
    <w:p w14:paraId="77ADB0DE" w14:textId="77777777" w:rsidR="00443C0F" w:rsidRPr="00586CCF" w:rsidRDefault="00443C0F" w:rsidP="00443C0F">
      <w:pPr>
        <w:pStyle w:val="Heading33"/>
        <w:numPr>
          <w:ilvl w:val="0"/>
          <w:numId w:val="0"/>
        </w:numPr>
        <w:rPr>
          <w:rFonts w:ascii="Times New Roman" w:hAnsi="Times New Roman" w:cs="Times New Roman"/>
          <w:sz w:val="24"/>
          <w:lang w:val="en-ZA"/>
        </w:rPr>
      </w:pPr>
    </w:p>
    <w:p w14:paraId="5D6731B4" w14:textId="77777777" w:rsidR="00443C0F" w:rsidRPr="004265FC" w:rsidRDefault="00443C0F" w:rsidP="004265FC">
      <w:pPr>
        <w:pStyle w:val="Heading33"/>
        <w:numPr>
          <w:ilvl w:val="2"/>
          <w:numId w:val="31"/>
        </w:numPr>
        <w:spacing w:line="300" w:lineRule="exact"/>
        <w:rPr>
          <w:rFonts w:ascii="Times New Roman" w:hAnsi="Times New Roman" w:cs="Times New Roman"/>
          <w:sz w:val="24"/>
        </w:rPr>
      </w:pPr>
      <w:r w:rsidRPr="004265FC">
        <w:rPr>
          <w:rFonts w:ascii="Times New Roman" w:hAnsi="Times New Roman" w:cs="Times New Roman"/>
          <w:sz w:val="24"/>
        </w:rPr>
        <w:t>Financial performance</w:t>
      </w:r>
    </w:p>
    <w:p w14:paraId="5AEAA65F" w14:textId="77777777" w:rsidR="00443C0F" w:rsidRPr="00586CCF" w:rsidRDefault="00443C0F" w:rsidP="00443C0F">
      <w:pPr>
        <w:spacing w:line="360" w:lineRule="auto"/>
        <w:rPr>
          <w:rFonts w:ascii="Times New Roman" w:hAnsi="Times New Roman" w:cs="Times New Roman"/>
          <w:sz w:val="24"/>
          <w:szCs w:val="24"/>
        </w:rPr>
      </w:pPr>
    </w:p>
    <w:p w14:paraId="76FD7E7F" w14:textId="77777777" w:rsidR="00443C0F" w:rsidRPr="00586CCF" w:rsidRDefault="00443C0F" w:rsidP="00443C0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 xml:space="preserve">For the first quarter of the 2017/18 financial year, </w:t>
      </w:r>
      <w:r>
        <w:rPr>
          <w:rFonts w:ascii="Times New Roman" w:eastAsia="Calibri" w:hAnsi="Times New Roman" w:cs="Times New Roman"/>
          <w:sz w:val="24"/>
          <w:szCs w:val="24"/>
        </w:rPr>
        <w:t>it</w:t>
      </w:r>
      <w:r w:rsidRPr="00586CCF">
        <w:rPr>
          <w:rFonts w:ascii="Times New Roman" w:eastAsia="Calibri" w:hAnsi="Times New Roman" w:cs="Times New Roman"/>
          <w:sz w:val="24"/>
          <w:szCs w:val="24"/>
        </w:rPr>
        <w:t>s budgeted income was approximately R49.5 million; however</w:t>
      </w:r>
      <w:r>
        <w:rPr>
          <w:rFonts w:ascii="Times New Roman" w:eastAsia="Calibri" w:hAnsi="Times New Roman" w:cs="Times New Roman"/>
          <w:sz w:val="24"/>
          <w:szCs w:val="24"/>
        </w:rPr>
        <w:t>,</w:t>
      </w:r>
      <w:r w:rsidRPr="00586CCF">
        <w:rPr>
          <w:rFonts w:ascii="Times New Roman" w:eastAsia="Calibri" w:hAnsi="Times New Roman" w:cs="Times New Roman"/>
          <w:sz w:val="24"/>
          <w:szCs w:val="24"/>
        </w:rPr>
        <w:t xml:space="preserve"> actual income was l</w:t>
      </w:r>
      <w:r>
        <w:rPr>
          <w:rFonts w:ascii="Times New Roman" w:eastAsia="Calibri" w:hAnsi="Times New Roman" w:cs="Times New Roman"/>
          <w:sz w:val="24"/>
          <w:szCs w:val="24"/>
        </w:rPr>
        <w:t>ower</w:t>
      </w:r>
      <w:r w:rsidRPr="00586CCF">
        <w:rPr>
          <w:rFonts w:ascii="Times New Roman" w:eastAsia="Calibri" w:hAnsi="Times New Roman" w:cs="Times New Roman"/>
          <w:sz w:val="24"/>
          <w:szCs w:val="24"/>
        </w:rPr>
        <w:t xml:space="preserve"> at R47.2 million. The funding through transfers from the DTI was the largest source of income at R43.8 million. The second largest share of budgeted income was to be acquired from fees from registrants amounting to R4.1 million. The actual income </w:t>
      </w:r>
      <w:r>
        <w:rPr>
          <w:rFonts w:ascii="Times New Roman" w:eastAsia="Calibri" w:hAnsi="Times New Roman" w:cs="Times New Roman"/>
          <w:sz w:val="24"/>
          <w:szCs w:val="24"/>
        </w:rPr>
        <w:t xml:space="preserve">from these fees </w:t>
      </w:r>
      <w:r w:rsidRPr="00586CCF">
        <w:rPr>
          <w:rFonts w:ascii="Times New Roman" w:eastAsia="Calibri" w:hAnsi="Times New Roman" w:cs="Times New Roman"/>
          <w:sz w:val="24"/>
          <w:szCs w:val="24"/>
        </w:rPr>
        <w:t>was 44.5% l</w:t>
      </w:r>
      <w:r>
        <w:rPr>
          <w:rFonts w:ascii="Times New Roman" w:eastAsia="Calibri" w:hAnsi="Times New Roman" w:cs="Times New Roman"/>
          <w:sz w:val="24"/>
          <w:szCs w:val="24"/>
        </w:rPr>
        <w:t>ower</w:t>
      </w:r>
      <w:r w:rsidRPr="00586CCF">
        <w:rPr>
          <w:rFonts w:ascii="Times New Roman" w:eastAsia="Calibri" w:hAnsi="Times New Roman" w:cs="Times New Roman"/>
          <w:sz w:val="24"/>
          <w:szCs w:val="24"/>
        </w:rPr>
        <w:t xml:space="preserve"> than the budgeted income Other income received was R1.1 million, 32.6</w:t>
      </w:r>
      <w:r>
        <w:rPr>
          <w:rFonts w:ascii="Times New Roman" w:eastAsia="Calibri" w:hAnsi="Times New Roman" w:cs="Times New Roman"/>
          <w:sz w:val="24"/>
          <w:szCs w:val="24"/>
        </w:rPr>
        <w:t>%</w:t>
      </w:r>
      <w:r w:rsidRPr="00586C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lower </w:t>
      </w:r>
      <w:r w:rsidRPr="00586CCF">
        <w:rPr>
          <w:rFonts w:ascii="Times New Roman" w:eastAsia="Calibri" w:hAnsi="Times New Roman" w:cs="Times New Roman"/>
          <w:sz w:val="24"/>
          <w:szCs w:val="24"/>
        </w:rPr>
        <w:t xml:space="preserve">than the budgeted amount of R1.6 million. </w:t>
      </w:r>
    </w:p>
    <w:p w14:paraId="75EAD53B" w14:textId="77777777" w:rsidR="00443C0F" w:rsidRPr="00586CCF" w:rsidRDefault="00443C0F" w:rsidP="00443C0F">
      <w:pPr>
        <w:spacing w:line="360" w:lineRule="auto"/>
        <w:rPr>
          <w:rFonts w:ascii="Times New Roman" w:eastAsia="Calibri" w:hAnsi="Times New Roman" w:cs="Times New Roman"/>
          <w:sz w:val="24"/>
          <w:szCs w:val="24"/>
        </w:rPr>
      </w:pPr>
    </w:p>
    <w:p w14:paraId="4D032574" w14:textId="77777777" w:rsidR="00443C0F" w:rsidRPr="00385FDC" w:rsidRDefault="00443C0F" w:rsidP="00443C0F">
      <w:pPr>
        <w:pStyle w:val="Heading33"/>
        <w:numPr>
          <w:ilvl w:val="0"/>
          <w:numId w:val="0"/>
        </w:numPr>
        <w:rPr>
          <w:rFonts w:ascii="Times New Roman" w:hAnsi="Times New Roman" w:cs="Times New Roman"/>
          <w:b w:val="0"/>
          <w:sz w:val="24"/>
          <w:lang w:val="en-ZA"/>
        </w:rPr>
      </w:pPr>
      <w:r w:rsidRPr="00385FDC">
        <w:rPr>
          <w:rFonts w:ascii="Times New Roman" w:hAnsi="Times New Roman" w:cs="Times New Roman"/>
          <w:b w:val="0"/>
          <w:sz w:val="24"/>
        </w:rPr>
        <w:t>Total expenditure was R27.1 million, 8.2</w:t>
      </w:r>
      <w:r>
        <w:rPr>
          <w:rFonts w:ascii="Times New Roman" w:hAnsi="Times New Roman" w:cs="Times New Roman"/>
          <w:b w:val="0"/>
          <w:sz w:val="24"/>
        </w:rPr>
        <w:t>%</w:t>
      </w:r>
      <w:r w:rsidRPr="00385FDC">
        <w:rPr>
          <w:rFonts w:ascii="Times New Roman" w:hAnsi="Times New Roman" w:cs="Times New Roman"/>
          <w:b w:val="0"/>
          <w:sz w:val="24"/>
        </w:rPr>
        <w:t xml:space="preserve"> below budgeted expenditure. The personnel costs accounted for 68.4</w:t>
      </w:r>
      <w:r>
        <w:rPr>
          <w:rFonts w:ascii="Times New Roman" w:hAnsi="Times New Roman" w:cs="Times New Roman"/>
          <w:b w:val="0"/>
          <w:sz w:val="24"/>
        </w:rPr>
        <w:t>%</w:t>
      </w:r>
      <w:r w:rsidRPr="00385FDC">
        <w:rPr>
          <w:rFonts w:ascii="Times New Roman" w:hAnsi="Times New Roman" w:cs="Times New Roman"/>
          <w:b w:val="0"/>
          <w:sz w:val="24"/>
        </w:rPr>
        <w:t xml:space="preserve"> of total quarterly expenditure. Programme costs was R2.8</w:t>
      </w:r>
      <w:r>
        <w:rPr>
          <w:rFonts w:ascii="Times New Roman" w:hAnsi="Times New Roman" w:cs="Times New Roman"/>
          <w:b w:val="0"/>
          <w:sz w:val="24"/>
        </w:rPr>
        <w:t> </w:t>
      </w:r>
      <w:r w:rsidRPr="00385FDC">
        <w:rPr>
          <w:rFonts w:ascii="Times New Roman" w:hAnsi="Times New Roman" w:cs="Times New Roman"/>
          <w:b w:val="0"/>
          <w:sz w:val="24"/>
        </w:rPr>
        <w:t>million, 38.2% below the budgeted amount. Expenditure on administrative costs was R5.7 million, 3.9% more than the budgeted amount</w:t>
      </w:r>
    </w:p>
    <w:p w14:paraId="0CC0B813" w14:textId="77777777" w:rsidR="00443C0F" w:rsidRPr="00586CCF" w:rsidRDefault="00443C0F" w:rsidP="00443C0F">
      <w:pPr>
        <w:pStyle w:val="Heading33"/>
        <w:numPr>
          <w:ilvl w:val="0"/>
          <w:numId w:val="0"/>
        </w:numPr>
        <w:ind w:left="720" w:hanging="720"/>
        <w:rPr>
          <w:rFonts w:ascii="Times New Roman" w:hAnsi="Times New Roman" w:cs="Times New Roman"/>
          <w:sz w:val="24"/>
          <w:lang w:val="en-ZA"/>
        </w:rPr>
      </w:pPr>
    </w:p>
    <w:p w14:paraId="586257B7" w14:textId="77777777" w:rsidR="00443C0F" w:rsidRPr="00586CCF" w:rsidRDefault="00443C0F" w:rsidP="00EF0C57">
      <w:pPr>
        <w:pStyle w:val="Heading22"/>
        <w:numPr>
          <w:ilvl w:val="1"/>
          <w:numId w:val="31"/>
        </w:numPr>
      </w:pPr>
      <w:r w:rsidRPr="00586CCF">
        <w:t>Key issues raised by the Committee</w:t>
      </w:r>
    </w:p>
    <w:p w14:paraId="4FCBE4C4" w14:textId="77777777" w:rsidR="00443C0F" w:rsidRDefault="00443C0F" w:rsidP="00443C0F">
      <w:pPr>
        <w:pStyle w:val="Heading33"/>
        <w:numPr>
          <w:ilvl w:val="0"/>
          <w:numId w:val="0"/>
        </w:numPr>
        <w:rPr>
          <w:rFonts w:ascii="Times New Roman" w:hAnsi="Times New Roman" w:cs="Times New Roman"/>
          <w:sz w:val="24"/>
          <w:lang w:val="en-ZA"/>
        </w:rPr>
      </w:pPr>
    </w:p>
    <w:p w14:paraId="5C141283"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following concerns were raised related to the performance of the </w:t>
      </w:r>
      <w:r>
        <w:rPr>
          <w:rFonts w:ascii="Times New Roman" w:hAnsi="Times New Roman" w:cs="Times New Roman"/>
          <w:sz w:val="24"/>
          <w:szCs w:val="24"/>
        </w:rPr>
        <w:t>N</w:t>
      </w:r>
      <w:r w:rsidRPr="00586CCF">
        <w:rPr>
          <w:rFonts w:ascii="Times New Roman" w:hAnsi="Times New Roman" w:cs="Times New Roman"/>
          <w:sz w:val="24"/>
          <w:szCs w:val="24"/>
        </w:rPr>
        <w:t>C</w:t>
      </w:r>
      <w:r>
        <w:rPr>
          <w:rFonts w:ascii="Times New Roman" w:hAnsi="Times New Roman" w:cs="Times New Roman"/>
          <w:sz w:val="24"/>
          <w:szCs w:val="24"/>
        </w:rPr>
        <w:t>R</w:t>
      </w:r>
      <w:r w:rsidRPr="00586CCF">
        <w:rPr>
          <w:rFonts w:ascii="Times New Roman" w:hAnsi="Times New Roman" w:cs="Times New Roman"/>
          <w:sz w:val="24"/>
          <w:szCs w:val="24"/>
        </w:rPr>
        <w:t xml:space="preserve"> during the Committee’s deliberations:</w:t>
      </w:r>
    </w:p>
    <w:p w14:paraId="0917073B" w14:textId="77777777" w:rsidR="00443C0F" w:rsidRPr="00586CCF" w:rsidRDefault="00443C0F" w:rsidP="00443C0F">
      <w:pPr>
        <w:pStyle w:val="Heading33"/>
        <w:numPr>
          <w:ilvl w:val="0"/>
          <w:numId w:val="0"/>
        </w:numPr>
        <w:rPr>
          <w:rFonts w:ascii="Times New Roman" w:hAnsi="Times New Roman" w:cs="Times New Roman"/>
          <w:sz w:val="24"/>
          <w:lang w:val="en-ZA"/>
        </w:rPr>
      </w:pPr>
    </w:p>
    <w:p w14:paraId="537D1B87" w14:textId="77777777" w:rsidR="008B1D51" w:rsidRDefault="00443C0F" w:rsidP="008B1D51">
      <w:pPr>
        <w:pStyle w:val="ListParagraph"/>
        <w:numPr>
          <w:ilvl w:val="2"/>
          <w:numId w:val="32"/>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Poor auditing performance:</w:t>
      </w:r>
      <w:r w:rsidRPr="008B1D51">
        <w:rPr>
          <w:rFonts w:ascii="Times New Roman" w:hAnsi="Times New Roman" w:cs="Times New Roman"/>
          <w:sz w:val="24"/>
          <w:szCs w:val="24"/>
        </w:rPr>
        <w:t xml:space="preserve"> The Committee noted the concerns raised by the Auditor-General about the poor auditing performance of the NCR. There had been a significant decline </w:t>
      </w:r>
      <w:r w:rsidR="009429D9" w:rsidRPr="008B1D51">
        <w:rPr>
          <w:rFonts w:ascii="Times New Roman" w:hAnsi="Times New Roman" w:cs="Times New Roman"/>
          <w:sz w:val="24"/>
          <w:szCs w:val="24"/>
        </w:rPr>
        <w:t>in the key control measures</w:t>
      </w:r>
      <w:r w:rsidRPr="008B1D51">
        <w:rPr>
          <w:rFonts w:ascii="Times New Roman" w:hAnsi="Times New Roman" w:cs="Times New Roman"/>
          <w:sz w:val="24"/>
          <w:szCs w:val="24"/>
        </w:rPr>
        <w:t xml:space="preserve"> which could lead to a qualified </w:t>
      </w:r>
      <w:r w:rsidR="009429D9" w:rsidRPr="008B1D51">
        <w:rPr>
          <w:rFonts w:ascii="Times New Roman" w:hAnsi="Times New Roman" w:cs="Times New Roman"/>
          <w:sz w:val="24"/>
          <w:szCs w:val="24"/>
        </w:rPr>
        <w:t>audit in future if the decline wa</w:t>
      </w:r>
      <w:r w:rsidRPr="008B1D51">
        <w:rPr>
          <w:rFonts w:ascii="Times New Roman" w:hAnsi="Times New Roman" w:cs="Times New Roman"/>
          <w:sz w:val="24"/>
          <w:szCs w:val="24"/>
        </w:rPr>
        <w:t xml:space="preserve">s not addressed. The Committee enquired whether the NCR had taken the necessary measures to address this, and if </w:t>
      </w:r>
      <w:r w:rsidR="009429D9" w:rsidRPr="008B1D51">
        <w:rPr>
          <w:rFonts w:ascii="Times New Roman" w:hAnsi="Times New Roman" w:cs="Times New Roman"/>
          <w:sz w:val="24"/>
          <w:szCs w:val="24"/>
        </w:rPr>
        <w:t xml:space="preserve">the </w:t>
      </w:r>
      <w:r w:rsidRPr="008B1D51">
        <w:rPr>
          <w:rFonts w:ascii="Times New Roman" w:hAnsi="Times New Roman" w:cs="Times New Roman"/>
          <w:sz w:val="24"/>
          <w:szCs w:val="24"/>
        </w:rPr>
        <w:t>DTI would consider taking steps against entities that had showed a significant decline in their auditing practices. The NCR informed the Committee that the concerns raised by the Auditor-General related to leadership and oversight responsibility. The A</w:t>
      </w:r>
      <w:r w:rsidR="009429D9" w:rsidRPr="008B1D51">
        <w:rPr>
          <w:rFonts w:ascii="Times New Roman" w:hAnsi="Times New Roman" w:cs="Times New Roman"/>
          <w:sz w:val="24"/>
          <w:szCs w:val="24"/>
        </w:rPr>
        <w:t>uditor-General alo raised a concern</w:t>
      </w:r>
      <w:r w:rsidRPr="008B1D51">
        <w:rPr>
          <w:rFonts w:ascii="Times New Roman" w:hAnsi="Times New Roman" w:cs="Times New Roman"/>
          <w:sz w:val="24"/>
          <w:szCs w:val="24"/>
        </w:rPr>
        <w:t xml:space="preserve"> around the methodology </w:t>
      </w:r>
      <w:r w:rsidR="009429D9" w:rsidRPr="008B1D51">
        <w:rPr>
          <w:rFonts w:ascii="Times New Roman" w:hAnsi="Times New Roman" w:cs="Times New Roman"/>
          <w:sz w:val="24"/>
          <w:szCs w:val="24"/>
        </w:rPr>
        <w:t xml:space="preserve">used </w:t>
      </w:r>
      <w:r w:rsidRPr="008B1D51">
        <w:rPr>
          <w:rFonts w:ascii="Times New Roman" w:hAnsi="Times New Roman" w:cs="Times New Roman"/>
          <w:sz w:val="24"/>
          <w:szCs w:val="24"/>
        </w:rPr>
        <w:t xml:space="preserve">with respect to </w:t>
      </w:r>
      <w:r w:rsidR="009429D9" w:rsidRPr="008B1D51">
        <w:rPr>
          <w:rFonts w:ascii="Times New Roman" w:hAnsi="Times New Roman" w:cs="Times New Roman"/>
          <w:sz w:val="24"/>
          <w:szCs w:val="24"/>
        </w:rPr>
        <w:t>non-exchange</w:t>
      </w:r>
      <w:r w:rsidRPr="008B1D51">
        <w:rPr>
          <w:rFonts w:ascii="Times New Roman" w:hAnsi="Times New Roman" w:cs="Times New Roman"/>
          <w:sz w:val="24"/>
          <w:szCs w:val="24"/>
        </w:rPr>
        <w:t xml:space="preserve"> transaction</w:t>
      </w:r>
      <w:r w:rsidR="009429D9" w:rsidRPr="008B1D51">
        <w:rPr>
          <w:rFonts w:ascii="Times New Roman" w:hAnsi="Times New Roman" w:cs="Times New Roman"/>
          <w:sz w:val="24"/>
          <w:szCs w:val="24"/>
        </w:rPr>
        <w:t>s</w:t>
      </w:r>
      <w:r w:rsidRPr="008B1D51">
        <w:rPr>
          <w:rFonts w:ascii="Times New Roman" w:hAnsi="Times New Roman" w:cs="Times New Roman"/>
          <w:sz w:val="24"/>
          <w:szCs w:val="24"/>
        </w:rPr>
        <w:t xml:space="preserve"> and whether </w:t>
      </w:r>
      <w:r w:rsidR="009429D9" w:rsidRPr="008B1D51">
        <w:rPr>
          <w:rFonts w:ascii="Times New Roman" w:hAnsi="Times New Roman" w:cs="Times New Roman"/>
          <w:sz w:val="24"/>
          <w:szCs w:val="24"/>
        </w:rPr>
        <w:t xml:space="preserve">the </w:t>
      </w:r>
      <w:r w:rsidRPr="008B1D51">
        <w:rPr>
          <w:rFonts w:ascii="Times New Roman" w:hAnsi="Times New Roman" w:cs="Times New Roman"/>
          <w:sz w:val="24"/>
          <w:szCs w:val="24"/>
        </w:rPr>
        <w:t>correct accounting principle was applied</w:t>
      </w:r>
      <w:r w:rsidR="009429D9" w:rsidRPr="008B1D51">
        <w:rPr>
          <w:rFonts w:ascii="Times New Roman" w:hAnsi="Times New Roman" w:cs="Times New Roman"/>
          <w:sz w:val="24"/>
          <w:szCs w:val="24"/>
        </w:rPr>
        <w:t xml:space="preserve">, namely </w:t>
      </w:r>
      <w:r w:rsidR="0087013D" w:rsidRPr="008B1D51">
        <w:rPr>
          <w:rFonts w:ascii="Times New Roman" w:hAnsi="Times New Roman" w:cs="Times New Roman"/>
          <w:sz w:val="24"/>
          <w:szCs w:val="24"/>
        </w:rPr>
        <w:t>Application of Generally Recognised Accounting Practice</w:t>
      </w:r>
      <w:r w:rsidR="0087013D" w:rsidRPr="008B1D51">
        <w:rPr>
          <w:rFonts w:ascii="Times New Roman" w:hAnsi="Times New Roman" w:cs="Times New Roman"/>
          <w:b/>
          <w:i/>
          <w:sz w:val="24"/>
          <w:szCs w:val="24"/>
        </w:rPr>
        <w:t xml:space="preserve"> </w:t>
      </w:r>
      <w:r w:rsidR="0087013D" w:rsidRPr="008B1D51">
        <w:rPr>
          <w:rFonts w:ascii="Times New Roman" w:hAnsi="Times New Roman" w:cs="Times New Roman"/>
          <w:sz w:val="24"/>
          <w:szCs w:val="24"/>
        </w:rPr>
        <w:t>(</w:t>
      </w:r>
      <w:r w:rsidR="009429D9" w:rsidRPr="008B1D51">
        <w:rPr>
          <w:rFonts w:ascii="Times New Roman" w:hAnsi="Times New Roman" w:cs="Times New Roman"/>
          <w:sz w:val="24"/>
          <w:szCs w:val="24"/>
        </w:rPr>
        <w:t>GRAP</w:t>
      </w:r>
      <w:r w:rsidR="008B1D51">
        <w:rPr>
          <w:rFonts w:ascii="Times New Roman" w:hAnsi="Times New Roman" w:cs="Times New Roman"/>
          <w:sz w:val="24"/>
          <w:szCs w:val="24"/>
        </w:rPr>
        <w:t xml:space="preserve"> </w:t>
      </w:r>
      <w:r w:rsidR="009429D9" w:rsidRPr="008B1D51">
        <w:rPr>
          <w:rFonts w:ascii="Times New Roman" w:hAnsi="Times New Roman" w:cs="Times New Roman"/>
          <w:sz w:val="24"/>
          <w:szCs w:val="24"/>
        </w:rPr>
        <w:t>1 or GRAP 23</w:t>
      </w:r>
      <w:r w:rsidR="008B1D51">
        <w:rPr>
          <w:rFonts w:ascii="Times New Roman" w:hAnsi="Times New Roman" w:cs="Times New Roman"/>
          <w:sz w:val="24"/>
          <w:szCs w:val="24"/>
        </w:rPr>
        <w:t>)</w:t>
      </w:r>
      <w:r w:rsidRPr="008B1D51">
        <w:rPr>
          <w:rFonts w:ascii="Times New Roman" w:hAnsi="Times New Roman" w:cs="Times New Roman"/>
          <w:sz w:val="24"/>
          <w:szCs w:val="24"/>
        </w:rPr>
        <w:t xml:space="preserve">. </w:t>
      </w:r>
    </w:p>
    <w:p w14:paraId="0195F39F" w14:textId="77777777" w:rsidR="008B1D51" w:rsidRDefault="008B1D51" w:rsidP="008B1D51">
      <w:pPr>
        <w:pStyle w:val="ListParagraph"/>
        <w:spacing w:line="360" w:lineRule="auto"/>
        <w:rPr>
          <w:rFonts w:ascii="Times New Roman" w:hAnsi="Times New Roman" w:cs="Times New Roman"/>
          <w:sz w:val="24"/>
          <w:szCs w:val="24"/>
        </w:rPr>
      </w:pPr>
    </w:p>
    <w:p w14:paraId="70AFCB9D" w14:textId="77777777" w:rsidR="008B1D51" w:rsidRDefault="009429D9" w:rsidP="008B1D51">
      <w:pPr>
        <w:pStyle w:val="ListParagraph"/>
        <w:numPr>
          <w:ilvl w:val="2"/>
          <w:numId w:val="32"/>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 xml:space="preserve">Application of GRAP 1 and </w:t>
      </w:r>
      <w:r w:rsidR="0087013D" w:rsidRPr="008B1D51">
        <w:rPr>
          <w:rFonts w:ascii="Times New Roman" w:hAnsi="Times New Roman" w:cs="Times New Roman"/>
          <w:b/>
          <w:i/>
          <w:sz w:val="24"/>
          <w:szCs w:val="24"/>
        </w:rPr>
        <w:t xml:space="preserve">GRAP </w:t>
      </w:r>
      <w:r w:rsidRPr="008B1D51">
        <w:rPr>
          <w:rFonts w:ascii="Times New Roman" w:hAnsi="Times New Roman" w:cs="Times New Roman"/>
          <w:b/>
          <w:i/>
          <w:sz w:val="24"/>
          <w:szCs w:val="24"/>
        </w:rPr>
        <w:t xml:space="preserve">23: </w:t>
      </w:r>
      <w:r w:rsidRPr="008B1D51">
        <w:rPr>
          <w:rFonts w:ascii="Times New Roman" w:hAnsi="Times New Roman" w:cs="Times New Roman"/>
          <w:sz w:val="24"/>
          <w:szCs w:val="24"/>
        </w:rPr>
        <w:t xml:space="preserve">The Committee requested that the NCR provide an explanation around GRAP 1 and GRAP 23 as it related </w:t>
      </w:r>
      <w:r w:rsidR="0087013D" w:rsidRPr="008B1D51">
        <w:rPr>
          <w:rFonts w:ascii="Times New Roman" w:hAnsi="Times New Roman" w:cs="Times New Roman"/>
          <w:sz w:val="24"/>
          <w:szCs w:val="24"/>
        </w:rPr>
        <w:t xml:space="preserve">to other revenue from non-exchange transactions received from </w:t>
      </w:r>
      <w:r w:rsidRPr="008B1D51">
        <w:rPr>
          <w:rFonts w:ascii="Times New Roman" w:hAnsi="Times New Roman" w:cs="Times New Roman"/>
          <w:sz w:val="24"/>
          <w:szCs w:val="24"/>
        </w:rPr>
        <w:t xml:space="preserve">the PDAs. The NCR informed the Committee that it had adopted an accounting treatment for the interest earned by PDAs and transferred </w:t>
      </w:r>
      <w:r w:rsidR="0087013D" w:rsidRPr="008B1D51">
        <w:rPr>
          <w:rFonts w:ascii="Times New Roman" w:hAnsi="Times New Roman" w:cs="Times New Roman"/>
          <w:sz w:val="24"/>
          <w:szCs w:val="24"/>
        </w:rPr>
        <w:t>this to an NCR account in the 2015/16 and 2016/</w:t>
      </w:r>
      <w:r w:rsidRPr="008B1D51">
        <w:rPr>
          <w:rFonts w:ascii="Times New Roman" w:hAnsi="Times New Roman" w:cs="Times New Roman"/>
          <w:sz w:val="24"/>
          <w:szCs w:val="24"/>
        </w:rPr>
        <w:t>17</w:t>
      </w:r>
      <w:r w:rsidR="0087013D" w:rsidRPr="008B1D51">
        <w:rPr>
          <w:rFonts w:ascii="Times New Roman" w:hAnsi="Times New Roman" w:cs="Times New Roman"/>
          <w:sz w:val="24"/>
          <w:szCs w:val="24"/>
        </w:rPr>
        <w:t xml:space="preserve"> financial years</w:t>
      </w:r>
      <w:r w:rsidRPr="008B1D51">
        <w:rPr>
          <w:rFonts w:ascii="Times New Roman" w:hAnsi="Times New Roman" w:cs="Times New Roman"/>
          <w:sz w:val="24"/>
          <w:szCs w:val="24"/>
        </w:rPr>
        <w:t xml:space="preserve"> in terms of principles of </w:t>
      </w:r>
      <w:r w:rsidR="0087013D" w:rsidRPr="008B1D51">
        <w:rPr>
          <w:rFonts w:ascii="Times New Roman" w:hAnsi="Times New Roman" w:cs="Times New Roman"/>
          <w:sz w:val="24"/>
          <w:szCs w:val="24"/>
        </w:rPr>
        <w:t>GRAP 1</w:t>
      </w:r>
      <w:r w:rsidRPr="008B1D51">
        <w:rPr>
          <w:rFonts w:ascii="Times New Roman" w:hAnsi="Times New Roman" w:cs="Times New Roman"/>
          <w:sz w:val="24"/>
          <w:szCs w:val="24"/>
        </w:rPr>
        <w:t>. GRAP 1 sets out the overall accounting framework and responsibilities for the preparation and presentation of financial statements, guidelines for their structure and minimum requirements for their content.  GRAP 1 should be read in conjunction with a Framework for the preparation and presentation of Annual Financial Statements, which forms the basis of a definition, recognition and measurement of elements to financial statements, such as assets, liabilities, revenue, expenses</w:t>
      </w:r>
      <w:r w:rsidR="0087013D" w:rsidRPr="008B1D51">
        <w:rPr>
          <w:rFonts w:ascii="Times New Roman" w:hAnsi="Times New Roman" w:cs="Times New Roman"/>
          <w:sz w:val="24"/>
          <w:szCs w:val="24"/>
        </w:rPr>
        <w:t>,</w:t>
      </w:r>
      <w:r w:rsidRPr="008B1D51">
        <w:rPr>
          <w:rFonts w:ascii="Times New Roman" w:hAnsi="Times New Roman" w:cs="Times New Roman"/>
          <w:sz w:val="24"/>
          <w:szCs w:val="24"/>
        </w:rPr>
        <w:t xml:space="preserve"> etc. Revenue from non-exchange transactions (GRAP 23) arises when an entity receives value from another entity without directly giving approximately equal value in exchange.  Common examples of non-exchange revenue transactions are equitable share allocations and grants received by entities, taxes levied, fines issued, and donations in cash, goods or services.  Revenue from non-exchange transactions are accounted for using the ‘assets and liabilities’ approach rather than using an ‘earnings’ approach which is followed for exchange revenue. </w:t>
      </w:r>
    </w:p>
    <w:p w14:paraId="2323305D" w14:textId="77777777" w:rsidR="008B1D51" w:rsidRDefault="008B1D51" w:rsidP="008B1D51">
      <w:pPr>
        <w:pStyle w:val="ListParagraph"/>
        <w:spacing w:line="360" w:lineRule="auto"/>
        <w:rPr>
          <w:rFonts w:ascii="Times New Roman" w:hAnsi="Times New Roman" w:cs="Times New Roman"/>
          <w:sz w:val="24"/>
          <w:szCs w:val="24"/>
        </w:rPr>
      </w:pPr>
    </w:p>
    <w:p w14:paraId="18031536" w14:textId="77777777" w:rsidR="00443C0F" w:rsidRPr="008B1D51" w:rsidRDefault="00443C0F" w:rsidP="008B1D51">
      <w:pPr>
        <w:pStyle w:val="ListParagraph"/>
        <w:numPr>
          <w:ilvl w:val="2"/>
          <w:numId w:val="32"/>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 xml:space="preserve">Office space challenges facing the NCR: </w:t>
      </w:r>
      <w:r w:rsidRPr="008B1D51">
        <w:rPr>
          <w:rFonts w:ascii="Times New Roman" w:hAnsi="Times New Roman" w:cs="Times New Roman"/>
          <w:sz w:val="24"/>
          <w:szCs w:val="24"/>
        </w:rPr>
        <w:t xml:space="preserve">The Committee enquired to the challenges facing the NCR with regard to office space. The NCR informed the </w:t>
      </w:r>
      <w:r w:rsidR="009429D9" w:rsidRPr="008B1D51">
        <w:rPr>
          <w:rFonts w:ascii="Times New Roman" w:hAnsi="Times New Roman" w:cs="Times New Roman"/>
          <w:sz w:val="24"/>
          <w:szCs w:val="24"/>
        </w:rPr>
        <w:t>Committee that it currently did</w:t>
      </w:r>
      <w:r w:rsidRPr="008B1D51">
        <w:rPr>
          <w:rFonts w:ascii="Times New Roman" w:hAnsi="Times New Roman" w:cs="Times New Roman"/>
          <w:sz w:val="24"/>
          <w:szCs w:val="24"/>
        </w:rPr>
        <w:t xml:space="preserve"> not have sufficient office space t</w:t>
      </w:r>
      <w:r w:rsidR="009429D9" w:rsidRPr="008B1D51">
        <w:rPr>
          <w:rFonts w:ascii="Times New Roman" w:hAnsi="Times New Roman" w:cs="Times New Roman"/>
          <w:sz w:val="24"/>
          <w:szCs w:val="24"/>
        </w:rPr>
        <w:t>o house its current staff comple</w:t>
      </w:r>
      <w:r w:rsidRPr="008B1D51">
        <w:rPr>
          <w:rFonts w:ascii="Times New Roman" w:hAnsi="Times New Roman" w:cs="Times New Roman"/>
          <w:sz w:val="24"/>
          <w:szCs w:val="24"/>
        </w:rPr>
        <w:t>ment of 150 people.</w:t>
      </w:r>
      <w:r w:rsidR="009429D9" w:rsidRPr="008B1D51">
        <w:rPr>
          <w:rFonts w:ascii="Times New Roman" w:hAnsi="Times New Roman" w:cs="Times New Roman"/>
          <w:sz w:val="24"/>
          <w:szCs w:val="24"/>
        </w:rPr>
        <w:t xml:space="preserve"> It has a projected staff comple</w:t>
      </w:r>
      <w:r w:rsidRPr="008B1D51">
        <w:rPr>
          <w:rFonts w:ascii="Times New Roman" w:hAnsi="Times New Roman" w:cs="Times New Roman"/>
          <w:sz w:val="24"/>
          <w:szCs w:val="24"/>
        </w:rPr>
        <w:t>ment of 200 people</w:t>
      </w:r>
      <w:r w:rsidR="00AE7AD5" w:rsidRPr="008B1D51">
        <w:rPr>
          <w:rFonts w:ascii="Times New Roman" w:hAnsi="Times New Roman" w:cs="Times New Roman"/>
          <w:sz w:val="24"/>
          <w:szCs w:val="24"/>
        </w:rPr>
        <w:t>, which could not be accommodated in</w:t>
      </w:r>
      <w:r w:rsidRPr="008B1D51">
        <w:rPr>
          <w:rFonts w:ascii="Times New Roman" w:hAnsi="Times New Roman" w:cs="Times New Roman"/>
          <w:sz w:val="24"/>
          <w:szCs w:val="24"/>
        </w:rPr>
        <w:t xml:space="preserve"> its current location. The NCR informed the Committee that it needs to acquire suitable premise</w:t>
      </w:r>
      <w:r w:rsidR="00AE7AD5" w:rsidRPr="008B1D51">
        <w:rPr>
          <w:rFonts w:ascii="Times New Roman" w:hAnsi="Times New Roman" w:cs="Times New Roman"/>
          <w:sz w:val="24"/>
          <w:szCs w:val="24"/>
        </w:rPr>
        <w:t>s</w:t>
      </w:r>
      <w:r w:rsidRPr="008B1D51">
        <w:rPr>
          <w:rFonts w:ascii="Times New Roman" w:hAnsi="Times New Roman" w:cs="Times New Roman"/>
          <w:sz w:val="24"/>
          <w:szCs w:val="24"/>
        </w:rPr>
        <w:t xml:space="preserve"> for the following reasons:</w:t>
      </w:r>
    </w:p>
    <w:p w14:paraId="49517FA6" w14:textId="77777777" w:rsidR="00443C0F" w:rsidRPr="000C1D84" w:rsidRDefault="00443C0F" w:rsidP="009D5D24">
      <w:pPr>
        <w:pStyle w:val="ListParagraph"/>
        <w:numPr>
          <w:ilvl w:val="3"/>
          <w:numId w:val="29"/>
        </w:numPr>
        <w:spacing w:line="360" w:lineRule="auto"/>
        <w:ind w:left="1134" w:hanging="425"/>
        <w:rPr>
          <w:rFonts w:ascii="Times New Roman" w:hAnsi="Times New Roman" w:cs="Times New Roman"/>
          <w:sz w:val="24"/>
          <w:szCs w:val="24"/>
        </w:rPr>
      </w:pPr>
      <w:r w:rsidRPr="000C1D84">
        <w:rPr>
          <w:rFonts w:ascii="Times New Roman" w:hAnsi="Times New Roman" w:cs="Times New Roman"/>
          <w:sz w:val="24"/>
          <w:szCs w:val="24"/>
        </w:rPr>
        <w:t>It</w:t>
      </w:r>
      <w:r w:rsidR="00AE7AD5">
        <w:rPr>
          <w:rFonts w:ascii="Times New Roman" w:hAnsi="Times New Roman" w:cs="Times New Roman"/>
          <w:sz w:val="24"/>
          <w:szCs w:val="24"/>
        </w:rPr>
        <w:t>s</w:t>
      </w:r>
      <w:r w:rsidR="00AE7AD5" w:rsidRPr="000C1D84">
        <w:rPr>
          <w:rFonts w:ascii="Times New Roman" w:hAnsi="Times New Roman" w:cs="Times New Roman"/>
          <w:sz w:val="24"/>
          <w:szCs w:val="24"/>
        </w:rPr>
        <w:t xml:space="preserve"> current premises posed</w:t>
      </w:r>
      <w:r w:rsidRPr="000C1D84">
        <w:rPr>
          <w:rFonts w:ascii="Times New Roman" w:hAnsi="Times New Roman" w:cs="Times New Roman"/>
          <w:sz w:val="24"/>
          <w:szCs w:val="24"/>
        </w:rPr>
        <w:t xml:space="preserve"> serious health hazards and risks to all employees.</w:t>
      </w:r>
    </w:p>
    <w:p w14:paraId="569AE4A3" w14:textId="77777777" w:rsidR="00443C0F" w:rsidRPr="000C1D84" w:rsidRDefault="00443C0F" w:rsidP="009D5D24">
      <w:pPr>
        <w:pStyle w:val="ListParagraph"/>
        <w:numPr>
          <w:ilvl w:val="3"/>
          <w:numId w:val="29"/>
        </w:numPr>
        <w:spacing w:line="360" w:lineRule="auto"/>
        <w:ind w:left="1134" w:hanging="425"/>
        <w:rPr>
          <w:rFonts w:ascii="Times New Roman" w:hAnsi="Times New Roman" w:cs="Times New Roman"/>
          <w:sz w:val="24"/>
          <w:szCs w:val="24"/>
        </w:rPr>
      </w:pPr>
      <w:r w:rsidRPr="000C1D84">
        <w:rPr>
          <w:rFonts w:ascii="Times New Roman" w:hAnsi="Times New Roman" w:cs="Times New Roman"/>
          <w:sz w:val="24"/>
          <w:szCs w:val="24"/>
        </w:rPr>
        <w:t>In cases of emergency</w:t>
      </w:r>
      <w:r w:rsidR="00AE7AD5">
        <w:rPr>
          <w:rFonts w:ascii="Times New Roman" w:hAnsi="Times New Roman" w:cs="Times New Roman"/>
          <w:sz w:val="24"/>
          <w:szCs w:val="24"/>
        </w:rPr>
        <w:t>,</w:t>
      </w:r>
      <w:r w:rsidRPr="000C1D84">
        <w:rPr>
          <w:rFonts w:ascii="Times New Roman" w:hAnsi="Times New Roman" w:cs="Times New Roman"/>
          <w:sz w:val="24"/>
          <w:szCs w:val="24"/>
        </w:rPr>
        <w:t xml:space="preserve"> the NCR would incur high maintenance cost</w:t>
      </w:r>
      <w:r w:rsidR="00AE7AD5">
        <w:rPr>
          <w:rFonts w:ascii="Times New Roman" w:hAnsi="Times New Roman" w:cs="Times New Roman"/>
          <w:sz w:val="24"/>
          <w:szCs w:val="24"/>
        </w:rPr>
        <w:t>s</w:t>
      </w:r>
      <w:r w:rsidRPr="000C1D84">
        <w:rPr>
          <w:rFonts w:ascii="Times New Roman" w:hAnsi="Times New Roman" w:cs="Times New Roman"/>
          <w:sz w:val="24"/>
          <w:szCs w:val="24"/>
        </w:rPr>
        <w:t xml:space="preserve"> to repair any damages that may occur.</w:t>
      </w:r>
    </w:p>
    <w:p w14:paraId="0F42192F" w14:textId="77777777" w:rsidR="008B1D51" w:rsidRDefault="00443C0F" w:rsidP="008B1D51">
      <w:pPr>
        <w:pStyle w:val="ListParagraph"/>
        <w:numPr>
          <w:ilvl w:val="3"/>
          <w:numId w:val="29"/>
        </w:numPr>
        <w:spacing w:line="360" w:lineRule="auto"/>
        <w:ind w:left="1134" w:hanging="425"/>
        <w:rPr>
          <w:rFonts w:ascii="Times New Roman" w:hAnsi="Times New Roman" w:cs="Times New Roman"/>
          <w:sz w:val="24"/>
          <w:szCs w:val="24"/>
        </w:rPr>
      </w:pPr>
      <w:r w:rsidRPr="000C1D84">
        <w:rPr>
          <w:rFonts w:ascii="Times New Roman" w:hAnsi="Times New Roman" w:cs="Times New Roman"/>
          <w:sz w:val="24"/>
          <w:szCs w:val="24"/>
        </w:rPr>
        <w:t>The current high maintenance cost, to e</w:t>
      </w:r>
      <w:r w:rsidR="00AE7AD5" w:rsidRPr="000C1D84">
        <w:rPr>
          <w:rFonts w:ascii="Times New Roman" w:hAnsi="Times New Roman" w:cs="Times New Roman"/>
          <w:sz w:val="24"/>
          <w:szCs w:val="24"/>
        </w:rPr>
        <w:t>nsure that the premises comply</w:t>
      </w:r>
      <w:r w:rsidRPr="000C1D84">
        <w:rPr>
          <w:rFonts w:ascii="Times New Roman" w:hAnsi="Times New Roman" w:cs="Times New Roman"/>
          <w:sz w:val="24"/>
          <w:szCs w:val="24"/>
        </w:rPr>
        <w:t xml:space="preserve"> with standards as required by the National Building Regulations and Building Standards Act </w:t>
      </w:r>
      <w:r w:rsidR="00AE7AD5">
        <w:rPr>
          <w:rFonts w:ascii="Times New Roman" w:hAnsi="Times New Roman" w:cs="Times New Roman"/>
          <w:sz w:val="24"/>
          <w:szCs w:val="24"/>
        </w:rPr>
        <w:t>(</w:t>
      </w:r>
      <w:r w:rsidRPr="000C1D84">
        <w:rPr>
          <w:rFonts w:ascii="Times New Roman" w:hAnsi="Times New Roman" w:cs="Times New Roman"/>
          <w:sz w:val="24"/>
          <w:szCs w:val="24"/>
        </w:rPr>
        <w:t>No.</w:t>
      </w:r>
      <w:r w:rsidR="00AE7AD5">
        <w:rPr>
          <w:rFonts w:ascii="Times New Roman" w:hAnsi="Times New Roman" w:cs="Times New Roman"/>
          <w:sz w:val="24"/>
          <w:szCs w:val="24"/>
        </w:rPr>
        <w:t xml:space="preserve"> </w:t>
      </w:r>
      <w:r w:rsidRPr="000C1D84">
        <w:rPr>
          <w:rFonts w:ascii="Times New Roman" w:hAnsi="Times New Roman" w:cs="Times New Roman"/>
          <w:sz w:val="24"/>
          <w:szCs w:val="24"/>
        </w:rPr>
        <w:t>103 of 1977</w:t>
      </w:r>
      <w:r w:rsidR="00AE7AD5">
        <w:rPr>
          <w:rFonts w:ascii="Times New Roman" w:hAnsi="Times New Roman" w:cs="Times New Roman"/>
          <w:sz w:val="24"/>
          <w:szCs w:val="24"/>
        </w:rPr>
        <w:t>)</w:t>
      </w:r>
      <w:r w:rsidRPr="000C1D84">
        <w:rPr>
          <w:rFonts w:ascii="Times New Roman" w:hAnsi="Times New Roman" w:cs="Times New Roman"/>
          <w:sz w:val="24"/>
          <w:szCs w:val="24"/>
        </w:rPr>
        <w:t xml:space="preserve">, puts a strain on its current budget. </w:t>
      </w:r>
    </w:p>
    <w:p w14:paraId="75CCDCFD" w14:textId="77777777" w:rsidR="008B1D51" w:rsidRDefault="008B1D51" w:rsidP="008B1D51">
      <w:pPr>
        <w:pStyle w:val="ListParagraph"/>
        <w:spacing w:line="360" w:lineRule="auto"/>
        <w:ind w:left="1134"/>
        <w:rPr>
          <w:rFonts w:ascii="Times New Roman" w:hAnsi="Times New Roman" w:cs="Times New Roman"/>
          <w:sz w:val="24"/>
          <w:szCs w:val="24"/>
        </w:rPr>
      </w:pPr>
    </w:p>
    <w:p w14:paraId="4F46C999" w14:textId="77777777" w:rsidR="008B1D51" w:rsidRDefault="0087013D" w:rsidP="008B1D51">
      <w:pPr>
        <w:pStyle w:val="ListParagraph"/>
        <w:numPr>
          <w:ilvl w:val="2"/>
          <w:numId w:val="32"/>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Vacancy rate</w:t>
      </w:r>
      <w:r w:rsidRPr="008B1D51">
        <w:rPr>
          <w:rFonts w:ascii="Times New Roman" w:hAnsi="Times New Roman" w:cs="Times New Roman"/>
          <w:sz w:val="24"/>
          <w:szCs w:val="24"/>
        </w:rPr>
        <w:t>: The Committee requested an update on the current vacancy rate within the NCR.  The NCR informed the Committee that the vacancy rate currently stands at 18.4%. Four of these vacancies were in critical positions. The NCR alluded to the fact that many of its senior staff had been poached by banks and therefore it had lowered the level at which officials were appointed.</w:t>
      </w:r>
    </w:p>
    <w:p w14:paraId="69B0DDCD" w14:textId="77777777" w:rsidR="008B1D51" w:rsidRDefault="008B1D51" w:rsidP="008B1D51">
      <w:pPr>
        <w:pStyle w:val="ListParagraph"/>
        <w:spacing w:line="360" w:lineRule="auto"/>
        <w:rPr>
          <w:rFonts w:ascii="Times New Roman" w:hAnsi="Times New Roman" w:cs="Times New Roman"/>
          <w:sz w:val="24"/>
          <w:szCs w:val="24"/>
        </w:rPr>
      </w:pPr>
    </w:p>
    <w:p w14:paraId="4139FEE7" w14:textId="77777777" w:rsidR="00443C0F" w:rsidRPr="008B1D51" w:rsidRDefault="00443C0F" w:rsidP="008B1D51">
      <w:pPr>
        <w:pStyle w:val="ListParagraph"/>
        <w:numPr>
          <w:ilvl w:val="2"/>
          <w:numId w:val="32"/>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 xml:space="preserve">Labour relations: </w:t>
      </w:r>
      <w:r w:rsidRPr="008B1D51">
        <w:rPr>
          <w:rFonts w:ascii="Times New Roman" w:hAnsi="Times New Roman" w:cs="Times New Roman"/>
          <w:sz w:val="24"/>
          <w:szCs w:val="24"/>
        </w:rPr>
        <w:t xml:space="preserve">The Committee enquired into the reasons for the dismissals at the NCR. The NCR informed the Committee that two of its employees were dismissed during the period under review.  One individual was charged with assault and the other with misrepresentation of </w:t>
      </w:r>
      <w:r w:rsidR="009429D9" w:rsidRPr="008B1D51">
        <w:rPr>
          <w:rFonts w:ascii="Times New Roman" w:hAnsi="Times New Roman" w:cs="Times New Roman"/>
          <w:sz w:val="24"/>
          <w:szCs w:val="24"/>
        </w:rPr>
        <w:t xml:space="preserve">their </w:t>
      </w:r>
      <w:r w:rsidRPr="008B1D51">
        <w:rPr>
          <w:rFonts w:ascii="Times New Roman" w:hAnsi="Times New Roman" w:cs="Times New Roman"/>
          <w:sz w:val="24"/>
          <w:szCs w:val="24"/>
        </w:rPr>
        <w:t xml:space="preserve">qualifications.  In both cases, due process was followed.  </w:t>
      </w:r>
    </w:p>
    <w:p w14:paraId="68F4C04D" w14:textId="77777777" w:rsidR="00443C0F" w:rsidRPr="00586CCF" w:rsidRDefault="00443C0F" w:rsidP="00586CCF">
      <w:pPr>
        <w:spacing w:line="360" w:lineRule="auto"/>
        <w:rPr>
          <w:rFonts w:ascii="Times New Roman" w:hAnsi="Times New Roman" w:cs="Times New Roman"/>
          <w:sz w:val="24"/>
          <w:szCs w:val="24"/>
        </w:rPr>
      </w:pPr>
    </w:p>
    <w:bookmarkEnd w:id="13"/>
    <w:p w14:paraId="108248C1" w14:textId="77777777" w:rsidR="00A72EB9" w:rsidRPr="00941818" w:rsidRDefault="00A72EB9" w:rsidP="009D5D24">
      <w:pPr>
        <w:pStyle w:val="Heading11"/>
        <w:rPr>
          <w:rFonts w:ascii="Times New Roman" w:hAnsi="Times New Roman" w:cs="Times New Roman"/>
        </w:rPr>
      </w:pPr>
      <w:r w:rsidRPr="00941818">
        <w:rPr>
          <w:rFonts w:ascii="Times New Roman" w:hAnsi="Times New Roman" w:cs="Times New Roman"/>
        </w:rPr>
        <w:t>National Regulator for Compulsory Specifications</w:t>
      </w:r>
    </w:p>
    <w:p w14:paraId="712DD479" w14:textId="77777777" w:rsidR="00D12071" w:rsidRPr="00586CCF" w:rsidRDefault="00D12071" w:rsidP="00586CCF">
      <w:pPr>
        <w:autoSpaceDE w:val="0"/>
        <w:autoSpaceDN w:val="0"/>
        <w:adjustRightInd w:val="0"/>
        <w:spacing w:line="360" w:lineRule="auto"/>
        <w:rPr>
          <w:rFonts w:ascii="Times New Roman" w:eastAsia="Calibri" w:hAnsi="Times New Roman" w:cs="Times New Roman"/>
          <w:b/>
          <w:sz w:val="24"/>
          <w:szCs w:val="24"/>
          <w:lang w:val="en-US"/>
        </w:rPr>
      </w:pPr>
    </w:p>
    <w:p w14:paraId="063D274A" w14:textId="77777777" w:rsidR="00D12071" w:rsidRPr="00586CCF" w:rsidRDefault="007E6C54" w:rsidP="00586CCF">
      <w:pPr>
        <w:autoSpaceDE w:val="0"/>
        <w:autoSpaceDN w:val="0"/>
        <w:adjustRightInd w:val="0"/>
        <w:spacing w:line="360" w:lineRule="auto"/>
        <w:rPr>
          <w:rFonts w:ascii="Times New Roman" w:eastAsia="Calibri" w:hAnsi="Times New Roman" w:cs="Times New Roman"/>
          <w:sz w:val="24"/>
          <w:szCs w:val="24"/>
          <w:lang w:val="en-US"/>
        </w:rPr>
      </w:pPr>
      <w:r w:rsidRPr="00586CCF">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w:t>
      </w:r>
      <w:r w:rsidRPr="00586CCF">
        <w:rPr>
          <w:rFonts w:ascii="Times New Roman" w:eastAsia="Calibri" w:hAnsi="Times New Roman" w:cs="Times New Roman"/>
          <w:sz w:val="24"/>
          <w:szCs w:val="24"/>
        </w:rPr>
        <w:t>R</w:t>
      </w:r>
      <w:r>
        <w:rPr>
          <w:rFonts w:ascii="Times New Roman" w:eastAsia="Calibri" w:hAnsi="Times New Roman" w:cs="Times New Roman"/>
          <w:sz w:val="24"/>
          <w:szCs w:val="24"/>
        </w:rPr>
        <w:t>CS</w:t>
      </w:r>
      <w:r w:rsidRPr="00586CCF">
        <w:rPr>
          <w:rFonts w:ascii="Times New Roman" w:eastAsia="Calibri" w:hAnsi="Times New Roman" w:cs="Times New Roman"/>
          <w:sz w:val="24"/>
          <w:szCs w:val="24"/>
        </w:rPr>
        <w:t xml:space="preserve"> falls under the </w:t>
      </w:r>
      <w:r>
        <w:rPr>
          <w:rFonts w:ascii="Times New Roman" w:eastAsia="Calibri" w:hAnsi="Times New Roman" w:cs="Times New Roman"/>
          <w:sz w:val="24"/>
          <w:szCs w:val="24"/>
        </w:rPr>
        <w:t xml:space="preserve">Industrial Development </w:t>
      </w:r>
      <w:r w:rsidRPr="00586CCF">
        <w:rPr>
          <w:rFonts w:ascii="Times New Roman" w:eastAsia="Calibri" w:hAnsi="Times New Roman" w:cs="Times New Roman"/>
          <w:sz w:val="24"/>
          <w:szCs w:val="24"/>
        </w:rPr>
        <w:t>Division within the</w:t>
      </w:r>
      <w:r>
        <w:rPr>
          <w:rFonts w:ascii="Times New Roman" w:eastAsia="Calibri" w:hAnsi="Times New Roman" w:cs="Times New Roman"/>
          <w:sz w:val="24"/>
          <w:szCs w:val="24"/>
        </w:rPr>
        <w:t xml:space="preserve"> </w:t>
      </w:r>
      <w:r w:rsidRPr="00586CCF">
        <w:rPr>
          <w:rFonts w:ascii="Times New Roman" w:eastAsia="Calibri" w:hAnsi="Times New Roman" w:cs="Times New Roman"/>
          <w:sz w:val="24"/>
          <w:szCs w:val="24"/>
        </w:rPr>
        <w:t>DTI.</w:t>
      </w:r>
      <w:r>
        <w:rPr>
          <w:rFonts w:ascii="Times New Roman" w:eastAsia="Calibri" w:hAnsi="Times New Roman" w:cs="Times New Roman"/>
          <w:sz w:val="24"/>
          <w:szCs w:val="24"/>
        </w:rPr>
        <w:t xml:space="preserve"> </w:t>
      </w:r>
      <w:r w:rsidR="007A3B5D">
        <w:rPr>
          <w:rFonts w:ascii="Times New Roman" w:eastAsia="Calibri" w:hAnsi="Times New Roman" w:cs="Times New Roman"/>
          <w:sz w:val="24"/>
          <w:szCs w:val="24"/>
        </w:rPr>
        <w:t xml:space="preserve">It was established on 1 September 2008, as </w:t>
      </w:r>
      <w:r w:rsidR="00AF6BDE">
        <w:rPr>
          <w:rFonts w:ascii="Times New Roman" w:eastAsia="Calibri" w:hAnsi="Times New Roman" w:cs="Times New Roman"/>
          <w:sz w:val="24"/>
          <w:szCs w:val="24"/>
        </w:rPr>
        <w:t xml:space="preserve">a </w:t>
      </w:r>
      <w:r w:rsidR="00D12071" w:rsidRPr="00586CCF">
        <w:rPr>
          <w:rFonts w:ascii="Times New Roman" w:hAnsi="Times New Roman" w:cs="Times New Roman"/>
          <w:sz w:val="24"/>
          <w:szCs w:val="24"/>
        </w:rPr>
        <w:t>national regulatory agency</w:t>
      </w:r>
      <w:r w:rsidR="007A3B5D">
        <w:rPr>
          <w:rFonts w:ascii="Times New Roman" w:hAnsi="Times New Roman" w:cs="Times New Roman"/>
          <w:sz w:val="24"/>
          <w:szCs w:val="24"/>
        </w:rPr>
        <w:t xml:space="preserve">. </w:t>
      </w:r>
      <w:r w:rsidR="007A3B5D" w:rsidRPr="00586CCF">
        <w:rPr>
          <w:rFonts w:ascii="Times New Roman" w:eastAsia="Calibri" w:hAnsi="Times New Roman" w:cs="Times New Roman"/>
          <w:sz w:val="24"/>
          <w:szCs w:val="24"/>
          <w:lang w:val="en-US"/>
        </w:rPr>
        <w:t xml:space="preserve">Its mandate is to </w:t>
      </w:r>
      <w:r w:rsidR="007A3B5D">
        <w:rPr>
          <w:rFonts w:ascii="Times New Roman" w:eastAsia="Calibri" w:hAnsi="Times New Roman" w:cs="Times New Roman"/>
          <w:sz w:val="24"/>
          <w:szCs w:val="24"/>
          <w:lang w:val="en-US"/>
        </w:rPr>
        <w:t xml:space="preserve">promote public health and safety, environmental protection and fair trade through the administration of compulsory specifications and/or technical regulations. It </w:t>
      </w:r>
      <w:r w:rsidR="007A3B5D" w:rsidRPr="00586CCF">
        <w:rPr>
          <w:rFonts w:ascii="Times New Roman" w:eastAsia="Calibri" w:hAnsi="Times New Roman" w:cs="Times New Roman"/>
          <w:sz w:val="24"/>
          <w:szCs w:val="24"/>
          <w:lang w:val="en-US"/>
        </w:rPr>
        <w:t>protect</w:t>
      </w:r>
      <w:r w:rsidR="007A3B5D">
        <w:rPr>
          <w:rFonts w:ascii="Times New Roman" w:eastAsia="Calibri" w:hAnsi="Times New Roman" w:cs="Times New Roman"/>
          <w:sz w:val="24"/>
          <w:szCs w:val="24"/>
          <w:lang w:val="en-US"/>
        </w:rPr>
        <w:t>s</w:t>
      </w:r>
      <w:r w:rsidR="007A3B5D" w:rsidRPr="00586CCF">
        <w:rPr>
          <w:rFonts w:ascii="Times New Roman" w:eastAsia="Calibri" w:hAnsi="Times New Roman" w:cs="Times New Roman"/>
          <w:sz w:val="24"/>
          <w:szCs w:val="24"/>
          <w:lang w:val="en-US"/>
        </w:rPr>
        <w:t xml:space="preserve"> consumers and the environment against unsafe and harmful products</w:t>
      </w:r>
      <w:r w:rsidR="007A3B5D">
        <w:rPr>
          <w:rFonts w:ascii="Times New Roman" w:eastAsia="Calibri" w:hAnsi="Times New Roman" w:cs="Times New Roman"/>
          <w:sz w:val="24"/>
          <w:szCs w:val="24"/>
          <w:lang w:val="en-US"/>
        </w:rPr>
        <w:t>.</w:t>
      </w:r>
      <w:r w:rsidR="007A3B5D" w:rsidRPr="00586CCF">
        <w:rPr>
          <w:rFonts w:ascii="Times New Roman" w:eastAsia="Calibri" w:hAnsi="Times New Roman" w:cs="Times New Roman"/>
          <w:sz w:val="24"/>
          <w:szCs w:val="24"/>
          <w:lang w:val="en-US"/>
        </w:rPr>
        <w:t xml:space="preserve"> </w:t>
      </w:r>
      <w:r w:rsidR="00AF6BDE">
        <w:rPr>
          <w:rFonts w:ascii="Times New Roman" w:eastAsia="Calibri" w:hAnsi="Times New Roman" w:cs="Times New Roman"/>
          <w:sz w:val="24"/>
          <w:szCs w:val="24"/>
          <w:lang w:val="en-US"/>
        </w:rPr>
        <w:t xml:space="preserve">Thus, it is meant to </w:t>
      </w:r>
      <w:r w:rsidR="00D12071" w:rsidRPr="00586CCF">
        <w:rPr>
          <w:rFonts w:ascii="Times New Roman" w:eastAsia="Calibri" w:hAnsi="Times New Roman" w:cs="Times New Roman"/>
          <w:sz w:val="24"/>
          <w:szCs w:val="24"/>
          <w:lang w:val="en-US"/>
        </w:rPr>
        <w:t xml:space="preserve">‘lock out’ non-compliant products from </w:t>
      </w:r>
      <w:r w:rsidR="007A3B5D">
        <w:rPr>
          <w:rFonts w:ascii="Times New Roman" w:eastAsia="Calibri" w:hAnsi="Times New Roman" w:cs="Times New Roman"/>
          <w:sz w:val="24"/>
          <w:szCs w:val="24"/>
          <w:lang w:val="en-US"/>
        </w:rPr>
        <w:t xml:space="preserve">being </w:t>
      </w:r>
      <w:r w:rsidR="00D12071" w:rsidRPr="00586CCF">
        <w:rPr>
          <w:rFonts w:ascii="Times New Roman" w:eastAsia="Calibri" w:hAnsi="Times New Roman" w:cs="Times New Roman"/>
          <w:sz w:val="24"/>
          <w:szCs w:val="24"/>
          <w:lang w:val="en-US"/>
        </w:rPr>
        <w:t>trade</w:t>
      </w:r>
      <w:r w:rsidR="007A3B5D">
        <w:rPr>
          <w:rFonts w:ascii="Times New Roman" w:eastAsia="Calibri" w:hAnsi="Times New Roman" w:cs="Times New Roman"/>
          <w:sz w:val="24"/>
          <w:szCs w:val="24"/>
          <w:lang w:val="en-US"/>
        </w:rPr>
        <w:t>d</w:t>
      </w:r>
      <w:r w:rsidR="00AE0DCC" w:rsidRPr="00586CCF">
        <w:rPr>
          <w:rFonts w:ascii="Times New Roman" w:eastAsia="Calibri" w:hAnsi="Times New Roman" w:cs="Times New Roman"/>
          <w:sz w:val="24"/>
          <w:szCs w:val="24"/>
          <w:lang w:val="en-US"/>
        </w:rPr>
        <w:t xml:space="preserve"> in the domestic market</w:t>
      </w:r>
      <w:r w:rsidR="00AF6BDE">
        <w:rPr>
          <w:rFonts w:ascii="Times New Roman" w:eastAsia="Calibri" w:hAnsi="Times New Roman" w:cs="Times New Roman"/>
          <w:sz w:val="24"/>
          <w:szCs w:val="24"/>
          <w:lang w:val="en-US"/>
        </w:rPr>
        <w:t xml:space="preserve"> by approving products and ensuring compliance </w:t>
      </w:r>
      <w:r w:rsidR="00D12071" w:rsidRPr="00586CCF">
        <w:rPr>
          <w:rFonts w:ascii="Times New Roman" w:eastAsia="Calibri" w:hAnsi="Times New Roman" w:cs="Times New Roman"/>
          <w:sz w:val="24"/>
          <w:szCs w:val="24"/>
          <w:lang w:val="en-US"/>
        </w:rPr>
        <w:t xml:space="preserve">by means of surveillance at the ports of entry into South Africa and within the country. </w:t>
      </w:r>
    </w:p>
    <w:p w14:paraId="7318E2C6" w14:textId="77777777" w:rsidR="00D12071" w:rsidRPr="00586CCF" w:rsidRDefault="00D12071" w:rsidP="00586CCF">
      <w:pPr>
        <w:spacing w:line="360" w:lineRule="auto"/>
        <w:rPr>
          <w:rFonts w:ascii="Times New Roman" w:hAnsi="Times New Roman" w:cs="Times New Roman"/>
          <w:sz w:val="24"/>
          <w:szCs w:val="24"/>
        </w:rPr>
      </w:pPr>
    </w:p>
    <w:p w14:paraId="1CC0BC2B" w14:textId="77777777" w:rsidR="00D12071" w:rsidRPr="00586CCF" w:rsidRDefault="00D12071" w:rsidP="00586CCF">
      <w:pPr>
        <w:spacing w:line="360" w:lineRule="auto"/>
        <w:rPr>
          <w:rFonts w:ascii="Times New Roman" w:hAnsi="Times New Roman" w:cs="Times New Roman"/>
          <w:sz w:val="24"/>
          <w:szCs w:val="24"/>
          <w:lang w:val="en-US"/>
        </w:rPr>
      </w:pPr>
      <w:r w:rsidRPr="00586CCF">
        <w:rPr>
          <w:rFonts w:ascii="Times New Roman" w:hAnsi="Times New Roman" w:cs="Times New Roman"/>
          <w:sz w:val="24"/>
          <w:szCs w:val="24"/>
        </w:rPr>
        <w:t>The NRCS’</w:t>
      </w:r>
      <w:r w:rsidRPr="00586CCF">
        <w:rPr>
          <w:rFonts w:ascii="Times New Roman" w:hAnsi="Times New Roman" w:cs="Times New Roman"/>
          <w:sz w:val="24"/>
          <w:szCs w:val="24"/>
          <w:lang w:val="en-US"/>
        </w:rPr>
        <w:t xml:space="preserve"> four strategic objectives are</w:t>
      </w:r>
      <w:r w:rsidR="0031563A" w:rsidRPr="00586CCF">
        <w:rPr>
          <w:rFonts w:ascii="Times New Roman" w:hAnsi="Times New Roman" w:cs="Times New Roman"/>
          <w:sz w:val="24"/>
          <w:szCs w:val="24"/>
          <w:lang w:val="en-US"/>
        </w:rPr>
        <w:t xml:space="preserve"> to</w:t>
      </w:r>
      <w:r w:rsidRPr="00586CCF">
        <w:rPr>
          <w:rFonts w:ascii="Times New Roman" w:hAnsi="Times New Roman" w:cs="Times New Roman"/>
          <w:sz w:val="24"/>
          <w:szCs w:val="24"/>
          <w:lang w:val="en-US"/>
        </w:rPr>
        <w:t>:</w:t>
      </w:r>
    </w:p>
    <w:p w14:paraId="28FF8960" w14:textId="77777777" w:rsidR="00D12071" w:rsidRPr="00586CCF" w:rsidRDefault="00D12071" w:rsidP="00586CCF">
      <w:pPr>
        <w:spacing w:line="360" w:lineRule="auto"/>
        <w:rPr>
          <w:rFonts w:ascii="Times New Roman" w:hAnsi="Times New Roman" w:cs="Times New Roman"/>
          <w:sz w:val="24"/>
          <w:szCs w:val="24"/>
          <w:lang w:val="en-US"/>
        </w:rPr>
      </w:pPr>
    </w:p>
    <w:p w14:paraId="6E45F3DA" w14:textId="77777777" w:rsidR="00D12071" w:rsidRPr="00586CCF" w:rsidRDefault="0031563A" w:rsidP="009D5D24">
      <w:pPr>
        <w:pStyle w:val="ListParagraph"/>
        <w:numPr>
          <w:ilvl w:val="0"/>
          <w:numId w:val="3"/>
        </w:numPr>
        <w:spacing w:line="360" w:lineRule="auto"/>
        <w:contextualSpacing w:val="0"/>
        <w:rPr>
          <w:rFonts w:ascii="Times New Roman" w:hAnsi="Times New Roman" w:cs="Times New Roman"/>
          <w:sz w:val="24"/>
          <w:szCs w:val="24"/>
          <w:lang w:val="en-US"/>
        </w:rPr>
      </w:pPr>
      <w:r w:rsidRPr="00586CCF">
        <w:rPr>
          <w:rFonts w:ascii="Times New Roman" w:hAnsi="Times New Roman" w:cs="Times New Roman"/>
          <w:sz w:val="24"/>
          <w:szCs w:val="24"/>
          <w:lang w:val="en-US"/>
        </w:rPr>
        <w:t>Develop</w:t>
      </w:r>
      <w:r w:rsidR="00D12071" w:rsidRPr="00586CCF">
        <w:rPr>
          <w:rFonts w:ascii="Times New Roman" w:hAnsi="Times New Roman" w:cs="Times New Roman"/>
          <w:sz w:val="24"/>
          <w:szCs w:val="24"/>
          <w:lang w:val="en-US"/>
        </w:rPr>
        <w:t>, maintain and administer compulsory specifications and technical regulations,</w:t>
      </w:r>
    </w:p>
    <w:p w14:paraId="0CA8D315" w14:textId="77777777" w:rsidR="00D12071" w:rsidRPr="00586CCF" w:rsidRDefault="0031563A" w:rsidP="009D5D24">
      <w:pPr>
        <w:pStyle w:val="ListParagraph"/>
        <w:numPr>
          <w:ilvl w:val="0"/>
          <w:numId w:val="3"/>
        </w:numPr>
        <w:spacing w:line="360" w:lineRule="auto"/>
        <w:contextualSpacing w:val="0"/>
        <w:rPr>
          <w:rFonts w:ascii="Times New Roman" w:hAnsi="Times New Roman" w:cs="Times New Roman"/>
          <w:sz w:val="24"/>
          <w:szCs w:val="24"/>
          <w:lang w:val="en-US"/>
        </w:rPr>
      </w:pPr>
      <w:r w:rsidRPr="00586CCF">
        <w:rPr>
          <w:rFonts w:ascii="Times New Roman" w:hAnsi="Times New Roman" w:cs="Times New Roman"/>
          <w:sz w:val="24"/>
          <w:szCs w:val="24"/>
          <w:lang w:val="en-US"/>
        </w:rPr>
        <w:t xml:space="preserve">Maximise </w:t>
      </w:r>
      <w:r w:rsidR="00D12071" w:rsidRPr="00586CCF">
        <w:rPr>
          <w:rFonts w:ascii="Times New Roman" w:hAnsi="Times New Roman" w:cs="Times New Roman"/>
          <w:sz w:val="24"/>
          <w:szCs w:val="24"/>
          <w:lang w:val="en-US"/>
        </w:rPr>
        <w:t>compliance with all specifications and technical Regulations,</w:t>
      </w:r>
    </w:p>
    <w:p w14:paraId="43B67ADC" w14:textId="77777777" w:rsidR="00D12071" w:rsidRPr="00586CCF" w:rsidRDefault="0031563A" w:rsidP="009D5D24">
      <w:pPr>
        <w:pStyle w:val="ListParagraph"/>
        <w:numPr>
          <w:ilvl w:val="0"/>
          <w:numId w:val="3"/>
        </w:numPr>
        <w:spacing w:line="360" w:lineRule="auto"/>
        <w:contextualSpacing w:val="0"/>
        <w:rPr>
          <w:rFonts w:ascii="Times New Roman" w:hAnsi="Times New Roman" w:cs="Times New Roman"/>
          <w:sz w:val="24"/>
          <w:szCs w:val="24"/>
          <w:lang w:val="en-US"/>
        </w:rPr>
      </w:pPr>
      <w:r w:rsidRPr="00586CCF">
        <w:rPr>
          <w:rFonts w:ascii="Times New Roman" w:hAnsi="Times New Roman" w:cs="Times New Roman"/>
          <w:sz w:val="24"/>
          <w:szCs w:val="24"/>
          <w:lang w:val="en-US"/>
        </w:rPr>
        <w:t xml:space="preserve">Inform </w:t>
      </w:r>
      <w:r w:rsidR="00D12071" w:rsidRPr="00586CCF">
        <w:rPr>
          <w:rFonts w:ascii="Times New Roman" w:hAnsi="Times New Roman" w:cs="Times New Roman"/>
          <w:sz w:val="24"/>
          <w:szCs w:val="24"/>
          <w:lang w:val="en-US"/>
        </w:rPr>
        <w:t>and educate NRCS</w:t>
      </w:r>
      <w:r w:rsidRPr="00586CCF">
        <w:rPr>
          <w:rFonts w:ascii="Times New Roman" w:hAnsi="Times New Roman" w:cs="Times New Roman"/>
          <w:sz w:val="24"/>
          <w:szCs w:val="24"/>
          <w:lang w:val="en-US"/>
        </w:rPr>
        <w:t>’s</w:t>
      </w:r>
      <w:r w:rsidR="00D12071" w:rsidRPr="00586CCF">
        <w:rPr>
          <w:rFonts w:ascii="Times New Roman" w:hAnsi="Times New Roman" w:cs="Times New Roman"/>
          <w:sz w:val="24"/>
          <w:szCs w:val="24"/>
          <w:lang w:val="en-US"/>
        </w:rPr>
        <w:t xml:space="preserve"> stakeholders on the mandate of the NRCS, and</w:t>
      </w:r>
    </w:p>
    <w:p w14:paraId="4A942688" w14:textId="77777777" w:rsidR="00D12071" w:rsidRPr="00586CCF" w:rsidRDefault="0031563A" w:rsidP="009D5D24">
      <w:pPr>
        <w:pStyle w:val="ListParagraph"/>
        <w:numPr>
          <w:ilvl w:val="0"/>
          <w:numId w:val="3"/>
        </w:numPr>
        <w:spacing w:line="360" w:lineRule="auto"/>
        <w:contextualSpacing w:val="0"/>
        <w:rPr>
          <w:rFonts w:ascii="Times New Roman" w:hAnsi="Times New Roman" w:cs="Times New Roman"/>
          <w:sz w:val="24"/>
          <w:szCs w:val="24"/>
          <w:lang w:val="en-US"/>
        </w:rPr>
      </w:pPr>
      <w:r w:rsidRPr="00586CCF">
        <w:rPr>
          <w:rFonts w:ascii="Times New Roman" w:hAnsi="Times New Roman" w:cs="Times New Roman"/>
          <w:sz w:val="24"/>
          <w:szCs w:val="24"/>
          <w:lang w:val="en-US"/>
        </w:rPr>
        <w:t xml:space="preserve">Ensure </w:t>
      </w:r>
      <w:r w:rsidR="00D12071" w:rsidRPr="00586CCF">
        <w:rPr>
          <w:rFonts w:ascii="Times New Roman" w:hAnsi="Times New Roman" w:cs="Times New Roman"/>
          <w:sz w:val="24"/>
          <w:szCs w:val="24"/>
          <w:lang w:val="en-US"/>
        </w:rPr>
        <w:t>an optimally capacitated institution</w:t>
      </w:r>
    </w:p>
    <w:p w14:paraId="30971CBA" w14:textId="77777777" w:rsidR="00AA1B0C" w:rsidRPr="00586CCF" w:rsidRDefault="00AA1B0C" w:rsidP="00586CCF">
      <w:pPr>
        <w:spacing w:line="360" w:lineRule="auto"/>
        <w:rPr>
          <w:rFonts w:ascii="Times New Roman" w:hAnsi="Times New Roman" w:cs="Times New Roman"/>
          <w:sz w:val="24"/>
          <w:szCs w:val="24"/>
          <w:lang w:val="en-US"/>
        </w:rPr>
      </w:pPr>
    </w:p>
    <w:p w14:paraId="3035E5EF" w14:textId="77777777" w:rsidR="00894911" w:rsidRDefault="00894911">
      <w:pPr>
        <w:rPr>
          <w:rFonts w:ascii="Times New Roman" w:hAnsi="Times New Roman" w:cs="Times New Roman"/>
          <w:b/>
          <w:sz w:val="24"/>
          <w:szCs w:val="24"/>
        </w:rPr>
      </w:pPr>
      <w:r>
        <w:br w:type="page"/>
      </w:r>
    </w:p>
    <w:p w14:paraId="1EC2DDEA" w14:textId="77777777" w:rsidR="007D0E14" w:rsidRPr="007D0E14" w:rsidRDefault="007D0E14" w:rsidP="00EF0C57">
      <w:pPr>
        <w:pStyle w:val="Heading22"/>
        <w:numPr>
          <w:ilvl w:val="1"/>
          <w:numId w:val="31"/>
        </w:numPr>
      </w:pPr>
      <w:r w:rsidRPr="007D0E14">
        <w:t>Performance for the 2016/17 financial year</w:t>
      </w:r>
    </w:p>
    <w:p w14:paraId="34C8168D" w14:textId="77777777" w:rsidR="007D0E14" w:rsidRDefault="007D0E14" w:rsidP="00586CCF">
      <w:pPr>
        <w:pStyle w:val="Heading33"/>
        <w:numPr>
          <w:ilvl w:val="0"/>
          <w:numId w:val="0"/>
        </w:numPr>
        <w:ind w:left="720" w:hanging="720"/>
        <w:rPr>
          <w:rFonts w:ascii="Times New Roman" w:hAnsi="Times New Roman" w:cs="Times New Roman"/>
          <w:sz w:val="24"/>
          <w:lang w:val="en-ZA"/>
        </w:rPr>
      </w:pPr>
    </w:p>
    <w:p w14:paraId="7B15F011" w14:textId="77777777" w:rsidR="00D12071" w:rsidRPr="004265FC" w:rsidRDefault="000B4712"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Non-financial Performance</w:t>
      </w:r>
      <w:r w:rsidR="00B808D3" w:rsidRPr="004265FC">
        <w:rPr>
          <w:rFonts w:ascii="Times New Roman" w:hAnsi="Times New Roman" w:cs="Times New Roman"/>
          <w:sz w:val="24"/>
        </w:rPr>
        <w:t xml:space="preserve"> for the 2016</w:t>
      </w:r>
      <w:r w:rsidR="00660BFF" w:rsidRPr="004265FC">
        <w:rPr>
          <w:rFonts w:ascii="Times New Roman" w:hAnsi="Times New Roman" w:cs="Times New Roman"/>
          <w:sz w:val="24"/>
        </w:rPr>
        <w:t>/17</w:t>
      </w:r>
      <w:r w:rsidR="00B808D3" w:rsidRPr="004265FC">
        <w:rPr>
          <w:rFonts w:ascii="Times New Roman" w:hAnsi="Times New Roman" w:cs="Times New Roman"/>
          <w:sz w:val="24"/>
        </w:rPr>
        <w:t xml:space="preserve"> financial year</w:t>
      </w:r>
    </w:p>
    <w:p w14:paraId="13A7BC02" w14:textId="77777777" w:rsidR="005E27D0" w:rsidRDefault="005E27D0" w:rsidP="00586CCF">
      <w:pPr>
        <w:spacing w:line="360" w:lineRule="auto"/>
        <w:rPr>
          <w:rFonts w:ascii="Times New Roman" w:hAnsi="Times New Roman" w:cs="Times New Roman"/>
          <w:sz w:val="24"/>
          <w:szCs w:val="24"/>
        </w:rPr>
      </w:pPr>
    </w:p>
    <w:p w14:paraId="24E447B5" w14:textId="77777777" w:rsidR="00037D0F" w:rsidRPr="00586CCF" w:rsidRDefault="00037D0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For the </w:t>
      </w:r>
      <w:r w:rsidR="00A26253" w:rsidRPr="00586CCF">
        <w:rPr>
          <w:rFonts w:ascii="Times New Roman" w:hAnsi="Times New Roman" w:cs="Times New Roman"/>
          <w:sz w:val="24"/>
          <w:szCs w:val="24"/>
        </w:rPr>
        <w:t>2016/17</w:t>
      </w:r>
      <w:r w:rsidR="00A26253">
        <w:rPr>
          <w:rFonts w:ascii="Times New Roman" w:hAnsi="Times New Roman" w:cs="Times New Roman"/>
          <w:sz w:val="24"/>
          <w:szCs w:val="24"/>
        </w:rPr>
        <w:t xml:space="preserve"> </w:t>
      </w:r>
      <w:r w:rsidRPr="00586CCF">
        <w:rPr>
          <w:rFonts w:ascii="Times New Roman" w:hAnsi="Times New Roman" w:cs="Times New Roman"/>
          <w:sz w:val="24"/>
          <w:szCs w:val="24"/>
        </w:rPr>
        <w:t xml:space="preserve">financial year, the NRCS had twelve performance targets. Only threetargets were achieved while nine targets were not achieved. The table below shows performance targets by strategic objective.  </w:t>
      </w:r>
    </w:p>
    <w:p w14:paraId="649FC052" w14:textId="77777777" w:rsidR="007D0E14" w:rsidRPr="00586CCF" w:rsidRDefault="007D0E14" w:rsidP="00586CCF">
      <w:pPr>
        <w:spacing w:line="360" w:lineRule="auto"/>
        <w:rPr>
          <w:rFonts w:ascii="Times New Roman" w:hAnsi="Times New Roman" w:cs="Times New Roman"/>
          <w:sz w:val="24"/>
          <w:szCs w:val="24"/>
        </w:rPr>
      </w:pPr>
    </w:p>
    <w:p w14:paraId="5FA1F443" w14:textId="77777777" w:rsidR="00037D0F" w:rsidRPr="00586CCF" w:rsidRDefault="00037D0F" w:rsidP="00586CCF">
      <w:pPr>
        <w:spacing w:line="360" w:lineRule="auto"/>
        <w:rPr>
          <w:rFonts w:ascii="Times New Roman" w:hAnsi="Times New Roman" w:cs="Times New Roman"/>
          <w:b/>
          <w:sz w:val="24"/>
          <w:szCs w:val="24"/>
        </w:rPr>
      </w:pPr>
      <w:r w:rsidRPr="00586CCF">
        <w:rPr>
          <w:rFonts w:ascii="Times New Roman" w:hAnsi="Times New Roman" w:cs="Times New Roman"/>
          <w:b/>
          <w:sz w:val="24"/>
          <w:szCs w:val="24"/>
        </w:rPr>
        <w:t>Table</w:t>
      </w:r>
      <w:r w:rsidR="00A474C6">
        <w:rPr>
          <w:rFonts w:ascii="Times New Roman" w:hAnsi="Times New Roman" w:cs="Times New Roman"/>
          <w:b/>
          <w:sz w:val="24"/>
          <w:szCs w:val="24"/>
        </w:rPr>
        <w:t xml:space="preserve"> 1</w:t>
      </w:r>
      <w:r w:rsidR="00510A07">
        <w:rPr>
          <w:rFonts w:ascii="Times New Roman" w:hAnsi="Times New Roman" w:cs="Times New Roman"/>
          <w:b/>
          <w:sz w:val="24"/>
          <w:szCs w:val="24"/>
        </w:rPr>
        <w:t>2</w:t>
      </w:r>
      <w:r w:rsidRPr="00586CCF">
        <w:rPr>
          <w:rFonts w:ascii="Times New Roman" w:hAnsi="Times New Roman" w:cs="Times New Roman"/>
          <w:b/>
          <w:sz w:val="24"/>
          <w:szCs w:val="24"/>
        </w:rPr>
        <w:t xml:space="preserve">: Performance targets by </w:t>
      </w:r>
      <w:r w:rsidR="007D0E14" w:rsidRPr="00586CCF">
        <w:rPr>
          <w:rFonts w:ascii="Times New Roman" w:hAnsi="Times New Roman" w:cs="Times New Roman"/>
          <w:b/>
          <w:sz w:val="24"/>
          <w:szCs w:val="24"/>
        </w:rPr>
        <w:t xml:space="preserve">Strategic </w:t>
      </w:r>
      <w:r w:rsidRPr="00586CCF">
        <w:rPr>
          <w:rFonts w:ascii="Times New Roman" w:hAnsi="Times New Roman" w:cs="Times New Roman"/>
          <w:b/>
          <w:sz w:val="24"/>
          <w:szCs w:val="24"/>
        </w:rPr>
        <w:t>Objective</w:t>
      </w:r>
    </w:p>
    <w:tbl>
      <w:tblPr>
        <w:tblStyle w:val="TableGrid"/>
        <w:tblW w:w="0" w:type="auto"/>
        <w:tblLayout w:type="fixed"/>
        <w:tblLook w:val="04A0" w:firstRow="1" w:lastRow="0" w:firstColumn="1" w:lastColumn="0" w:noHBand="0" w:noVBand="1"/>
      </w:tblPr>
      <w:tblGrid>
        <w:gridCol w:w="2095"/>
        <w:gridCol w:w="1557"/>
        <w:gridCol w:w="5408"/>
      </w:tblGrid>
      <w:tr w:rsidR="00A26253" w:rsidRPr="007D0E14" w14:paraId="340D02C3" w14:textId="77777777" w:rsidTr="006D18C5">
        <w:trPr>
          <w:tblHeader/>
        </w:trPr>
        <w:tc>
          <w:tcPr>
            <w:tcW w:w="2095" w:type="dxa"/>
            <w:vMerge w:val="restart"/>
            <w:shd w:val="clear" w:color="auto" w:fill="BFBFBF" w:themeFill="background1" w:themeFillShade="BF"/>
          </w:tcPr>
          <w:p w14:paraId="63248C73" w14:textId="77777777" w:rsidR="00A26253" w:rsidRPr="006D18C5" w:rsidRDefault="00A26253" w:rsidP="00470781">
            <w:pPr>
              <w:spacing w:after="0" w:line="360" w:lineRule="auto"/>
              <w:jc w:val="center"/>
              <w:rPr>
                <w:rFonts w:ascii="Times New Roman" w:hAnsi="Times New Roman"/>
                <w:b/>
                <w:sz w:val="22"/>
                <w:szCs w:val="24"/>
              </w:rPr>
            </w:pPr>
            <w:r w:rsidRPr="006D18C5">
              <w:rPr>
                <w:rFonts w:ascii="Times New Roman" w:hAnsi="Times New Roman"/>
                <w:b/>
                <w:sz w:val="22"/>
                <w:szCs w:val="24"/>
              </w:rPr>
              <w:t>Strategic Objective</w:t>
            </w:r>
          </w:p>
        </w:tc>
        <w:tc>
          <w:tcPr>
            <w:tcW w:w="6965" w:type="dxa"/>
            <w:gridSpan w:val="2"/>
            <w:shd w:val="clear" w:color="auto" w:fill="BFBFBF" w:themeFill="background1" w:themeFillShade="BF"/>
          </w:tcPr>
          <w:p w14:paraId="0C2CF704" w14:textId="77777777" w:rsidR="00A26253" w:rsidRPr="006D18C5" w:rsidRDefault="00A26253" w:rsidP="00470781">
            <w:pPr>
              <w:spacing w:after="0" w:line="360" w:lineRule="auto"/>
              <w:jc w:val="center"/>
              <w:rPr>
                <w:rFonts w:ascii="Times New Roman" w:hAnsi="Times New Roman"/>
                <w:b/>
                <w:sz w:val="22"/>
                <w:szCs w:val="24"/>
              </w:rPr>
            </w:pPr>
            <w:r w:rsidRPr="006D18C5">
              <w:rPr>
                <w:rFonts w:ascii="Times New Roman" w:hAnsi="Times New Roman"/>
                <w:b/>
                <w:sz w:val="22"/>
                <w:szCs w:val="24"/>
              </w:rPr>
              <w:t>Performance Indicators/Targets</w:t>
            </w:r>
          </w:p>
        </w:tc>
      </w:tr>
      <w:tr w:rsidR="00A26253" w:rsidRPr="007D0E14" w14:paraId="588E7D8A" w14:textId="77777777" w:rsidTr="006D18C5">
        <w:trPr>
          <w:tblHeader/>
        </w:trPr>
        <w:tc>
          <w:tcPr>
            <w:tcW w:w="2095" w:type="dxa"/>
            <w:vMerge/>
            <w:shd w:val="clear" w:color="auto" w:fill="BFBFBF" w:themeFill="background1" w:themeFillShade="BF"/>
          </w:tcPr>
          <w:p w14:paraId="722FB00E" w14:textId="77777777" w:rsidR="00A26253" w:rsidRPr="00A26253" w:rsidRDefault="00A26253" w:rsidP="006D18C5">
            <w:pPr>
              <w:spacing w:after="0" w:line="360" w:lineRule="auto"/>
              <w:jc w:val="center"/>
              <w:rPr>
                <w:rFonts w:ascii="Times New Roman" w:hAnsi="Times New Roman"/>
                <w:b/>
                <w:szCs w:val="24"/>
              </w:rPr>
            </w:pPr>
          </w:p>
        </w:tc>
        <w:tc>
          <w:tcPr>
            <w:tcW w:w="1557" w:type="dxa"/>
            <w:shd w:val="clear" w:color="auto" w:fill="BFBFBF" w:themeFill="background1" w:themeFillShade="BF"/>
          </w:tcPr>
          <w:p w14:paraId="2A81F249" w14:textId="77777777" w:rsidR="00A26253" w:rsidRPr="00A26253" w:rsidRDefault="00A26253" w:rsidP="006D18C5">
            <w:pPr>
              <w:spacing w:after="0" w:line="360" w:lineRule="auto"/>
              <w:jc w:val="center"/>
              <w:rPr>
                <w:rFonts w:ascii="Times New Roman" w:hAnsi="Times New Roman"/>
                <w:b/>
                <w:szCs w:val="24"/>
              </w:rPr>
            </w:pPr>
            <w:r>
              <w:rPr>
                <w:rFonts w:ascii="Times New Roman" w:hAnsi="Times New Roman"/>
                <w:b/>
                <w:szCs w:val="24"/>
              </w:rPr>
              <w:t>Number</w:t>
            </w:r>
          </w:p>
        </w:tc>
        <w:tc>
          <w:tcPr>
            <w:tcW w:w="5408" w:type="dxa"/>
            <w:shd w:val="clear" w:color="auto" w:fill="BFBFBF" w:themeFill="background1" w:themeFillShade="BF"/>
          </w:tcPr>
          <w:p w14:paraId="5638B542" w14:textId="77777777" w:rsidR="00A26253" w:rsidRPr="00A26253" w:rsidRDefault="00A26253" w:rsidP="006D18C5">
            <w:pPr>
              <w:spacing w:after="0" w:line="360" w:lineRule="auto"/>
              <w:jc w:val="center"/>
              <w:rPr>
                <w:rFonts w:ascii="Times New Roman" w:hAnsi="Times New Roman"/>
                <w:b/>
                <w:szCs w:val="24"/>
              </w:rPr>
            </w:pPr>
            <w:r>
              <w:rPr>
                <w:rFonts w:ascii="Times New Roman" w:hAnsi="Times New Roman"/>
                <w:b/>
                <w:szCs w:val="24"/>
              </w:rPr>
              <w:t>Description of unachieved targets</w:t>
            </w:r>
          </w:p>
        </w:tc>
      </w:tr>
      <w:tr w:rsidR="00037D0F" w:rsidRPr="00586CCF" w14:paraId="4944C1CB" w14:textId="77777777" w:rsidTr="006D18C5">
        <w:tc>
          <w:tcPr>
            <w:tcW w:w="2095" w:type="dxa"/>
          </w:tcPr>
          <w:p w14:paraId="6D730BCB" w14:textId="77777777" w:rsidR="00037D0F" w:rsidRPr="006D18C5" w:rsidRDefault="00037D0F" w:rsidP="00470781">
            <w:pPr>
              <w:spacing w:after="0" w:line="360" w:lineRule="auto"/>
              <w:rPr>
                <w:rFonts w:ascii="Times New Roman" w:hAnsi="Times New Roman"/>
                <w:sz w:val="22"/>
                <w:szCs w:val="24"/>
              </w:rPr>
            </w:pPr>
            <w:r w:rsidRPr="006D18C5">
              <w:rPr>
                <w:rFonts w:ascii="Times New Roman" w:hAnsi="Times New Roman"/>
                <w:b/>
                <w:sz w:val="22"/>
                <w:szCs w:val="24"/>
              </w:rPr>
              <w:t>Strategic Goal 1:</w:t>
            </w:r>
            <w:r w:rsidRPr="006D18C5">
              <w:rPr>
                <w:rFonts w:ascii="Times New Roman" w:hAnsi="Times New Roman"/>
                <w:sz w:val="22"/>
                <w:szCs w:val="24"/>
              </w:rPr>
              <w:t xml:space="preserve"> Develop, maintain and administer VCs and TRs</w:t>
            </w:r>
          </w:p>
        </w:tc>
        <w:tc>
          <w:tcPr>
            <w:tcW w:w="1557" w:type="dxa"/>
          </w:tcPr>
          <w:p w14:paraId="719863D4" w14:textId="77777777" w:rsidR="00A26253" w:rsidRPr="006D18C5" w:rsidRDefault="00037D0F" w:rsidP="00470781">
            <w:pPr>
              <w:spacing w:after="0" w:line="360" w:lineRule="auto"/>
              <w:rPr>
                <w:rFonts w:ascii="Times New Roman" w:hAnsi="Times New Roman"/>
                <w:sz w:val="22"/>
                <w:szCs w:val="24"/>
              </w:rPr>
            </w:pPr>
            <w:r w:rsidRPr="006D18C5">
              <w:rPr>
                <w:rFonts w:ascii="Times New Roman" w:hAnsi="Times New Roman"/>
                <w:sz w:val="22"/>
                <w:szCs w:val="24"/>
              </w:rPr>
              <w:t>Achieved</w:t>
            </w:r>
            <w:r w:rsidR="00A26253" w:rsidRPr="006D18C5">
              <w:rPr>
                <w:rFonts w:ascii="Times New Roman" w:hAnsi="Times New Roman"/>
                <w:szCs w:val="24"/>
              </w:rPr>
              <w:t>: 0</w:t>
            </w:r>
          </w:p>
          <w:p w14:paraId="7E3AAA3B" w14:textId="77777777" w:rsidR="00037D0F" w:rsidRPr="006D18C5" w:rsidRDefault="00A26253" w:rsidP="0091667C">
            <w:pPr>
              <w:spacing w:after="0" w:line="360" w:lineRule="auto"/>
              <w:rPr>
                <w:rFonts w:ascii="Times New Roman" w:hAnsi="Times New Roman"/>
                <w:b/>
                <w:sz w:val="22"/>
                <w:szCs w:val="24"/>
              </w:rPr>
            </w:pPr>
            <w:r w:rsidRPr="006D18C5">
              <w:rPr>
                <w:rFonts w:ascii="Times New Roman" w:hAnsi="Times New Roman"/>
                <w:szCs w:val="24"/>
              </w:rPr>
              <w:t>Not achieved: 2</w:t>
            </w:r>
          </w:p>
        </w:tc>
        <w:tc>
          <w:tcPr>
            <w:tcW w:w="5408" w:type="dxa"/>
          </w:tcPr>
          <w:p w14:paraId="2BA1A121" w14:textId="77777777" w:rsidR="00037D0F" w:rsidRPr="006D18C5" w:rsidRDefault="00037D0F" w:rsidP="009D5D24">
            <w:pPr>
              <w:pStyle w:val="ListParagraph"/>
              <w:numPr>
                <w:ilvl w:val="0"/>
                <w:numId w:val="28"/>
              </w:numPr>
              <w:spacing w:line="360" w:lineRule="auto"/>
              <w:rPr>
                <w:rFonts w:ascii="Times New Roman" w:hAnsi="Times New Roman"/>
                <w:szCs w:val="24"/>
              </w:rPr>
            </w:pPr>
            <w:r w:rsidRPr="006D18C5">
              <w:rPr>
                <w:rFonts w:ascii="Times New Roman" w:hAnsi="Times New Roman"/>
                <w:sz w:val="22"/>
                <w:szCs w:val="24"/>
              </w:rPr>
              <w:t xml:space="preserve">Development of compulsory Specifications: </w:t>
            </w:r>
            <w:r w:rsidR="00470781">
              <w:rPr>
                <w:rFonts w:ascii="Times New Roman" w:hAnsi="Times New Roman"/>
                <w:szCs w:val="24"/>
              </w:rPr>
              <w:t>five</w:t>
            </w:r>
            <w:r w:rsidRPr="006D18C5">
              <w:rPr>
                <w:rFonts w:ascii="Times New Roman" w:hAnsi="Times New Roman"/>
                <w:sz w:val="22"/>
                <w:szCs w:val="24"/>
              </w:rPr>
              <w:t xml:space="preserve"> were developed against a target of </w:t>
            </w:r>
            <w:r w:rsidR="00470781">
              <w:rPr>
                <w:rFonts w:ascii="Times New Roman" w:hAnsi="Times New Roman"/>
                <w:szCs w:val="24"/>
              </w:rPr>
              <w:t>ten</w:t>
            </w:r>
            <w:r w:rsidR="00CB38CC">
              <w:rPr>
                <w:rFonts w:ascii="Times New Roman" w:hAnsi="Times New Roman"/>
                <w:szCs w:val="24"/>
              </w:rPr>
              <w:t>.</w:t>
            </w:r>
          </w:p>
          <w:p w14:paraId="72AF4707" w14:textId="77777777" w:rsidR="00037D0F" w:rsidRPr="006D18C5" w:rsidRDefault="00037D0F" w:rsidP="009D5D24">
            <w:pPr>
              <w:pStyle w:val="ListParagraph"/>
              <w:numPr>
                <w:ilvl w:val="0"/>
                <w:numId w:val="28"/>
              </w:numPr>
              <w:spacing w:line="360" w:lineRule="auto"/>
              <w:rPr>
                <w:rFonts w:ascii="Times New Roman" w:hAnsi="Times New Roman"/>
                <w:szCs w:val="24"/>
              </w:rPr>
            </w:pPr>
            <w:r w:rsidRPr="006D18C5">
              <w:rPr>
                <w:rFonts w:ascii="Times New Roman" w:hAnsi="Times New Roman"/>
                <w:sz w:val="22"/>
                <w:szCs w:val="24"/>
              </w:rPr>
              <w:t>Review of Board decisions reviewed within 30 days: 80% of the decisions were reviewed against a target of 100%</w:t>
            </w:r>
            <w:r w:rsidR="00CB38CC">
              <w:rPr>
                <w:rFonts w:ascii="Times New Roman" w:hAnsi="Times New Roman"/>
                <w:sz w:val="22"/>
                <w:szCs w:val="24"/>
              </w:rPr>
              <w:t>.</w:t>
            </w:r>
          </w:p>
        </w:tc>
      </w:tr>
      <w:tr w:rsidR="00037D0F" w:rsidRPr="00586CCF" w14:paraId="374F4A7A" w14:textId="77777777" w:rsidTr="006D18C5">
        <w:tc>
          <w:tcPr>
            <w:tcW w:w="2095" w:type="dxa"/>
          </w:tcPr>
          <w:p w14:paraId="6DCB5219" w14:textId="77777777" w:rsidR="00037D0F" w:rsidRPr="006D18C5" w:rsidRDefault="00037D0F" w:rsidP="00470781">
            <w:pPr>
              <w:spacing w:after="0" w:line="360" w:lineRule="auto"/>
              <w:rPr>
                <w:rFonts w:ascii="Times New Roman" w:hAnsi="Times New Roman"/>
                <w:sz w:val="22"/>
                <w:szCs w:val="24"/>
              </w:rPr>
            </w:pPr>
            <w:r w:rsidRPr="006D18C5">
              <w:rPr>
                <w:rFonts w:ascii="Times New Roman" w:hAnsi="Times New Roman"/>
                <w:b/>
                <w:sz w:val="22"/>
                <w:szCs w:val="24"/>
              </w:rPr>
              <w:t>Strategic Goal 2:</w:t>
            </w:r>
            <w:r w:rsidRPr="006D18C5">
              <w:rPr>
                <w:rFonts w:ascii="Times New Roman" w:hAnsi="Times New Roman"/>
                <w:sz w:val="22"/>
                <w:szCs w:val="24"/>
              </w:rPr>
              <w:t xml:space="preserve"> Maximise compliance with all specifications and TRs</w:t>
            </w:r>
          </w:p>
        </w:tc>
        <w:tc>
          <w:tcPr>
            <w:tcW w:w="1557" w:type="dxa"/>
          </w:tcPr>
          <w:p w14:paraId="2C19829E" w14:textId="77777777" w:rsidR="00470781" w:rsidRPr="006D18C5" w:rsidRDefault="00470781" w:rsidP="00470781">
            <w:pPr>
              <w:spacing w:after="0" w:line="360" w:lineRule="auto"/>
              <w:rPr>
                <w:rFonts w:ascii="Times New Roman" w:hAnsi="Times New Roman"/>
                <w:sz w:val="22"/>
                <w:szCs w:val="24"/>
              </w:rPr>
            </w:pPr>
            <w:r w:rsidRPr="006D18C5">
              <w:rPr>
                <w:rFonts w:ascii="Times New Roman" w:hAnsi="Times New Roman"/>
                <w:szCs w:val="24"/>
              </w:rPr>
              <w:t>Achieved: 2</w:t>
            </w:r>
          </w:p>
          <w:p w14:paraId="69B4B2D9" w14:textId="77777777" w:rsidR="00470781" w:rsidRPr="006D18C5" w:rsidRDefault="00470781" w:rsidP="0091667C">
            <w:pPr>
              <w:spacing w:after="0" w:line="360" w:lineRule="auto"/>
              <w:rPr>
                <w:rFonts w:ascii="Times New Roman" w:hAnsi="Times New Roman"/>
                <w:b/>
                <w:sz w:val="22"/>
                <w:szCs w:val="24"/>
              </w:rPr>
            </w:pPr>
            <w:r w:rsidRPr="006D18C5">
              <w:rPr>
                <w:rFonts w:ascii="Times New Roman" w:hAnsi="Times New Roman"/>
                <w:szCs w:val="24"/>
              </w:rPr>
              <w:t>Not achieved: 5</w:t>
            </w:r>
          </w:p>
        </w:tc>
        <w:tc>
          <w:tcPr>
            <w:tcW w:w="5408" w:type="dxa"/>
          </w:tcPr>
          <w:p w14:paraId="543E2BA9" w14:textId="77777777" w:rsidR="00037D0F" w:rsidRPr="006D18C5" w:rsidRDefault="00037D0F" w:rsidP="009D5D24">
            <w:pPr>
              <w:pStyle w:val="ListParagraph"/>
              <w:numPr>
                <w:ilvl w:val="0"/>
                <w:numId w:val="28"/>
              </w:numPr>
              <w:spacing w:line="360" w:lineRule="auto"/>
              <w:rPr>
                <w:rFonts w:ascii="Times New Roman" w:hAnsi="Times New Roman"/>
                <w:szCs w:val="24"/>
              </w:rPr>
            </w:pPr>
            <w:r w:rsidRPr="006D18C5">
              <w:rPr>
                <w:rFonts w:ascii="Times New Roman" w:hAnsi="Times New Roman"/>
                <w:sz w:val="22"/>
                <w:szCs w:val="24"/>
              </w:rPr>
              <w:t>Inspections on food and fishery production in factories and vessels: 1 989 inspections done against a target of 2 135</w:t>
            </w:r>
            <w:r w:rsidR="00470781">
              <w:rPr>
                <w:rFonts w:ascii="Times New Roman" w:hAnsi="Times New Roman"/>
                <w:szCs w:val="24"/>
              </w:rPr>
              <w:t xml:space="preserve">, </w:t>
            </w:r>
            <w:r w:rsidR="00470781" w:rsidRPr="00470781">
              <w:rPr>
                <w:rFonts w:ascii="Times New Roman" w:hAnsi="Times New Roman"/>
                <w:szCs w:val="24"/>
              </w:rPr>
              <w:t xml:space="preserve">as </w:t>
            </w:r>
            <w:r w:rsidRPr="006D18C5">
              <w:rPr>
                <w:rFonts w:ascii="Times New Roman" w:hAnsi="Times New Roman"/>
                <w:sz w:val="22"/>
                <w:szCs w:val="24"/>
              </w:rPr>
              <w:t xml:space="preserve">less requests </w:t>
            </w:r>
            <w:r w:rsidR="00470781" w:rsidRPr="006D18C5">
              <w:rPr>
                <w:rFonts w:ascii="Times New Roman" w:hAnsi="Times New Roman"/>
                <w:szCs w:val="24"/>
              </w:rPr>
              <w:t xml:space="preserve">were </w:t>
            </w:r>
            <w:r w:rsidRPr="006D18C5">
              <w:rPr>
                <w:rFonts w:ascii="Times New Roman" w:hAnsi="Times New Roman"/>
                <w:sz w:val="22"/>
                <w:szCs w:val="24"/>
              </w:rPr>
              <w:t>received</w:t>
            </w:r>
            <w:r w:rsidR="00470781" w:rsidRPr="006D18C5">
              <w:rPr>
                <w:rFonts w:ascii="Times New Roman" w:hAnsi="Times New Roman"/>
                <w:szCs w:val="24"/>
              </w:rPr>
              <w:t xml:space="preserve"> from industry</w:t>
            </w:r>
            <w:r w:rsidRPr="006D18C5">
              <w:rPr>
                <w:rFonts w:ascii="Times New Roman" w:hAnsi="Times New Roman"/>
                <w:i/>
                <w:sz w:val="22"/>
                <w:szCs w:val="24"/>
                <w:u w:val="single"/>
              </w:rPr>
              <w:t>.</w:t>
            </w:r>
            <w:r w:rsidRPr="006D18C5">
              <w:rPr>
                <w:rFonts w:ascii="Times New Roman" w:hAnsi="Times New Roman"/>
                <w:sz w:val="22"/>
                <w:szCs w:val="24"/>
              </w:rPr>
              <w:t xml:space="preserve"> </w:t>
            </w:r>
          </w:p>
          <w:p w14:paraId="701DE3C2" w14:textId="77777777" w:rsidR="00037D0F" w:rsidRPr="006D18C5" w:rsidRDefault="00037D0F" w:rsidP="009D5D24">
            <w:pPr>
              <w:pStyle w:val="ListParagraph"/>
              <w:numPr>
                <w:ilvl w:val="0"/>
                <w:numId w:val="28"/>
              </w:numPr>
              <w:spacing w:line="360" w:lineRule="auto"/>
              <w:rPr>
                <w:rFonts w:ascii="Times New Roman" w:hAnsi="Times New Roman"/>
                <w:szCs w:val="24"/>
              </w:rPr>
            </w:pPr>
            <w:r w:rsidRPr="006D18C5">
              <w:rPr>
                <w:rFonts w:ascii="Times New Roman" w:hAnsi="Times New Roman"/>
                <w:sz w:val="22"/>
                <w:szCs w:val="24"/>
              </w:rPr>
              <w:t>Letters of Authority (LOAs) issued within 120 working days: 36.5% less than the target. Approximately 53.5% of LOAs were issued within 120 calendar days against a target of 90%</w:t>
            </w:r>
            <w:r w:rsidR="00470781">
              <w:rPr>
                <w:rFonts w:ascii="Times New Roman" w:hAnsi="Times New Roman"/>
                <w:szCs w:val="24"/>
              </w:rPr>
              <w:t xml:space="preserve">, mainly due to </w:t>
            </w:r>
            <w:r w:rsidRPr="006D18C5">
              <w:rPr>
                <w:rFonts w:ascii="Times New Roman" w:hAnsi="Times New Roman"/>
                <w:i/>
                <w:sz w:val="22"/>
                <w:szCs w:val="24"/>
                <w:u w:val="single"/>
              </w:rPr>
              <w:t xml:space="preserve"> </w:t>
            </w:r>
            <w:r w:rsidRPr="006D18C5">
              <w:rPr>
                <w:rFonts w:ascii="Times New Roman" w:hAnsi="Times New Roman"/>
                <w:sz w:val="22"/>
                <w:szCs w:val="24"/>
              </w:rPr>
              <w:t>backlog</w:t>
            </w:r>
            <w:r w:rsidR="00470781" w:rsidRPr="006D18C5">
              <w:rPr>
                <w:rFonts w:ascii="Times New Roman" w:hAnsi="Times New Roman"/>
                <w:szCs w:val="24"/>
              </w:rPr>
              <w:t>s</w:t>
            </w:r>
            <w:r w:rsidRPr="006D18C5">
              <w:rPr>
                <w:rFonts w:ascii="Times New Roman" w:hAnsi="Times New Roman"/>
                <w:sz w:val="22"/>
                <w:szCs w:val="24"/>
              </w:rPr>
              <w:t xml:space="preserve"> </w:t>
            </w:r>
            <w:r w:rsidR="00470781" w:rsidRPr="006D18C5">
              <w:rPr>
                <w:rFonts w:ascii="Times New Roman" w:hAnsi="Times New Roman"/>
                <w:szCs w:val="24"/>
              </w:rPr>
              <w:t>and capacity constraints</w:t>
            </w:r>
            <w:r w:rsidR="00470781" w:rsidRPr="006D18C5" w:rsidDel="00470781">
              <w:rPr>
                <w:rFonts w:ascii="Times New Roman" w:hAnsi="Times New Roman"/>
                <w:szCs w:val="24"/>
              </w:rPr>
              <w:t xml:space="preserve"> </w:t>
            </w:r>
            <w:r w:rsidR="00470781" w:rsidRPr="006D18C5">
              <w:rPr>
                <w:rFonts w:ascii="Times New Roman" w:hAnsi="Times New Roman"/>
                <w:szCs w:val="24"/>
              </w:rPr>
              <w:t>in</w:t>
            </w:r>
            <w:r w:rsidRPr="006D18C5">
              <w:rPr>
                <w:rFonts w:ascii="Times New Roman" w:hAnsi="Times New Roman"/>
                <w:sz w:val="22"/>
                <w:szCs w:val="24"/>
              </w:rPr>
              <w:t xml:space="preserve"> the e</w:t>
            </w:r>
            <w:r w:rsidR="00470781" w:rsidRPr="006D18C5">
              <w:rPr>
                <w:rFonts w:ascii="Times New Roman" w:hAnsi="Times New Roman"/>
                <w:szCs w:val="24"/>
              </w:rPr>
              <w:t>le</w:t>
            </w:r>
            <w:r w:rsidRPr="006D18C5">
              <w:rPr>
                <w:rFonts w:ascii="Times New Roman" w:hAnsi="Times New Roman"/>
                <w:sz w:val="22"/>
                <w:szCs w:val="24"/>
              </w:rPr>
              <w:t>ct</w:t>
            </w:r>
            <w:r w:rsidR="00470781" w:rsidRPr="006D18C5">
              <w:rPr>
                <w:rFonts w:ascii="Times New Roman" w:hAnsi="Times New Roman"/>
                <w:szCs w:val="24"/>
              </w:rPr>
              <w:t>r</w:t>
            </w:r>
            <w:r w:rsidRPr="006D18C5">
              <w:rPr>
                <w:rFonts w:ascii="Times New Roman" w:hAnsi="Times New Roman"/>
                <w:sz w:val="22"/>
                <w:szCs w:val="24"/>
              </w:rPr>
              <w:t>o-technical unit.</w:t>
            </w:r>
          </w:p>
          <w:p w14:paraId="45B782DC" w14:textId="77777777" w:rsidR="00037D0F" w:rsidRPr="006D18C5" w:rsidRDefault="00037D0F" w:rsidP="009D5D24">
            <w:pPr>
              <w:pStyle w:val="ListParagraph"/>
              <w:numPr>
                <w:ilvl w:val="0"/>
                <w:numId w:val="28"/>
              </w:numPr>
              <w:spacing w:line="360" w:lineRule="auto"/>
              <w:rPr>
                <w:rFonts w:ascii="Times New Roman" w:hAnsi="Times New Roman"/>
                <w:i/>
                <w:szCs w:val="24"/>
                <w:u w:val="single"/>
              </w:rPr>
            </w:pPr>
            <w:r w:rsidRPr="006D18C5">
              <w:rPr>
                <w:rFonts w:ascii="Times New Roman" w:hAnsi="Times New Roman"/>
                <w:sz w:val="22"/>
                <w:szCs w:val="24"/>
              </w:rPr>
              <w:t xml:space="preserve">Number of self-compliant companies: 0 against a target of </w:t>
            </w:r>
            <w:r w:rsidR="00470781">
              <w:rPr>
                <w:rFonts w:ascii="Times New Roman" w:hAnsi="Times New Roman"/>
                <w:szCs w:val="24"/>
              </w:rPr>
              <w:t>eight, as</w:t>
            </w:r>
            <w:r w:rsidRPr="006D18C5">
              <w:rPr>
                <w:rFonts w:ascii="Times New Roman" w:hAnsi="Times New Roman"/>
                <w:sz w:val="22"/>
                <w:szCs w:val="24"/>
              </w:rPr>
              <w:t xml:space="preserve"> framework agreements </w:t>
            </w:r>
            <w:r w:rsidR="00470781" w:rsidRPr="006D18C5">
              <w:rPr>
                <w:rFonts w:ascii="Times New Roman" w:hAnsi="Times New Roman"/>
                <w:szCs w:val="24"/>
              </w:rPr>
              <w:t xml:space="preserve">were </w:t>
            </w:r>
            <w:r w:rsidRPr="006D18C5">
              <w:rPr>
                <w:rFonts w:ascii="Times New Roman" w:hAnsi="Times New Roman"/>
                <w:sz w:val="22"/>
                <w:szCs w:val="24"/>
              </w:rPr>
              <w:t>not completed.</w:t>
            </w:r>
          </w:p>
          <w:p w14:paraId="2C2415A7" w14:textId="77777777" w:rsidR="00037D0F" w:rsidRPr="006D18C5" w:rsidRDefault="00037D0F" w:rsidP="009D5D24">
            <w:pPr>
              <w:pStyle w:val="ListParagraph"/>
              <w:numPr>
                <w:ilvl w:val="0"/>
                <w:numId w:val="28"/>
              </w:numPr>
              <w:spacing w:line="360" w:lineRule="auto"/>
              <w:rPr>
                <w:rFonts w:ascii="Times New Roman" w:hAnsi="Times New Roman"/>
                <w:i/>
                <w:szCs w:val="24"/>
                <w:u w:val="single"/>
              </w:rPr>
            </w:pPr>
            <w:r w:rsidRPr="006D18C5">
              <w:rPr>
                <w:rFonts w:ascii="Times New Roman" w:hAnsi="Times New Roman"/>
                <w:sz w:val="22"/>
                <w:szCs w:val="24"/>
              </w:rPr>
              <w:t xml:space="preserve">Cases referred for prosecutions with respect to repeat offenders: less than 1% of cases were referred against a target of 15%. </w:t>
            </w:r>
          </w:p>
          <w:p w14:paraId="7F5F7870" w14:textId="77777777" w:rsidR="009E4457" w:rsidRPr="00894911" w:rsidRDefault="00037D0F" w:rsidP="000C1D84">
            <w:pPr>
              <w:pStyle w:val="ListParagraph"/>
              <w:numPr>
                <w:ilvl w:val="0"/>
                <w:numId w:val="28"/>
              </w:numPr>
              <w:spacing w:line="360" w:lineRule="auto"/>
              <w:rPr>
                <w:rFonts w:ascii="Times New Roman" w:hAnsi="Times New Roman"/>
                <w:szCs w:val="24"/>
              </w:rPr>
            </w:pPr>
            <w:r w:rsidRPr="006D18C5">
              <w:rPr>
                <w:rFonts w:ascii="Times New Roman" w:hAnsi="Times New Roman"/>
                <w:sz w:val="22"/>
                <w:szCs w:val="24"/>
              </w:rPr>
              <w:t>Issuing of approval certificates on regulated products: 72% a</w:t>
            </w:r>
            <w:r w:rsidR="00894911">
              <w:rPr>
                <w:rFonts w:ascii="Times New Roman" w:hAnsi="Times New Roman"/>
                <w:sz w:val="22"/>
                <w:szCs w:val="24"/>
              </w:rPr>
              <w:t>chieved against a target of 75%</w:t>
            </w:r>
          </w:p>
          <w:p w14:paraId="0C9C598D" w14:textId="77777777" w:rsidR="00894911" w:rsidRDefault="00894911" w:rsidP="00894911">
            <w:pPr>
              <w:spacing w:line="360" w:lineRule="auto"/>
              <w:rPr>
                <w:rFonts w:ascii="Times New Roman" w:hAnsi="Times New Roman"/>
                <w:szCs w:val="24"/>
              </w:rPr>
            </w:pPr>
          </w:p>
          <w:p w14:paraId="6524293F" w14:textId="77777777" w:rsidR="00894911" w:rsidRPr="00894911" w:rsidRDefault="00894911" w:rsidP="00894911">
            <w:pPr>
              <w:spacing w:line="360" w:lineRule="auto"/>
              <w:rPr>
                <w:rFonts w:ascii="Times New Roman" w:hAnsi="Times New Roman"/>
                <w:szCs w:val="24"/>
              </w:rPr>
            </w:pPr>
          </w:p>
        </w:tc>
      </w:tr>
      <w:tr w:rsidR="00037D0F" w:rsidRPr="00586CCF" w14:paraId="26C03206" w14:textId="77777777" w:rsidTr="006D18C5">
        <w:tc>
          <w:tcPr>
            <w:tcW w:w="2095" w:type="dxa"/>
          </w:tcPr>
          <w:p w14:paraId="77E8F612" w14:textId="77777777" w:rsidR="00037D0F" w:rsidRPr="006D18C5" w:rsidRDefault="00037D0F" w:rsidP="00470781">
            <w:pPr>
              <w:spacing w:after="0" w:line="360" w:lineRule="auto"/>
              <w:rPr>
                <w:rFonts w:ascii="Times New Roman" w:hAnsi="Times New Roman"/>
                <w:sz w:val="22"/>
                <w:szCs w:val="24"/>
              </w:rPr>
            </w:pPr>
            <w:r w:rsidRPr="006D18C5">
              <w:rPr>
                <w:rFonts w:ascii="Times New Roman" w:hAnsi="Times New Roman"/>
                <w:b/>
                <w:sz w:val="22"/>
                <w:szCs w:val="24"/>
              </w:rPr>
              <w:t>Strategic Goal 3:</w:t>
            </w:r>
            <w:r w:rsidRPr="006D18C5">
              <w:rPr>
                <w:rFonts w:ascii="Times New Roman" w:hAnsi="Times New Roman"/>
                <w:sz w:val="22"/>
                <w:szCs w:val="24"/>
              </w:rPr>
              <w:t xml:space="preserve"> Inform and educate our stakeholders about the NRCS</w:t>
            </w:r>
          </w:p>
        </w:tc>
        <w:tc>
          <w:tcPr>
            <w:tcW w:w="1557" w:type="dxa"/>
          </w:tcPr>
          <w:p w14:paraId="3F3502E1" w14:textId="77777777" w:rsidR="00037D0F" w:rsidRPr="006D18C5" w:rsidRDefault="00037D0F" w:rsidP="00470781">
            <w:pPr>
              <w:spacing w:after="0" w:line="360" w:lineRule="auto"/>
              <w:rPr>
                <w:rFonts w:ascii="Times New Roman" w:hAnsi="Times New Roman"/>
                <w:sz w:val="22"/>
                <w:szCs w:val="24"/>
              </w:rPr>
            </w:pPr>
            <w:r w:rsidRPr="006D18C5">
              <w:rPr>
                <w:rFonts w:ascii="Times New Roman" w:hAnsi="Times New Roman"/>
                <w:sz w:val="22"/>
                <w:szCs w:val="24"/>
              </w:rPr>
              <w:t>Achieved</w:t>
            </w:r>
            <w:r w:rsidR="00470781" w:rsidRPr="006D18C5">
              <w:rPr>
                <w:rFonts w:ascii="Times New Roman" w:hAnsi="Times New Roman"/>
                <w:szCs w:val="24"/>
              </w:rPr>
              <w:t>: 1</w:t>
            </w:r>
          </w:p>
        </w:tc>
        <w:tc>
          <w:tcPr>
            <w:tcW w:w="5408" w:type="dxa"/>
          </w:tcPr>
          <w:p w14:paraId="6FBC52C5" w14:textId="77777777" w:rsidR="00037D0F" w:rsidRPr="006D18C5" w:rsidRDefault="00037D0F" w:rsidP="006D18C5">
            <w:pPr>
              <w:spacing w:line="360" w:lineRule="auto"/>
              <w:rPr>
                <w:rFonts w:ascii="Times New Roman" w:hAnsi="Times New Roman"/>
                <w:szCs w:val="24"/>
              </w:rPr>
            </w:pPr>
          </w:p>
        </w:tc>
      </w:tr>
      <w:tr w:rsidR="00037D0F" w:rsidRPr="00586CCF" w14:paraId="54626AFA" w14:textId="77777777" w:rsidTr="006D18C5">
        <w:trPr>
          <w:trHeight w:val="1848"/>
        </w:trPr>
        <w:tc>
          <w:tcPr>
            <w:tcW w:w="2095" w:type="dxa"/>
          </w:tcPr>
          <w:p w14:paraId="364BDDBB" w14:textId="77777777" w:rsidR="00037D0F" w:rsidRPr="006D18C5" w:rsidRDefault="00037D0F" w:rsidP="00470781">
            <w:pPr>
              <w:spacing w:after="0" w:line="360" w:lineRule="auto"/>
              <w:rPr>
                <w:rFonts w:ascii="Times New Roman" w:hAnsi="Times New Roman"/>
                <w:sz w:val="22"/>
                <w:szCs w:val="24"/>
              </w:rPr>
            </w:pPr>
            <w:r w:rsidRPr="006D18C5">
              <w:rPr>
                <w:rFonts w:ascii="Times New Roman" w:hAnsi="Times New Roman"/>
                <w:b/>
                <w:sz w:val="22"/>
                <w:szCs w:val="24"/>
              </w:rPr>
              <w:t>Strategic Goal 4:</w:t>
            </w:r>
            <w:r w:rsidRPr="006D18C5">
              <w:rPr>
                <w:rFonts w:ascii="Times New Roman" w:hAnsi="Times New Roman"/>
                <w:sz w:val="22"/>
                <w:szCs w:val="24"/>
              </w:rPr>
              <w:t xml:space="preserve"> Ensure an optimally capacitated institution</w:t>
            </w:r>
          </w:p>
        </w:tc>
        <w:tc>
          <w:tcPr>
            <w:tcW w:w="1557" w:type="dxa"/>
          </w:tcPr>
          <w:p w14:paraId="178628B3" w14:textId="77777777" w:rsidR="00470781" w:rsidRPr="006D18C5" w:rsidRDefault="00470781" w:rsidP="00470781">
            <w:pPr>
              <w:spacing w:after="0" w:line="360" w:lineRule="auto"/>
              <w:rPr>
                <w:rFonts w:ascii="Times New Roman" w:hAnsi="Times New Roman"/>
                <w:sz w:val="22"/>
                <w:szCs w:val="24"/>
              </w:rPr>
            </w:pPr>
            <w:r w:rsidRPr="006D18C5">
              <w:rPr>
                <w:rFonts w:ascii="Times New Roman" w:hAnsi="Times New Roman"/>
                <w:szCs w:val="24"/>
              </w:rPr>
              <w:t>Achieved: 0</w:t>
            </w:r>
          </w:p>
          <w:p w14:paraId="10D425BC" w14:textId="77777777" w:rsidR="00470781" w:rsidRPr="006D18C5" w:rsidRDefault="00470781" w:rsidP="0091667C">
            <w:pPr>
              <w:spacing w:after="0" w:line="360" w:lineRule="auto"/>
              <w:rPr>
                <w:rFonts w:ascii="Times New Roman" w:hAnsi="Times New Roman"/>
                <w:sz w:val="22"/>
                <w:szCs w:val="24"/>
              </w:rPr>
            </w:pPr>
            <w:r w:rsidRPr="006D18C5">
              <w:rPr>
                <w:rFonts w:ascii="Times New Roman" w:hAnsi="Times New Roman"/>
                <w:szCs w:val="24"/>
              </w:rPr>
              <w:t>Not achieved: 2</w:t>
            </w:r>
          </w:p>
        </w:tc>
        <w:tc>
          <w:tcPr>
            <w:tcW w:w="5408" w:type="dxa"/>
          </w:tcPr>
          <w:p w14:paraId="35B85472" w14:textId="77777777" w:rsidR="00037D0F" w:rsidRPr="006D18C5" w:rsidRDefault="00037D0F" w:rsidP="009D5D24">
            <w:pPr>
              <w:pStyle w:val="ListParagraph"/>
              <w:numPr>
                <w:ilvl w:val="0"/>
                <w:numId w:val="28"/>
              </w:numPr>
              <w:spacing w:line="360" w:lineRule="auto"/>
              <w:rPr>
                <w:rFonts w:ascii="Times New Roman" w:hAnsi="Times New Roman"/>
                <w:szCs w:val="24"/>
              </w:rPr>
            </w:pPr>
            <w:r w:rsidRPr="006D18C5">
              <w:rPr>
                <w:rFonts w:ascii="Times New Roman" w:hAnsi="Times New Roman"/>
                <w:sz w:val="22"/>
                <w:szCs w:val="24"/>
              </w:rPr>
              <w:t>Vacancy rate at 12% against a target of 6%.</w:t>
            </w:r>
          </w:p>
          <w:p w14:paraId="7B8C6743" w14:textId="77777777" w:rsidR="00037D0F" w:rsidRPr="006D18C5" w:rsidRDefault="00037D0F" w:rsidP="009D5D24">
            <w:pPr>
              <w:pStyle w:val="ListParagraph"/>
              <w:numPr>
                <w:ilvl w:val="0"/>
                <w:numId w:val="28"/>
              </w:numPr>
              <w:spacing w:line="360" w:lineRule="auto"/>
              <w:rPr>
                <w:rFonts w:ascii="Times New Roman" w:hAnsi="Times New Roman"/>
                <w:szCs w:val="24"/>
              </w:rPr>
            </w:pPr>
            <w:r w:rsidRPr="006D18C5">
              <w:rPr>
                <w:rFonts w:ascii="Times New Roman" w:hAnsi="Times New Roman"/>
                <w:sz w:val="22"/>
                <w:szCs w:val="24"/>
              </w:rPr>
              <w:t xml:space="preserve">Development, approval and implementation of the ICT Master System Plan (MSP): the system was developed, however, it was not finalised </w:t>
            </w:r>
            <w:r w:rsidR="00894672">
              <w:rPr>
                <w:rFonts w:ascii="Times New Roman" w:hAnsi="Times New Roman"/>
                <w:szCs w:val="24"/>
              </w:rPr>
              <w:t>due to the need to factor in the modernization of the NRCS.</w:t>
            </w:r>
          </w:p>
        </w:tc>
      </w:tr>
    </w:tbl>
    <w:p w14:paraId="5EAED98D" w14:textId="77777777" w:rsidR="00037D0F" w:rsidRPr="00586CCF" w:rsidRDefault="00037D0F" w:rsidP="00586CCF">
      <w:pPr>
        <w:spacing w:line="360" w:lineRule="auto"/>
        <w:rPr>
          <w:rFonts w:ascii="Times New Roman" w:hAnsi="Times New Roman" w:cs="Times New Roman"/>
          <w:sz w:val="24"/>
          <w:szCs w:val="24"/>
        </w:rPr>
      </w:pPr>
      <w:r w:rsidRPr="00894911">
        <w:rPr>
          <w:rFonts w:ascii="Times New Roman" w:hAnsi="Times New Roman" w:cs="Times New Roman"/>
          <w:sz w:val="24"/>
          <w:szCs w:val="24"/>
        </w:rPr>
        <w:t>Source:</w:t>
      </w:r>
      <w:r w:rsidRPr="00586CCF">
        <w:rPr>
          <w:rFonts w:ascii="Times New Roman" w:hAnsi="Times New Roman" w:cs="Times New Roman"/>
          <w:sz w:val="24"/>
          <w:szCs w:val="24"/>
        </w:rPr>
        <w:t xml:space="preserve"> N</w:t>
      </w:r>
      <w:r w:rsidR="00894911">
        <w:rPr>
          <w:rFonts w:ascii="Times New Roman" w:hAnsi="Times New Roman" w:cs="Times New Roman"/>
          <w:sz w:val="24"/>
          <w:szCs w:val="24"/>
        </w:rPr>
        <w:t xml:space="preserve">ational </w:t>
      </w:r>
      <w:r w:rsidRPr="00586CCF">
        <w:rPr>
          <w:rFonts w:ascii="Times New Roman" w:hAnsi="Times New Roman" w:cs="Times New Roman"/>
          <w:sz w:val="24"/>
          <w:szCs w:val="24"/>
        </w:rPr>
        <w:t>R</w:t>
      </w:r>
      <w:r w:rsidR="00894911">
        <w:rPr>
          <w:rFonts w:ascii="Times New Roman" w:hAnsi="Times New Roman" w:cs="Times New Roman"/>
          <w:sz w:val="24"/>
          <w:szCs w:val="24"/>
        </w:rPr>
        <w:t xml:space="preserve">egulator for </w:t>
      </w:r>
      <w:r w:rsidRPr="00586CCF">
        <w:rPr>
          <w:rFonts w:ascii="Times New Roman" w:hAnsi="Times New Roman" w:cs="Times New Roman"/>
          <w:sz w:val="24"/>
          <w:szCs w:val="24"/>
        </w:rPr>
        <w:t>C</w:t>
      </w:r>
      <w:r w:rsidR="00894911">
        <w:rPr>
          <w:rFonts w:ascii="Times New Roman" w:hAnsi="Times New Roman" w:cs="Times New Roman"/>
          <w:sz w:val="24"/>
          <w:szCs w:val="24"/>
        </w:rPr>
        <w:t xml:space="preserve">ompulsory </w:t>
      </w:r>
      <w:r w:rsidRPr="00586CCF">
        <w:rPr>
          <w:rFonts w:ascii="Times New Roman" w:hAnsi="Times New Roman" w:cs="Times New Roman"/>
          <w:sz w:val="24"/>
          <w:szCs w:val="24"/>
        </w:rPr>
        <w:t>S</w:t>
      </w:r>
      <w:r w:rsidR="00894911">
        <w:rPr>
          <w:rFonts w:ascii="Times New Roman" w:hAnsi="Times New Roman" w:cs="Times New Roman"/>
          <w:sz w:val="24"/>
          <w:szCs w:val="24"/>
        </w:rPr>
        <w:t>pecifications</w:t>
      </w:r>
      <w:r w:rsidRPr="00586CCF">
        <w:rPr>
          <w:rFonts w:ascii="Times New Roman" w:hAnsi="Times New Roman" w:cs="Times New Roman"/>
          <w:sz w:val="24"/>
          <w:szCs w:val="24"/>
        </w:rPr>
        <w:t xml:space="preserve"> (2017</w:t>
      </w:r>
      <w:r w:rsidR="00894911">
        <w:rPr>
          <w:rFonts w:ascii="Times New Roman" w:hAnsi="Times New Roman" w:cs="Times New Roman"/>
          <w:sz w:val="24"/>
          <w:szCs w:val="24"/>
        </w:rPr>
        <w:t>a</w:t>
      </w:r>
      <w:r w:rsidRPr="00586CCF">
        <w:rPr>
          <w:rFonts w:ascii="Times New Roman" w:hAnsi="Times New Roman" w:cs="Times New Roman"/>
          <w:sz w:val="24"/>
          <w:szCs w:val="24"/>
        </w:rPr>
        <w:t>)</w:t>
      </w:r>
    </w:p>
    <w:p w14:paraId="74DCE32A" w14:textId="77777777" w:rsidR="00037D0F" w:rsidRPr="00586CCF" w:rsidRDefault="00037D0F" w:rsidP="00586CCF">
      <w:pPr>
        <w:spacing w:line="360" w:lineRule="auto"/>
        <w:rPr>
          <w:rFonts w:ascii="Times New Roman" w:hAnsi="Times New Roman" w:cs="Times New Roman"/>
          <w:sz w:val="24"/>
          <w:szCs w:val="24"/>
        </w:rPr>
      </w:pPr>
    </w:p>
    <w:p w14:paraId="5903C681" w14:textId="77777777" w:rsidR="00037D0F" w:rsidRPr="00586CCF" w:rsidRDefault="00037D0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Other areas that the Committee had </w:t>
      </w:r>
      <w:r w:rsidR="00412C07">
        <w:rPr>
          <w:rFonts w:ascii="Times New Roman" w:hAnsi="Times New Roman" w:cs="Times New Roman"/>
          <w:sz w:val="24"/>
          <w:szCs w:val="24"/>
        </w:rPr>
        <w:t xml:space="preserve">previously </w:t>
      </w:r>
      <w:r w:rsidRPr="00586CCF">
        <w:rPr>
          <w:rFonts w:ascii="Times New Roman" w:hAnsi="Times New Roman" w:cs="Times New Roman"/>
          <w:sz w:val="24"/>
          <w:szCs w:val="24"/>
        </w:rPr>
        <w:t xml:space="preserve">raised concerns with </w:t>
      </w:r>
      <w:r w:rsidR="00412C07">
        <w:rPr>
          <w:rFonts w:ascii="Times New Roman" w:hAnsi="Times New Roman" w:cs="Times New Roman"/>
          <w:sz w:val="24"/>
          <w:szCs w:val="24"/>
        </w:rPr>
        <w:t>were</w:t>
      </w:r>
      <w:r w:rsidR="00412C07" w:rsidRPr="00586CCF">
        <w:rPr>
          <w:rFonts w:ascii="Times New Roman" w:hAnsi="Times New Roman" w:cs="Times New Roman"/>
          <w:sz w:val="24"/>
          <w:szCs w:val="24"/>
        </w:rPr>
        <w:t xml:space="preserve"> </w:t>
      </w:r>
      <w:r w:rsidRPr="00586CCF">
        <w:rPr>
          <w:rFonts w:ascii="Times New Roman" w:hAnsi="Times New Roman" w:cs="Times New Roman"/>
          <w:sz w:val="24"/>
          <w:szCs w:val="24"/>
        </w:rPr>
        <w:t>the NRCS</w:t>
      </w:r>
      <w:r w:rsidR="00412C07">
        <w:rPr>
          <w:rFonts w:ascii="Times New Roman" w:hAnsi="Times New Roman" w:cs="Times New Roman"/>
          <w:sz w:val="24"/>
          <w:szCs w:val="24"/>
        </w:rPr>
        <w:t>’</w:t>
      </w:r>
      <w:r w:rsidRPr="00586CCF">
        <w:rPr>
          <w:rFonts w:ascii="Times New Roman" w:hAnsi="Times New Roman" w:cs="Times New Roman"/>
          <w:sz w:val="24"/>
          <w:szCs w:val="24"/>
        </w:rPr>
        <w:t xml:space="preserve"> performance </w:t>
      </w:r>
      <w:r w:rsidR="00412C07">
        <w:rPr>
          <w:rFonts w:ascii="Times New Roman" w:hAnsi="Times New Roman" w:cs="Times New Roman"/>
          <w:sz w:val="24"/>
          <w:szCs w:val="24"/>
        </w:rPr>
        <w:t xml:space="preserve">in terms of </w:t>
      </w:r>
      <w:r w:rsidRPr="00586CCF">
        <w:rPr>
          <w:rFonts w:ascii="Times New Roman" w:hAnsi="Times New Roman" w:cs="Times New Roman"/>
          <w:sz w:val="24"/>
          <w:szCs w:val="24"/>
        </w:rPr>
        <w:t xml:space="preserve">the processing of Letters of Authority (LOAs) and the risk-based approach to processing LOAs. </w:t>
      </w:r>
    </w:p>
    <w:p w14:paraId="00E333A2" w14:textId="77777777" w:rsidR="00037D0F" w:rsidRPr="00586CCF" w:rsidRDefault="00037D0F" w:rsidP="00586CCF">
      <w:pPr>
        <w:spacing w:line="360" w:lineRule="auto"/>
        <w:rPr>
          <w:rFonts w:ascii="Times New Roman" w:hAnsi="Times New Roman" w:cs="Times New Roman"/>
          <w:sz w:val="24"/>
          <w:szCs w:val="24"/>
        </w:rPr>
      </w:pPr>
    </w:p>
    <w:p w14:paraId="27408F7E" w14:textId="77777777" w:rsidR="00037D0F" w:rsidRPr="00586CCF" w:rsidRDefault="007A3B5D" w:rsidP="00586CCF">
      <w:pPr>
        <w:spacing w:line="360" w:lineRule="auto"/>
        <w:rPr>
          <w:rFonts w:ascii="Times New Roman" w:hAnsi="Times New Roman" w:cs="Times New Roman"/>
          <w:sz w:val="24"/>
          <w:szCs w:val="24"/>
        </w:rPr>
      </w:pPr>
      <w:r w:rsidRPr="000C1D84">
        <w:rPr>
          <w:rFonts w:ascii="Times New Roman" w:hAnsi="Times New Roman" w:cs="Times New Roman"/>
          <w:sz w:val="24"/>
          <w:lang w:val="en-US"/>
        </w:rPr>
        <w:t>Since the 2014/15 financial year, there had been an increase in the number of LOA applications received and applications with non-compliant findings; however, th</w:t>
      </w:r>
      <w:r w:rsidR="009E4457" w:rsidRPr="000C1D84">
        <w:rPr>
          <w:rFonts w:ascii="Times New Roman" w:hAnsi="Times New Roman" w:cs="Times New Roman"/>
          <w:sz w:val="24"/>
          <w:lang w:val="en-US"/>
        </w:rPr>
        <w:t xml:space="preserve">ere was no corresponding increase in capacity within the NRCS to match the </w:t>
      </w:r>
      <w:r w:rsidRPr="000C1D84">
        <w:rPr>
          <w:rFonts w:ascii="Times New Roman" w:hAnsi="Times New Roman" w:cs="Times New Roman"/>
          <w:sz w:val="24"/>
          <w:lang w:val="en-US"/>
        </w:rPr>
        <w:t>increase</w:t>
      </w:r>
      <w:r w:rsidR="009E4457" w:rsidRPr="000C1D84">
        <w:rPr>
          <w:rFonts w:ascii="Times New Roman" w:hAnsi="Times New Roman" w:cs="Times New Roman"/>
          <w:sz w:val="24"/>
          <w:lang w:val="en-US"/>
        </w:rPr>
        <w:t>d demand</w:t>
      </w:r>
      <w:r w:rsidRPr="000C1D84">
        <w:rPr>
          <w:rFonts w:ascii="Times New Roman" w:hAnsi="Times New Roman" w:cs="Times New Roman"/>
          <w:sz w:val="24"/>
          <w:lang w:val="en-US"/>
        </w:rPr>
        <w:t xml:space="preserve"> </w:t>
      </w:r>
      <w:r w:rsidR="009E4457" w:rsidRPr="000C1D84">
        <w:rPr>
          <w:rFonts w:ascii="Times New Roman" w:hAnsi="Times New Roman" w:cs="Times New Roman"/>
          <w:sz w:val="24"/>
          <w:lang w:val="en-US"/>
        </w:rPr>
        <w:t>due to</w:t>
      </w:r>
      <w:r w:rsidRPr="000C1D84">
        <w:rPr>
          <w:rFonts w:ascii="Times New Roman" w:hAnsi="Times New Roman" w:cs="Times New Roman"/>
          <w:sz w:val="24"/>
          <w:lang w:val="en-US"/>
        </w:rPr>
        <w:t xml:space="preserve"> financial constraints.  This situation created</w:t>
      </w:r>
      <w:r w:rsidRPr="000C1D84">
        <w:rPr>
          <w:rFonts w:ascii="Times New Roman" w:hAnsi="Times New Roman" w:cs="Times New Roman"/>
          <w:sz w:val="28"/>
          <w:szCs w:val="24"/>
          <w:lang w:val="en-US"/>
        </w:rPr>
        <w:t xml:space="preserve"> </w:t>
      </w:r>
      <w:r w:rsidR="00037D0F" w:rsidRPr="00586CCF">
        <w:rPr>
          <w:rFonts w:ascii="Times New Roman" w:hAnsi="Times New Roman" w:cs="Times New Roman"/>
          <w:sz w:val="24"/>
          <w:szCs w:val="24"/>
        </w:rPr>
        <w:t xml:space="preserve">challenges with the processing of LOAs in the Electro-technical Business Unit, with applications consistently taking more than 120 </w:t>
      </w:r>
      <w:r>
        <w:rPr>
          <w:rFonts w:ascii="Times New Roman" w:hAnsi="Times New Roman" w:cs="Times New Roman"/>
          <w:sz w:val="24"/>
          <w:szCs w:val="24"/>
        </w:rPr>
        <w:t>working</w:t>
      </w:r>
      <w:r w:rsidRPr="00586CCF">
        <w:rPr>
          <w:rFonts w:ascii="Times New Roman" w:hAnsi="Times New Roman" w:cs="Times New Roman"/>
          <w:sz w:val="24"/>
          <w:szCs w:val="24"/>
        </w:rPr>
        <w:t xml:space="preserve"> </w:t>
      </w:r>
      <w:r w:rsidR="00037D0F" w:rsidRPr="00586CCF">
        <w:rPr>
          <w:rFonts w:ascii="Times New Roman" w:hAnsi="Times New Roman" w:cs="Times New Roman"/>
          <w:sz w:val="24"/>
          <w:szCs w:val="24"/>
        </w:rPr>
        <w:t xml:space="preserve">days to process. This </w:t>
      </w:r>
      <w:r w:rsidR="00412C07">
        <w:rPr>
          <w:rFonts w:ascii="Times New Roman" w:hAnsi="Times New Roman" w:cs="Times New Roman"/>
          <w:sz w:val="24"/>
          <w:szCs w:val="24"/>
        </w:rPr>
        <w:t xml:space="preserve">timeline </w:t>
      </w:r>
      <w:r w:rsidR="00037D0F" w:rsidRPr="00586CCF">
        <w:rPr>
          <w:rFonts w:ascii="Times New Roman" w:hAnsi="Times New Roman" w:cs="Times New Roman"/>
          <w:sz w:val="24"/>
          <w:szCs w:val="24"/>
        </w:rPr>
        <w:t xml:space="preserve">was then changed into 120 </w:t>
      </w:r>
      <w:r>
        <w:rPr>
          <w:rFonts w:ascii="Times New Roman" w:hAnsi="Times New Roman" w:cs="Times New Roman"/>
          <w:sz w:val="24"/>
          <w:szCs w:val="24"/>
        </w:rPr>
        <w:t xml:space="preserve">calendar </w:t>
      </w:r>
      <w:r w:rsidR="00037D0F" w:rsidRPr="00586CCF">
        <w:rPr>
          <w:rFonts w:ascii="Times New Roman" w:hAnsi="Times New Roman" w:cs="Times New Roman"/>
          <w:sz w:val="24"/>
          <w:szCs w:val="24"/>
        </w:rPr>
        <w:t>days</w:t>
      </w:r>
      <w:r>
        <w:rPr>
          <w:rFonts w:ascii="Times New Roman" w:hAnsi="Times New Roman" w:cs="Times New Roman"/>
          <w:sz w:val="24"/>
          <w:szCs w:val="24"/>
        </w:rPr>
        <w:t xml:space="preserve"> resulting in an increased </w:t>
      </w:r>
      <w:r w:rsidR="00037D0F" w:rsidRPr="00586CCF">
        <w:rPr>
          <w:rFonts w:ascii="Times New Roman" w:hAnsi="Times New Roman" w:cs="Times New Roman"/>
          <w:sz w:val="24"/>
          <w:szCs w:val="24"/>
        </w:rPr>
        <w:t>backlog</w:t>
      </w:r>
      <w:r w:rsidR="00412C07">
        <w:rPr>
          <w:rFonts w:ascii="Times New Roman" w:hAnsi="Times New Roman" w:cs="Times New Roman"/>
          <w:sz w:val="24"/>
          <w:szCs w:val="24"/>
        </w:rPr>
        <w:t xml:space="preserve"> in this area</w:t>
      </w:r>
      <w:r w:rsidR="00037D0F" w:rsidRPr="00586CCF">
        <w:rPr>
          <w:rFonts w:ascii="Times New Roman" w:hAnsi="Times New Roman" w:cs="Times New Roman"/>
          <w:sz w:val="24"/>
          <w:szCs w:val="24"/>
        </w:rPr>
        <w:t>. Throughout the financial year, the Committee regularly engaged</w:t>
      </w:r>
      <w:r w:rsidR="00412C07">
        <w:rPr>
          <w:rFonts w:ascii="Times New Roman" w:hAnsi="Times New Roman" w:cs="Times New Roman"/>
          <w:sz w:val="24"/>
          <w:szCs w:val="24"/>
        </w:rPr>
        <w:t xml:space="preserve"> the</w:t>
      </w:r>
      <w:r w:rsidR="00037D0F" w:rsidRPr="00586CCF">
        <w:rPr>
          <w:rFonts w:ascii="Times New Roman" w:hAnsi="Times New Roman" w:cs="Times New Roman"/>
          <w:sz w:val="24"/>
          <w:szCs w:val="24"/>
        </w:rPr>
        <w:t xml:space="preserve"> NRCS on the matter and the entity put in place measures to address this challenge. Among the interventions was capacitating the unit with more employees from the other Business Units where there </w:t>
      </w:r>
      <w:r w:rsidR="00412C07">
        <w:rPr>
          <w:rFonts w:ascii="Times New Roman" w:hAnsi="Times New Roman" w:cs="Times New Roman"/>
          <w:sz w:val="24"/>
          <w:szCs w:val="24"/>
        </w:rPr>
        <w:t>was a lower</w:t>
      </w:r>
      <w:r w:rsidR="00037D0F" w:rsidRPr="00586CCF">
        <w:rPr>
          <w:rFonts w:ascii="Times New Roman" w:hAnsi="Times New Roman" w:cs="Times New Roman"/>
          <w:sz w:val="24"/>
          <w:szCs w:val="24"/>
        </w:rPr>
        <w:t xml:space="preserve"> workload. </w:t>
      </w:r>
    </w:p>
    <w:p w14:paraId="72CD8CBE" w14:textId="77777777" w:rsidR="00037D0F" w:rsidRPr="00586CCF" w:rsidRDefault="00037D0F" w:rsidP="00586CCF">
      <w:pPr>
        <w:spacing w:line="360" w:lineRule="auto"/>
        <w:rPr>
          <w:rFonts w:ascii="Times New Roman" w:hAnsi="Times New Roman" w:cs="Times New Roman"/>
          <w:sz w:val="24"/>
          <w:szCs w:val="24"/>
        </w:rPr>
      </w:pPr>
    </w:p>
    <w:p w14:paraId="529D54AA" w14:textId="77777777" w:rsidR="00037D0F" w:rsidRPr="00586CCF" w:rsidRDefault="00037D0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For the 2016/17 financial year, the NRCS reported a significant increase in approvals of LOAs and a decrease in the backlog. The table below provides LOA</w:t>
      </w:r>
      <w:r w:rsidR="00412C07">
        <w:rPr>
          <w:rFonts w:ascii="Times New Roman" w:hAnsi="Times New Roman" w:cs="Times New Roman"/>
          <w:sz w:val="24"/>
          <w:szCs w:val="24"/>
        </w:rPr>
        <w:t>’</w:t>
      </w:r>
      <w:r w:rsidRPr="00586CCF">
        <w:rPr>
          <w:rFonts w:ascii="Times New Roman" w:hAnsi="Times New Roman" w:cs="Times New Roman"/>
          <w:sz w:val="24"/>
          <w:szCs w:val="24"/>
        </w:rPr>
        <w:t xml:space="preserve">s statistics for the 2016/17 financial year in comparison with the previous financial year (2015/16). </w:t>
      </w:r>
    </w:p>
    <w:p w14:paraId="78C5D4BF" w14:textId="77777777" w:rsidR="00B97677" w:rsidRPr="00586CCF" w:rsidRDefault="00B97677" w:rsidP="00586CCF">
      <w:pPr>
        <w:spacing w:line="360" w:lineRule="auto"/>
        <w:rPr>
          <w:rFonts w:ascii="Times New Roman" w:hAnsi="Times New Roman" w:cs="Times New Roman"/>
          <w:sz w:val="24"/>
          <w:szCs w:val="24"/>
        </w:rPr>
      </w:pPr>
    </w:p>
    <w:p w14:paraId="587F9F2B" w14:textId="77777777" w:rsidR="00894911" w:rsidRDefault="00894911">
      <w:pPr>
        <w:rPr>
          <w:rFonts w:ascii="Times New Roman" w:hAnsi="Times New Roman" w:cs="Times New Roman"/>
          <w:b/>
          <w:sz w:val="24"/>
          <w:szCs w:val="24"/>
        </w:rPr>
      </w:pPr>
      <w:r>
        <w:rPr>
          <w:rFonts w:ascii="Times New Roman" w:hAnsi="Times New Roman" w:cs="Times New Roman"/>
          <w:b/>
          <w:sz w:val="24"/>
          <w:szCs w:val="24"/>
        </w:rPr>
        <w:br w:type="page"/>
      </w:r>
    </w:p>
    <w:p w14:paraId="330A1129" w14:textId="77777777" w:rsidR="00037D0F" w:rsidRPr="00586CCF" w:rsidRDefault="00037D0F" w:rsidP="00586CCF">
      <w:pPr>
        <w:spacing w:line="360" w:lineRule="auto"/>
        <w:rPr>
          <w:rFonts w:ascii="Times New Roman" w:hAnsi="Times New Roman" w:cs="Times New Roman"/>
          <w:b/>
          <w:sz w:val="24"/>
          <w:szCs w:val="24"/>
        </w:rPr>
      </w:pPr>
      <w:r w:rsidRPr="00586CCF">
        <w:rPr>
          <w:rFonts w:ascii="Times New Roman" w:hAnsi="Times New Roman" w:cs="Times New Roman"/>
          <w:b/>
          <w:sz w:val="24"/>
          <w:szCs w:val="24"/>
        </w:rPr>
        <w:t xml:space="preserve">Table </w:t>
      </w:r>
      <w:r w:rsidR="00A474C6">
        <w:rPr>
          <w:rFonts w:ascii="Times New Roman" w:hAnsi="Times New Roman" w:cs="Times New Roman"/>
          <w:b/>
          <w:sz w:val="24"/>
          <w:szCs w:val="24"/>
        </w:rPr>
        <w:t>1</w:t>
      </w:r>
      <w:r w:rsidR="00510A07">
        <w:rPr>
          <w:rFonts w:ascii="Times New Roman" w:hAnsi="Times New Roman" w:cs="Times New Roman"/>
          <w:b/>
          <w:sz w:val="24"/>
          <w:szCs w:val="24"/>
        </w:rPr>
        <w:t>3</w:t>
      </w:r>
      <w:r w:rsidRPr="00586CCF">
        <w:rPr>
          <w:rFonts w:ascii="Times New Roman" w:hAnsi="Times New Roman" w:cs="Times New Roman"/>
          <w:b/>
          <w:sz w:val="24"/>
          <w:szCs w:val="24"/>
        </w:rPr>
        <w:t>: LOAs Processing during 2016/17</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092"/>
        <w:gridCol w:w="278"/>
        <w:gridCol w:w="3308"/>
        <w:gridCol w:w="992"/>
      </w:tblGrid>
      <w:tr w:rsidR="007D0E14" w:rsidRPr="007D0E14" w14:paraId="5FB9E051" w14:textId="77777777" w:rsidTr="007D0E14">
        <w:trPr>
          <w:trHeight w:val="283"/>
          <w:tblHeader/>
        </w:trPr>
        <w:tc>
          <w:tcPr>
            <w:tcW w:w="4499" w:type="dxa"/>
            <w:gridSpan w:val="2"/>
            <w:shd w:val="clear" w:color="auto" w:fill="BFBFBF" w:themeFill="background1" w:themeFillShade="BF"/>
            <w:vAlign w:val="center"/>
            <w:hideMark/>
          </w:tcPr>
          <w:p w14:paraId="244111E3" w14:textId="77777777" w:rsidR="00037D0F" w:rsidRPr="006D18C5" w:rsidRDefault="00037D0F" w:rsidP="00586CC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2015/16</w:t>
            </w:r>
          </w:p>
        </w:tc>
        <w:tc>
          <w:tcPr>
            <w:tcW w:w="278" w:type="dxa"/>
            <w:shd w:val="clear" w:color="auto" w:fill="BFBFBF" w:themeFill="background1" w:themeFillShade="BF"/>
            <w:vAlign w:val="center"/>
            <w:hideMark/>
          </w:tcPr>
          <w:p w14:paraId="6F57E995" w14:textId="77777777" w:rsidR="00037D0F" w:rsidRPr="006D18C5" w:rsidRDefault="00037D0F" w:rsidP="00586CCF">
            <w:pPr>
              <w:spacing w:line="360" w:lineRule="auto"/>
              <w:jc w:val="center"/>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 </w:t>
            </w:r>
          </w:p>
        </w:tc>
        <w:tc>
          <w:tcPr>
            <w:tcW w:w="4300" w:type="dxa"/>
            <w:gridSpan w:val="2"/>
            <w:shd w:val="clear" w:color="auto" w:fill="BFBFBF" w:themeFill="background1" w:themeFillShade="BF"/>
            <w:noWrap/>
            <w:vAlign w:val="center"/>
            <w:hideMark/>
          </w:tcPr>
          <w:p w14:paraId="1AA8FB35" w14:textId="77777777" w:rsidR="00037D0F" w:rsidRPr="006D18C5" w:rsidRDefault="00037D0F" w:rsidP="00586CC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2016/17</w:t>
            </w:r>
          </w:p>
        </w:tc>
      </w:tr>
      <w:tr w:rsidR="00037D0F" w:rsidRPr="00586CCF" w14:paraId="4E120FA9" w14:textId="77777777" w:rsidTr="00283959">
        <w:trPr>
          <w:trHeight w:val="283"/>
        </w:trPr>
        <w:tc>
          <w:tcPr>
            <w:tcW w:w="3407" w:type="dxa"/>
            <w:shd w:val="clear" w:color="auto" w:fill="auto"/>
            <w:vAlign w:val="center"/>
            <w:hideMark/>
          </w:tcPr>
          <w:p w14:paraId="78DF68E0"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Opening Balance: 1 April  2015</w:t>
            </w:r>
          </w:p>
        </w:tc>
        <w:tc>
          <w:tcPr>
            <w:tcW w:w="1092" w:type="dxa"/>
            <w:shd w:val="clear" w:color="auto" w:fill="auto"/>
            <w:noWrap/>
            <w:vAlign w:val="center"/>
            <w:hideMark/>
          </w:tcPr>
          <w:p w14:paraId="2DC75755" w14:textId="77777777" w:rsidR="00037D0F" w:rsidRPr="006D18C5" w:rsidRDefault="00037D0F"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3 577</w:t>
            </w:r>
          </w:p>
        </w:tc>
        <w:tc>
          <w:tcPr>
            <w:tcW w:w="278" w:type="dxa"/>
            <w:shd w:val="clear" w:color="000000" w:fill="000000"/>
            <w:vAlign w:val="center"/>
            <w:hideMark/>
          </w:tcPr>
          <w:p w14:paraId="536E1864"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 </w:t>
            </w:r>
          </w:p>
        </w:tc>
        <w:tc>
          <w:tcPr>
            <w:tcW w:w="3308" w:type="dxa"/>
            <w:shd w:val="clear" w:color="auto" w:fill="auto"/>
            <w:noWrap/>
            <w:vAlign w:val="center"/>
            <w:hideMark/>
          </w:tcPr>
          <w:p w14:paraId="41AA9D3A"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Opening Balance: 1 April 2016</w:t>
            </w:r>
          </w:p>
        </w:tc>
        <w:tc>
          <w:tcPr>
            <w:tcW w:w="992" w:type="dxa"/>
            <w:shd w:val="clear" w:color="auto" w:fill="auto"/>
            <w:noWrap/>
            <w:vAlign w:val="center"/>
            <w:hideMark/>
          </w:tcPr>
          <w:p w14:paraId="495E9F4C" w14:textId="77777777" w:rsidR="00037D0F" w:rsidRPr="006D18C5" w:rsidRDefault="00037D0F"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4 287</w:t>
            </w:r>
          </w:p>
        </w:tc>
      </w:tr>
      <w:tr w:rsidR="00037D0F" w:rsidRPr="00586CCF" w14:paraId="536C4CDF" w14:textId="77777777" w:rsidTr="00283959">
        <w:trPr>
          <w:trHeight w:val="283"/>
        </w:trPr>
        <w:tc>
          <w:tcPr>
            <w:tcW w:w="3407" w:type="dxa"/>
            <w:shd w:val="clear" w:color="auto" w:fill="auto"/>
            <w:vAlign w:val="center"/>
            <w:hideMark/>
          </w:tcPr>
          <w:p w14:paraId="25EF9333"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New Applications: 2015/16</w:t>
            </w:r>
          </w:p>
        </w:tc>
        <w:tc>
          <w:tcPr>
            <w:tcW w:w="1092" w:type="dxa"/>
            <w:shd w:val="clear" w:color="auto" w:fill="auto"/>
            <w:noWrap/>
            <w:vAlign w:val="center"/>
            <w:hideMark/>
          </w:tcPr>
          <w:p w14:paraId="72EEC5F8" w14:textId="77777777" w:rsidR="00037D0F" w:rsidRPr="006D18C5" w:rsidRDefault="00037D0F"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11 578</w:t>
            </w:r>
          </w:p>
        </w:tc>
        <w:tc>
          <w:tcPr>
            <w:tcW w:w="278" w:type="dxa"/>
            <w:shd w:val="clear" w:color="000000" w:fill="000000"/>
            <w:vAlign w:val="center"/>
            <w:hideMark/>
          </w:tcPr>
          <w:p w14:paraId="4D2DAF02"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 </w:t>
            </w:r>
          </w:p>
        </w:tc>
        <w:tc>
          <w:tcPr>
            <w:tcW w:w="3308" w:type="dxa"/>
            <w:shd w:val="clear" w:color="auto" w:fill="auto"/>
            <w:noWrap/>
            <w:vAlign w:val="center"/>
            <w:hideMark/>
          </w:tcPr>
          <w:p w14:paraId="6C9FB990"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New Applications: 2016/17</w:t>
            </w:r>
          </w:p>
        </w:tc>
        <w:tc>
          <w:tcPr>
            <w:tcW w:w="992" w:type="dxa"/>
            <w:shd w:val="clear" w:color="auto" w:fill="auto"/>
            <w:noWrap/>
            <w:vAlign w:val="center"/>
            <w:hideMark/>
          </w:tcPr>
          <w:p w14:paraId="469EC159" w14:textId="77777777" w:rsidR="00037D0F" w:rsidRPr="006D18C5" w:rsidRDefault="00037D0F"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12 701</w:t>
            </w:r>
          </w:p>
        </w:tc>
      </w:tr>
      <w:tr w:rsidR="00037D0F" w:rsidRPr="00586CCF" w14:paraId="10A8DD47" w14:textId="77777777" w:rsidTr="00283959">
        <w:trPr>
          <w:trHeight w:val="283"/>
        </w:trPr>
        <w:tc>
          <w:tcPr>
            <w:tcW w:w="3407" w:type="dxa"/>
            <w:shd w:val="clear" w:color="auto" w:fill="auto"/>
            <w:vAlign w:val="center"/>
            <w:hideMark/>
          </w:tcPr>
          <w:p w14:paraId="7CCDE32C"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Workload</w:t>
            </w:r>
          </w:p>
        </w:tc>
        <w:tc>
          <w:tcPr>
            <w:tcW w:w="1092" w:type="dxa"/>
            <w:shd w:val="clear" w:color="auto" w:fill="auto"/>
            <w:noWrap/>
            <w:vAlign w:val="center"/>
            <w:hideMark/>
          </w:tcPr>
          <w:p w14:paraId="0190F8DD" w14:textId="77777777" w:rsidR="00037D0F" w:rsidRPr="006D18C5" w:rsidRDefault="00037D0F"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15 155</w:t>
            </w:r>
          </w:p>
        </w:tc>
        <w:tc>
          <w:tcPr>
            <w:tcW w:w="278" w:type="dxa"/>
            <w:shd w:val="clear" w:color="000000" w:fill="000000"/>
            <w:vAlign w:val="center"/>
            <w:hideMark/>
          </w:tcPr>
          <w:p w14:paraId="31A7DCB9"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 </w:t>
            </w:r>
          </w:p>
        </w:tc>
        <w:tc>
          <w:tcPr>
            <w:tcW w:w="3308" w:type="dxa"/>
            <w:shd w:val="clear" w:color="auto" w:fill="auto"/>
            <w:noWrap/>
            <w:vAlign w:val="center"/>
            <w:hideMark/>
          </w:tcPr>
          <w:p w14:paraId="0FCB8605"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Workload</w:t>
            </w:r>
          </w:p>
        </w:tc>
        <w:tc>
          <w:tcPr>
            <w:tcW w:w="992" w:type="dxa"/>
            <w:shd w:val="clear" w:color="auto" w:fill="auto"/>
            <w:noWrap/>
            <w:vAlign w:val="center"/>
            <w:hideMark/>
          </w:tcPr>
          <w:p w14:paraId="0DE12082" w14:textId="77777777" w:rsidR="00037D0F" w:rsidRPr="006D18C5" w:rsidRDefault="00037D0F" w:rsidP="00586CCF">
            <w:pPr>
              <w:spacing w:line="360" w:lineRule="auto"/>
              <w:jc w:val="right"/>
              <w:rPr>
                <w:rFonts w:ascii="Times New Roman" w:eastAsia="Times New Roman" w:hAnsi="Times New Roman" w:cs="Times New Roman"/>
                <w:bCs/>
                <w:color w:val="000000"/>
                <w:szCs w:val="24"/>
                <w:lang w:eastAsia="en-ZA"/>
              </w:rPr>
            </w:pPr>
            <w:r w:rsidRPr="006D18C5">
              <w:rPr>
                <w:rFonts w:ascii="Times New Roman" w:eastAsia="Times New Roman" w:hAnsi="Times New Roman" w:cs="Times New Roman"/>
                <w:bCs/>
                <w:color w:val="000000"/>
                <w:szCs w:val="24"/>
                <w:lang w:eastAsia="en-ZA"/>
              </w:rPr>
              <w:t>16 988</w:t>
            </w:r>
          </w:p>
        </w:tc>
      </w:tr>
      <w:tr w:rsidR="00037D0F" w:rsidRPr="00586CCF" w14:paraId="09634DC5" w14:textId="77777777" w:rsidTr="00283959">
        <w:trPr>
          <w:trHeight w:val="283"/>
        </w:trPr>
        <w:tc>
          <w:tcPr>
            <w:tcW w:w="3407" w:type="dxa"/>
            <w:shd w:val="clear" w:color="auto" w:fill="auto"/>
            <w:vAlign w:val="center"/>
            <w:hideMark/>
          </w:tcPr>
          <w:p w14:paraId="393DB7E9"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Approvals</w:t>
            </w:r>
          </w:p>
        </w:tc>
        <w:tc>
          <w:tcPr>
            <w:tcW w:w="1092" w:type="dxa"/>
            <w:shd w:val="clear" w:color="auto" w:fill="auto"/>
            <w:noWrap/>
            <w:vAlign w:val="center"/>
            <w:hideMark/>
          </w:tcPr>
          <w:p w14:paraId="0FC52FF0" w14:textId="77777777" w:rsidR="00037D0F" w:rsidRPr="006D18C5" w:rsidRDefault="00037D0F"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(8 458)</w:t>
            </w:r>
          </w:p>
        </w:tc>
        <w:tc>
          <w:tcPr>
            <w:tcW w:w="278" w:type="dxa"/>
            <w:shd w:val="clear" w:color="000000" w:fill="000000"/>
            <w:vAlign w:val="center"/>
            <w:hideMark/>
          </w:tcPr>
          <w:p w14:paraId="1ACCD485"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 </w:t>
            </w:r>
          </w:p>
        </w:tc>
        <w:tc>
          <w:tcPr>
            <w:tcW w:w="3308" w:type="dxa"/>
            <w:shd w:val="clear" w:color="auto" w:fill="auto"/>
            <w:noWrap/>
            <w:vAlign w:val="center"/>
            <w:hideMark/>
          </w:tcPr>
          <w:p w14:paraId="3F01ACFC"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Approvals</w:t>
            </w:r>
          </w:p>
        </w:tc>
        <w:tc>
          <w:tcPr>
            <w:tcW w:w="992" w:type="dxa"/>
            <w:shd w:val="clear" w:color="auto" w:fill="auto"/>
            <w:noWrap/>
            <w:vAlign w:val="center"/>
            <w:hideMark/>
          </w:tcPr>
          <w:p w14:paraId="3E562201" w14:textId="77777777" w:rsidR="00037D0F" w:rsidRPr="006D18C5" w:rsidRDefault="00037D0F"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(12 122)</w:t>
            </w:r>
          </w:p>
        </w:tc>
      </w:tr>
      <w:tr w:rsidR="00037D0F" w:rsidRPr="00586CCF" w14:paraId="4D607DAF" w14:textId="77777777" w:rsidTr="00283959">
        <w:trPr>
          <w:trHeight w:val="283"/>
        </w:trPr>
        <w:tc>
          <w:tcPr>
            <w:tcW w:w="3407" w:type="dxa"/>
            <w:shd w:val="clear" w:color="auto" w:fill="auto"/>
            <w:vAlign w:val="center"/>
            <w:hideMark/>
          </w:tcPr>
          <w:p w14:paraId="41AB2408"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Closed</w:t>
            </w:r>
          </w:p>
        </w:tc>
        <w:tc>
          <w:tcPr>
            <w:tcW w:w="1092" w:type="dxa"/>
            <w:shd w:val="clear" w:color="auto" w:fill="auto"/>
            <w:noWrap/>
            <w:vAlign w:val="center"/>
            <w:hideMark/>
          </w:tcPr>
          <w:p w14:paraId="5D9219DA" w14:textId="77777777" w:rsidR="00037D0F" w:rsidRPr="006D18C5" w:rsidRDefault="00037D0F"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(2 412)</w:t>
            </w:r>
          </w:p>
        </w:tc>
        <w:tc>
          <w:tcPr>
            <w:tcW w:w="278" w:type="dxa"/>
            <w:shd w:val="clear" w:color="000000" w:fill="000000"/>
            <w:vAlign w:val="center"/>
            <w:hideMark/>
          </w:tcPr>
          <w:p w14:paraId="48F69CF5"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 </w:t>
            </w:r>
          </w:p>
        </w:tc>
        <w:tc>
          <w:tcPr>
            <w:tcW w:w="3308" w:type="dxa"/>
            <w:shd w:val="clear" w:color="auto" w:fill="auto"/>
            <w:noWrap/>
            <w:vAlign w:val="center"/>
            <w:hideMark/>
          </w:tcPr>
          <w:p w14:paraId="37F037E6"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Closed</w:t>
            </w:r>
          </w:p>
        </w:tc>
        <w:tc>
          <w:tcPr>
            <w:tcW w:w="992" w:type="dxa"/>
            <w:shd w:val="clear" w:color="auto" w:fill="auto"/>
            <w:noWrap/>
            <w:vAlign w:val="center"/>
            <w:hideMark/>
          </w:tcPr>
          <w:p w14:paraId="159D44AE" w14:textId="77777777" w:rsidR="00037D0F" w:rsidRPr="006D18C5" w:rsidRDefault="00037D0F" w:rsidP="00586CCF">
            <w:pPr>
              <w:spacing w:line="360" w:lineRule="auto"/>
              <w:jc w:val="righ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(1 911)</w:t>
            </w:r>
          </w:p>
        </w:tc>
      </w:tr>
      <w:tr w:rsidR="00037D0F" w:rsidRPr="00586CCF" w14:paraId="569C099C" w14:textId="77777777" w:rsidTr="00283959">
        <w:trPr>
          <w:trHeight w:val="283"/>
        </w:trPr>
        <w:tc>
          <w:tcPr>
            <w:tcW w:w="3407" w:type="dxa"/>
            <w:shd w:val="clear" w:color="auto" w:fill="auto"/>
            <w:vAlign w:val="center"/>
            <w:hideMark/>
          </w:tcPr>
          <w:p w14:paraId="09C27E71" w14:textId="77777777" w:rsidR="00037D0F" w:rsidRPr="006D18C5" w:rsidRDefault="00412C07" w:rsidP="00586CCF">
            <w:pPr>
              <w:spacing w:line="360" w:lineRule="auto"/>
              <w:jc w:val="left"/>
              <w:rPr>
                <w:rFonts w:ascii="Times New Roman" w:eastAsia="Times New Roman" w:hAnsi="Times New Roman" w:cs="Times New Roman"/>
                <w:b/>
                <w:color w:val="000000"/>
                <w:szCs w:val="24"/>
                <w:lang w:eastAsia="en-ZA"/>
              </w:rPr>
            </w:pPr>
            <w:r w:rsidRPr="006D18C5">
              <w:rPr>
                <w:rFonts w:ascii="Times New Roman" w:eastAsia="Times New Roman" w:hAnsi="Times New Roman" w:cs="Times New Roman"/>
                <w:b/>
                <w:color w:val="000000"/>
                <w:szCs w:val="24"/>
                <w:lang w:eastAsia="en-ZA"/>
              </w:rPr>
              <w:t xml:space="preserve">Closing </w:t>
            </w:r>
            <w:r w:rsidR="00037D0F" w:rsidRPr="006D18C5">
              <w:rPr>
                <w:rFonts w:ascii="Times New Roman" w:eastAsia="Times New Roman" w:hAnsi="Times New Roman" w:cs="Times New Roman"/>
                <w:b/>
                <w:color w:val="000000"/>
                <w:szCs w:val="24"/>
                <w:lang w:eastAsia="en-ZA"/>
              </w:rPr>
              <w:t>Balance</w:t>
            </w:r>
            <w:r>
              <w:rPr>
                <w:rFonts w:ascii="Times New Roman" w:eastAsia="Times New Roman" w:hAnsi="Times New Roman" w:cs="Times New Roman"/>
                <w:b/>
                <w:color w:val="000000"/>
                <w:szCs w:val="24"/>
                <w:lang w:eastAsia="en-ZA"/>
              </w:rPr>
              <w:t>: 31 March 2016</w:t>
            </w:r>
          </w:p>
        </w:tc>
        <w:tc>
          <w:tcPr>
            <w:tcW w:w="1092" w:type="dxa"/>
            <w:shd w:val="clear" w:color="auto" w:fill="auto"/>
            <w:noWrap/>
            <w:vAlign w:val="center"/>
            <w:hideMark/>
          </w:tcPr>
          <w:p w14:paraId="05795CB1" w14:textId="77777777" w:rsidR="00037D0F" w:rsidRPr="006D18C5" w:rsidRDefault="00037D0F" w:rsidP="00586CCF">
            <w:pPr>
              <w:spacing w:line="360" w:lineRule="auto"/>
              <w:jc w:val="right"/>
              <w:rPr>
                <w:rFonts w:ascii="Times New Roman" w:eastAsia="Times New Roman" w:hAnsi="Times New Roman" w:cs="Times New Roman"/>
                <w:b/>
                <w:bCs/>
                <w:color w:val="000000"/>
                <w:szCs w:val="24"/>
                <w:lang w:eastAsia="en-ZA"/>
              </w:rPr>
            </w:pPr>
            <w:r w:rsidRPr="006D18C5">
              <w:rPr>
                <w:rFonts w:ascii="Times New Roman" w:eastAsia="Times New Roman" w:hAnsi="Times New Roman" w:cs="Times New Roman"/>
                <w:b/>
                <w:bCs/>
                <w:color w:val="000000"/>
                <w:szCs w:val="24"/>
                <w:lang w:eastAsia="en-ZA"/>
              </w:rPr>
              <w:t>4 285</w:t>
            </w:r>
          </w:p>
        </w:tc>
        <w:tc>
          <w:tcPr>
            <w:tcW w:w="278" w:type="dxa"/>
            <w:shd w:val="clear" w:color="000000" w:fill="000000"/>
            <w:vAlign w:val="center"/>
            <w:hideMark/>
          </w:tcPr>
          <w:p w14:paraId="1BE5A927" w14:textId="77777777" w:rsidR="00037D0F" w:rsidRPr="006D18C5" w:rsidRDefault="00037D0F" w:rsidP="00586CCF">
            <w:pPr>
              <w:spacing w:line="360" w:lineRule="auto"/>
              <w:jc w:val="left"/>
              <w:rPr>
                <w:rFonts w:ascii="Times New Roman" w:eastAsia="Times New Roman" w:hAnsi="Times New Roman" w:cs="Times New Roman"/>
                <w:color w:val="000000"/>
                <w:szCs w:val="24"/>
                <w:lang w:eastAsia="en-ZA"/>
              </w:rPr>
            </w:pPr>
            <w:r w:rsidRPr="006D18C5">
              <w:rPr>
                <w:rFonts w:ascii="Times New Roman" w:eastAsia="Times New Roman" w:hAnsi="Times New Roman" w:cs="Times New Roman"/>
                <w:color w:val="000000"/>
                <w:szCs w:val="24"/>
                <w:lang w:eastAsia="en-ZA"/>
              </w:rPr>
              <w:t> </w:t>
            </w:r>
          </w:p>
        </w:tc>
        <w:tc>
          <w:tcPr>
            <w:tcW w:w="3308" w:type="dxa"/>
            <w:shd w:val="clear" w:color="auto" w:fill="auto"/>
            <w:noWrap/>
            <w:vAlign w:val="center"/>
            <w:hideMark/>
          </w:tcPr>
          <w:p w14:paraId="5496EF25" w14:textId="77777777" w:rsidR="00037D0F" w:rsidRPr="006D18C5" w:rsidRDefault="00412C07" w:rsidP="00586CCF">
            <w:pPr>
              <w:spacing w:line="360" w:lineRule="auto"/>
              <w:jc w:val="left"/>
              <w:rPr>
                <w:rFonts w:ascii="Times New Roman" w:eastAsia="Times New Roman" w:hAnsi="Times New Roman" w:cs="Times New Roman"/>
                <w:b/>
                <w:color w:val="000000"/>
                <w:szCs w:val="24"/>
                <w:lang w:eastAsia="en-ZA"/>
              </w:rPr>
            </w:pPr>
            <w:r w:rsidRPr="006D18C5">
              <w:rPr>
                <w:rFonts w:ascii="Times New Roman" w:eastAsia="Times New Roman" w:hAnsi="Times New Roman" w:cs="Times New Roman"/>
                <w:b/>
                <w:color w:val="000000"/>
                <w:szCs w:val="24"/>
                <w:lang w:eastAsia="en-ZA"/>
              </w:rPr>
              <w:t xml:space="preserve">Closing </w:t>
            </w:r>
            <w:r w:rsidR="00037D0F" w:rsidRPr="006D18C5">
              <w:rPr>
                <w:rFonts w:ascii="Times New Roman" w:eastAsia="Times New Roman" w:hAnsi="Times New Roman" w:cs="Times New Roman"/>
                <w:b/>
                <w:color w:val="000000"/>
                <w:szCs w:val="24"/>
                <w:lang w:eastAsia="en-ZA"/>
              </w:rPr>
              <w:t>Balance</w:t>
            </w:r>
            <w:r>
              <w:rPr>
                <w:rFonts w:ascii="Times New Roman" w:eastAsia="Times New Roman" w:hAnsi="Times New Roman" w:cs="Times New Roman"/>
                <w:b/>
                <w:color w:val="000000"/>
                <w:szCs w:val="24"/>
                <w:lang w:eastAsia="en-ZA"/>
              </w:rPr>
              <w:t>: 31 March 2017</w:t>
            </w:r>
          </w:p>
        </w:tc>
        <w:tc>
          <w:tcPr>
            <w:tcW w:w="992" w:type="dxa"/>
            <w:shd w:val="clear" w:color="auto" w:fill="auto"/>
            <w:noWrap/>
            <w:vAlign w:val="center"/>
            <w:hideMark/>
          </w:tcPr>
          <w:p w14:paraId="3D613E33" w14:textId="77777777" w:rsidR="00037D0F" w:rsidRPr="006D18C5" w:rsidRDefault="00037D0F" w:rsidP="00586CCF">
            <w:pPr>
              <w:spacing w:line="360" w:lineRule="auto"/>
              <w:jc w:val="right"/>
              <w:rPr>
                <w:rFonts w:ascii="Times New Roman" w:eastAsia="Times New Roman" w:hAnsi="Times New Roman" w:cs="Times New Roman"/>
                <w:b/>
                <w:bCs/>
                <w:color w:val="000000"/>
                <w:szCs w:val="24"/>
                <w:lang w:eastAsia="en-ZA"/>
              </w:rPr>
            </w:pPr>
            <w:r w:rsidRPr="006D18C5">
              <w:rPr>
                <w:rFonts w:ascii="Times New Roman" w:eastAsia="Times New Roman" w:hAnsi="Times New Roman" w:cs="Times New Roman"/>
                <w:b/>
                <w:bCs/>
                <w:color w:val="000000"/>
                <w:szCs w:val="24"/>
                <w:lang w:eastAsia="en-ZA"/>
              </w:rPr>
              <w:t>2 955</w:t>
            </w:r>
          </w:p>
        </w:tc>
      </w:tr>
    </w:tbl>
    <w:p w14:paraId="3B2992C5" w14:textId="77777777" w:rsidR="00037D0F" w:rsidRPr="00586CCF" w:rsidRDefault="00037D0F" w:rsidP="00586CCF">
      <w:pPr>
        <w:spacing w:line="360" w:lineRule="auto"/>
        <w:rPr>
          <w:rFonts w:ascii="Times New Roman" w:hAnsi="Times New Roman" w:cs="Times New Roman"/>
          <w:sz w:val="24"/>
          <w:szCs w:val="24"/>
        </w:rPr>
      </w:pPr>
      <w:r w:rsidRPr="00894911">
        <w:rPr>
          <w:rFonts w:ascii="Times New Roman" w:hAnsi="Times New Roman" w:cs="Times New Roman"/>
          <w:sz w:val="24"/>
          <w:szCs w:val="24"/>
        </w:rPr>
        <w:t>Source:</w:t>
      </w:r>
      <w:r w:rsidRPr="00586CCF">
        <w:rPr>
          <w:rFonts w:ascii="Times New Roman" w:hAnsi="Times New Roman" w:cs="Times New Roman"/>
          <w:sz w:val="24"/>
          <w:szCs w:val="24"/>
        </w:rPr>
        <w:t xml:space="preserve"> </w:t>
      </w:r>
      <w:r w:rsidR="00894911" w:rsidRPr="00586CCF">
        <w:rPr>
          <w:rFonts w:ascii="Times New Roman" w:hAnsi="Times New Roman" w:cs="Times New Roman"/>
          <w:sz w:val="24"/>
          <w:szCs w:val="24"/>
        </w:rPr>
        <w:t>N</w:t>
      </w:r>
      <w:r w:rsidR="00894911">
        <w:rPr>
          <w:rFonts w:ascii="Times New Roman" w:hAnsi="Times New Roman" w:cs="Times New Roman"/>
          <w:sz w:val="24"/>
          <w:szCs w:val="24"/>
        </w:rPr>
        <w:t xml:space="preserve">ational </w:t>
      </w:r>
      <w:r w:rsidR="00894911" w:rsidRPr="00586CCF">
        <w:rPr>
          <w:rFonts w:ascii="Times New Roman" w:hAnsi="Times New Roman" w:cs="Times New Roman"/>
          <w:sz w:val="24"/>
          <w:szCs w:val="24"/>
        </w:rPr>
        <w:t>R</w:t>
      </w:r>
      <w:r w:rsidR="00894911">
        <w:rPr>
          <w:rFonts w:ascii="Times New Roman" w:hAnsi="Times New Roman" w:cs="Times New Roman"/>
          <w:sz w:val="24"/>
          <w:szCs w:val="24"/>
        </w:rPr>
        <w:t xml:space="preserve">egulator for </w:t>
      </w:r>
      <w:r w:rsidR="00894911" w:rsidRPr="00586CCF">
        <w:rPr>
          <w:rFonts w:ascii="Times New Roman" w:hAnsi="Times New Roman" w:cs="Times New Roman"/>
          <w:sz w:val="24"/>
          <w:szCs w:val="24"/>
        </w:rPr>
        <w:t>C</w:t>
      </w:r>
      <w:r w:rsidR="00894911">
        <w:rPr>
          <w:rFonts w:ascii="Times New Roman" w:hAnsi="Times New Roman" w:cs="Times New Roman"/>
          <w:sz w:val="24"/>
          <w:szCs w:val="24"/>
        </w:rPr>
        <w:t xml:space="preserve">ompulsory </w:t>
      </w:r>
      <w:r w:rsidR="00894911" w:rsidRPr="00586CCF">
        <w:rPr>
          <w:rFonts w:ascii="Times New Roman" w:hAnsi="Times New Roman" w:cs="Times New Roman"/>
          <w:sz w:val="24"/>
          <w:szCs w:val="24"/>
        </w:rPr>
        <w:t>S</w:t>
      </w:r>
      <w:r w:rsidR="00894911">
        <w:rPr>
          <w:rFonts w:ascii="Times New Roman" w:hAnsi="Times New Roman" w:cs="Times New Roman"/>
          <w:sz w:val="24"/>
          <w:szCs w:val="24"/>
        </w:rPr>
        <w:t>pecifications</w:t>
      </w:r>
      <w:r w:rsidR="00894911" w:rsidRPr="00586CCF">
        <w:rPr>
          <w:rFonts w:ascii="Times New Roman" w:hAnsi="Times New Roman" w:cs="Times New Roman"/>
          <w:sz w:val="24"/>
          <w:szCs w:val="24"/>
        </w:rPr>
        <w:t xml:space="preserve"> (2017</w:t>
      </w:r>
      <w:r w:rsidR="00894911">
        <w:rPr>
          <w:rFonts w:ascii="Times New Roman" w:hAnsi="Times New Roman" w:cs="Times New Roman"/>
          <w:sz w:val="24"/>
          <w:szCs w:val="24"/>
        </w:rPr>
        <w:t>a</w:t>
      </w:r>
      <w:r w:rsidR="00894911" w:rsidRPr="00586CCF">
        <w:rPr>
          <w:rFonts w:ascii="Times New Roman" w:hAnsi="Times New Roman" w:cs="Times New Roman"/>
          <w:sz w:val="24"/>
          <w:szCs w:val="24"/>
        </w:rPr>
        <w:t>)</w:t>
      </w:r>
    </w:p>
    <w:p w14:paraId="44F05506" w14:textId="77777777" w:rsidR="00037D0F" w:rsidRPr="00586CCF" w:rsidRDefault="00037D0F" w:rsidP="00586CCF">
      <w:pPr>
        <w:spacing w:line="360" w:lineRule="auto"/>
        <w:rPr>
          <w:rFonts w:ascii="Times New Roman" w:hAnsi="Times New Roman" w:cs="Times New Roman"/>
          <w:sz w:val="24"/>
          <w:szCs w:val="24"/>
        </w:rPr>
      </w:pPr>
    </w:p>
    <w:p w14:paraId="52FAAFA1" w14:textId="77777777" w:rsidR="00037D0F" w:rsidRPr="000C1D84" w:rsidRDefault="00037D0F" w:rsidP="00586CCF">
      <w:pPr>
        <w:spacing w:line="360" w:lineRule="auto"/>
        <w:rPr>
          <w:rFonts w:ascii="Times New Roman" w:hAnsi="Times New Roman" w:cs="Times New Roman"/>
          <w:sz w:val="24"/>
          <w:szCs w:val="24"/>
        </w:rPr>
      </w:pPr>
      <w:r w:rsidRPr="000C1D84">
        <w:rPr>
          <w:rFonts w:ascii="Times New Roman" w:hAnsi="Times New Roman" w:cs="Times New Roman"/>
          <w:sz w:val="24"/>
          <w:szCs w:val="24"/>
        </w:rPr>
        <w:t xml:space="preserve">The statistics on the processing of LOAs show </w:t>
      </w:r>
      <w:r w:rsidR="00211DF6" w:rsidRPr="000C1D84">
        <w:rPr>
          <w:rFonts w:ascii="Times New Roman" w:hAnsi="Times New Roman" w:cs="Times New Roman"/>
          <w:sz w:val="24"/>
          <w:szCs w:val="24"/>
        </w:rPr>
        <w:t xml:space="preserve">that </w:t>
      </w:r>
      <w:r w:rsidRPr="000C1D84">
        <w:rPr>
          <w:rFonts w:ascii="Times New Roman" w:hAnsi="Times New Roman" w:cs="Times New Roman"/>
          <w:sz w:val="24"/>
          <w:szCs w:val="24"/>
        </w:rPr>
        <w:t xml:space="preserve">in </w:t>
      </w:r>
      <w:r w:rsidR="00211DF6" w:rsidRPr="000C1D84">
        <w:rPr>
          <w:rFonts w:ascii="Times New Roman" w:hAnsi="Times New Roman" w:cs="Times New Roman"/>
          <w:sz w:val="24"/>
          <w:szCs w:val="24"/>
        </w:rPr>
        <w:t xml:space="preserve">comparison </w:t>
      </w:r>
      <w:r w:rsidRPr="000C1D84">
        <w:rPr>
          <w:rFonts w:ascii="Times New Roman" w:hAnsi="Times New Roman" w:cs="Times New Roman"/>
          <w:sz w:val="24"/>
          <w:szCs w:val="24"/>
        </w:rPr>
        <w:t>to 2015/16 financial year</w:t>
      </w:r>
      <w:r w:rsidR="00211DF6" w:rsidRPr="000C1D84">
        <w:rPr>
          <w:rFonts w:ascii="Times New Roman" w:hAnsi="Times New Roman" w:cs="Times New Roman"/>
          <w:sz w:val="24"/>
          <w:szCs w:val="24"/>
        </w:rPr>
        <w:t xml:space="preserve"> there were an additional 1 123 applications, while approvals also </w:t>
      </w:r>
      <w:r w:rsidR="008965DA" w:rsidRPr="000C1D84">
        <w:rPr>
          <w:rFonts w:ascii="Times New Roman" w:hAnsi="Times New Roman" w:cs="Times New Roman"/>
          <w:sz w:val="24"/>
          <w:szCs w:val="24"/>
        </w:rPr>
        <w:t>increased by 3 664 in the 2016/17 financial year. Thus, the workload increased by 1 833 LOAs. However, the number of applications being carried over to the next financial year decreased by 1 330 applications. It therefore appears that the NRCS is making some progress in addressing this challenge inspite of increased demands for this service.</w:t>
      </w:r>
    </w:p>
    <w:p w14:paraId="76309544" w14:textId="77777777" w:rsidR="00037D0F" w:rsidRPr="006D18C5" w:rsidRDefault="00037D0F" w:rsidP="00586CCF">
      <w:pPr>
        <w:spacing w:line="360" w:lineRule="auto"/>
        <w:rPr>
          <w:rFonts w:ascii="Times New Roman" w:hAnsi="Times New Roman" w:cs="Times New Roman"/>
          <w:sz w:val="24"/>
          <w:szCs w:val="24"/>
          <w:highlight w:val="yellow"/>
        </w:rPr>
      </w:pPr>
    </w:p>
    <w:p w14:paraId="40DB537B" w14:textId="77777777" w:rsidR="007A3B5D" w:rsidRPr="00B9571B" w:rsidRDefault="007A3B5D" w:rsidP="00B9571B">
      <w:pPr>
        <w:spacing w:line="360" w:lineRule="auto"/>
        <w:rPr>
          <w:rFonts w:ascii="Times New Roman" w:hAnsi="Times New Roman" w:cs="Times New Roman"/>
          <w:sz w:val="24"/>
          <w:szCs w:val="24"/>
        </w:rPr>
      </w:pPr>
      <w:r w:rsidRPr="00B9571B">
        <w:rPr>
          <w:rFonts w:ascii="Times New Roman" w:hAnsi="Times New Roman" w:cs="Times New Roman"/>
          <w:sz w:val="24"/>
          <w:szCs w:val="24"/>
        </w:rPr>
        <w:t>The increase in new applications is said to be mainly due to the NRCS’s Border Enforcement Strategy and the implementation of the new compulsory specification for energy efficiency. In November 2014, the Minister of Trade and Industry declared a new compulsory specification</w:t>
      </w:r>
      <w:r w:rsidR="002C4A79">
        <w:rPr>
          <w:rFonts w:ascii="Times New Roman" w:hAnsi="Times New Roman" w:cs="Times New Roman"/>
          <w:sz w:val="24"/>
          <w:szCs w:val="24"/>
        </w:rPr>
        <w:t>,</w:t>
      </w:r>
      <w:r w:rsidRPr="00B9571B">
        <w:rPr>
          <w:rFonts w:ascii="Times New Roman" w:hAnsi="Times New Roman" w:cs="Times New Roman"/>
          <w:sz w:val="24"/>
          <w:szCs w:val="24"/>
        </w:rPr>
        <w:t xml:space="preserve"> “Compulsory Specification For Energy Efficiency And Labelling Of Electrical and Electronic Apparatus (VC 9008)”</w:t>
      </w:r>
      <w:r w:rsidR="002C4A79">
        <w:rPr>
          <w:rFonts w:ascii="Times New Roman" w:hAnsi="Times New Roman" w:cs="Times New Roman"/>
          <w:sz w:val="24"/>
          <w:szCs w:val="24"/>
        </w:rPr>
        <w:t>,</w:t>
      </w:r>
      <w:r w:rsidRPr="00B9571B">
        <w:rPr>
          <w:rFonts w:ascii="Times New Roman" w:hAnsi="Times New Roman" w:cs="Times New Roman"/>
          <w:sz w:val="24"/>
          <w:szCs w:val="24"/>
        </w:rPr>
        <w:t xml:space="preserve"> to be implemented in three phases for a period of up to 18 months</w:t>
      </w:r>
      <w:r w:rsidR="002C4A79" w:rsidRPr="000C1D84">
        <w:rPr>
          <w:rStyle w:val="FootnoteReference"/>
          <w:rFonts w:ascii="Times New Roman" w:hAnsi="Times New Roman" w:cs="Times New Roman"/>
          <w:sz w:val="24"/>
          <w:szCs w:val="24"/>
        </w:rPr>
        <w:footnoteReference w:id="10"/>
      </w:r>
      <w:r w:rsidRPr="00B9571B">
        <w:rPr>
          <w:rFonts w:ascii="Times New Roman" w:hAnsi="Times New Roman" w:cs="Times New Roman"/>
          <w:sz w:val="24"/>
          <w:szCs w:val="24"/>
        </w:rPr>
        <w:t>. According to the NRCS, the training of inspectors and lack of readiness of the test facilities ha</w:t>
      </w:r>
      <w:r w:rsidR="002C4A79">
        <w:rPr>
          <w:rFonts w:ascii="Times New Roman" w:hAnsi="Times New Roman" w:cs="Times New Roman"/>
          <w:sz w:val="24"/>
          <w:szCs w:val="24"/>
        </w:rPr>
        <w:t>d</w:t>
      </w:r>
      <w:r w:rsidRPr="00B9571B">
        <w:rPr>
          <w:rFonts w:ascii="Times New Roman" w:hAnsi="Times New Roman" w:cs="Times New Roman"/>
          <w:sz w:val="24"/>
          <w:szCs w:val="24"/>
        </w:rPr>
        <w:t xml:space="preserve"> resulted in a bottleneck of </w:t>
      </w:r>
      <w:r w:rsidR="002C4A79">
        <w:rPr>
          <w:rFonts w:ascii="Times New Roman" w:hAnsi="Times New Roman" w:cs="Times New Roman"/>
          <w:sz w:val="24"/>
          <w:szCs w:val="24"/>
        </w:rPr>
        <w:t xml:space="preserve">processing </w:t>
      </w:r>
      <w:r w:rsidRPr="00B9571B">
        <w:rPr>
          <w:rFonts w:ascii="Times New Roman" w:hAnsi="Times New Roman" w:cs="Times New Roman"/>
          <w:sz w:val="24"/>
          <w:szCs w:val="24"/>
        </w:rPr>
        <w:t>energy efficiency LOAs</w:t>
      </w:r>
      <w:r w:rsidR="002C4A79">
        <w:rPr>
          <w:rFonts w:ascii="Times New Roman" w:hAnsi="Times New Roman" w:cs="Times New Roman"/>
          <w:sz w:val="24"/>
          <w:szCs w:val="24"/>
        </w:rPr>
        <w:t>.</w:t>
      </w:r>
    </w:p>
    <w:p w14:paraId="391E603D" w14:textId="77777777" w:rsidR="00037D0F" w:rsidRPr="00586CCF" w:rsidRDefault="00037D0F" w:rsidP="00586CCF">
      <w:pPr>
        <w:spacing w:line="360" w:lineRule="auto"/>
        <w:rPr>
          <w:rFonts w:ascii="Times New Roman" w:hAnsi="Times New Roman" w:cs="Times New Roman"/>
          <w:sz w:val="24"/>
          <w:szCs w:val="24"/>
        </w:rPr>
      </w:pPr>
    </w:p>
    <w:p w14:paraId="5D5ED3BC" w14:textId="77777777" w:rsidR="00037D0F" w:rsidRPr="00586CCF" w:rsidRDefault="00037D0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w:t>
      </w:r>
      <w:r w:rsidR="008965DA" w:rsidRPr="00586CCF">
        <w:rPr>
          <w:rFonts w:ascii="Times New Roman" w:hAnsi="Times New Roman" w:cs="Times New Roman"/>
          <w:sz w:val="24"/>
          <w:szCs w:val="24"/>
        </w:rPr>
        <w:t>risk</w:t>
      </w:r>
      <w:r w:rsidRPr="00586CCF">
        <w:rPr>
          <w:rFonts w:ascii="Times New Roman" w:hAnsi="Times New Roman" w:cs="Times New Roman"/>
          <w:sz w:val="24"/>
          <w:szCs w:val="24"/>
        </w:rPr>
        <w:t xml:space="preserve">-based approach was a pilot project that would ensure that the renewal of LOAs is expedited. Certain aspects were being manually implemented and the risk profiling of retailers for the self-compliance project </w:t>
      </w:r>
      <w:r w:rsidR="008965DA">
        <w:rPr>
          <w:rFonts w:ascii="Times New Roman" w:hAnsi="Times New Roman" w:cs="Times New Roman"/>
          <w:sz w:val="24"/>
          <w:szCs w:val="24"/>
        </w:rPr>
        <w:t>had been</w:t>
      </w:r>
      <w:r w:rsidR="008965DA" w:rsidRPr="00586CCF">
        <w:rPr>
          <w:rFonts w:ascii="Times New Roman" w:hAnsi="Times New Roman" w:cs="Times New Roman"/>
          <w:sz w:val="24"/>
          <w:szCs w:val="24"/>
        </w:rPr>
        <w:t xml:space="preserve"> </w:t>
      </w:r>
      <w:r w:rsidRPr="00586CCF">
        <w:rPr>
          <w:rFonts w:ascii="Times New Roman" w:hAnsi="Times New Roman" w:cs="Times New Roman"/>
          <w:sz w:val="24"/>
          <w:szCs w:val="24"/>
        </w:rPr>
        <w:t>halted until th</w:t>
      </w:r>
      <w:r w:rsidR="008965DA">
        <w:rPr>
          <w:rFonts w:ascii="Times New Roman" w:hAnsi="Times New Roman" w:cs="Times New Roman"/>
          <w:sz w:val="24"/>
          <w:szCs w:val="24"/>
        </w:rPr>
        <w:t>is</w:t>
      </w:r>
      <w:r w:rsidRPr="00586CCF">
        <w:rPr>
          <w:rFonts w:ascii="Times New Roman" w:hAnsi="Times New Roman" w:cs="Times New Roman"/>
          <w:sz w:val="24"/>
          <w:szCs w:val="24"/>
        </w:rPr>
        <w:t xml:space="preserve"> backlog is addressed. Furthermore, the NRCS undertook ICT modernisation so that the risk-based approach can </w:t>
      </w:r>
      <w:r w:rsidR="008965DA">
        <w:rPr>
          <w:rFonts w:ascii="Times New Roman" w:hAnsi="Times New Roman" w:cs="Times New Roman"/>
          <w:sz w:val="24"/>
          <w:szCs w:val="24"/>
        </w:rPr>
        <w:t xml:space="preserve">be </w:t>
      </w:r>
      <w:r w:rsidRPr="00586CCF">
        <w:rPr>
          <w:rFonts w:ascii="Times New Roman" w:hAnsi="Times New Roman" w:cs="Times New Roman"/>
          <w:sz w:val="24"/>
          <w:szCs w:val="24"/>
        </w:rPr>
        <w:t xml:space="preserve">fully implemented. </w:t>
      </w:r>
    </w:p>
    <w:p w14:paraId="19EDA964" w14:textId="77777777" w:rsidR="00037D0F" w:rsidRPr="00586CCF" w:rsidRDefault="00037D0F" w:rsidP="00586CCF">
      <w:pPr>
        <w:spacing w:line="360" w:lineRule="auto"/>
        <w:rPr>
          <w:rFonts w:ascii="Times New Roman" w:hAnsi="Times New Roman" w:cs="Times New Roman"/>
          <w:sz w:val="24"/>
          <w:szCs w:val="24"/>
        </w:rPr>
      </w:pPr>
    </w:p>
    <w:p w14:paraId="4D882FDA" w14:textId="77777777" w:rsidR="00037D0F" w:rsidRDefault="00037D0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During the financial year</w:t>
      </w:r>
      <w:r w:rsidR="007A3B5D">
        <w:rPr>
          <w:rFonts w:ascii="Times New Roman" w:hAnsi="Times New Roman" w:cs="Times New Roman"/>
          <w:sz w:val="24"/>
          <w:szCs w:val="24"/>
        </w:rPr>
        <w:t>,</w:t>
      </w:r>
      <w:r w:rsidRPr="00586CCF">
        <w:rPr>
          <w:rFonts w:ascii="Times New Roman" w:hAnsi="Times New Roman" w:cs="Times New Roman"/>
          <w:sz w:val="24"/>
          <w:szCs w:val="24"/>
        </w:rPr>
        <w:t xml:space="preserve"> the risk-based approach was piloted in both pre-market approvals and post-market surveillance</w:t>
      </w:r>
      <w:r w:rsidRPr="00586CCF">
        <w:rPr>
          <w:rFonts w:ascii="Times New Roman" w:hAnsi="Times New Roman" w:cs="Times New Roman"/>
          <w:i/>
          <w:sz w:val="24"/>
          <w:szCs w:val="24"/>
        </w:rPr>
        <w:t>.</w:t>
      </w:r>
      <w:r w:rsidRPr="00586CCF">
        <w:rPr>
          <w:rFonts w:ascii="Times New Roman" w:hAnsi="Times New Roman" w:cs="Times New Roman"/>
          <w:sz w:val="24"/>
          <w:szCs w:val="24"/>
        </w:rPr>
        <w:t xml:space="preserve"> However, the ICT modernisation project</w:t>
      </w:r>
      <w:r w:rsidR="007A3B5D">
        <w:rPr>
          <w:rFonts w:ascii="Times New Roman" w:hAnsi="Times New Roman" w:cs="Times New Roman"/>
          <w:sz w:val="24"/>
          <w:szCs w:val="24"/>
        </w:rPr>
        <w:t xml:space="preserve"> pertaining to the risk-based approach portion</w:t>
      </w:r>
      <w:r w:rsidRPr="00586CCF">
        <w:rPr>
          <w:rFonts w:ascii="Times New Roman" w:hAnsi="Times New Roman" w:cs="Times New Roman"/>
          <w:sz w:val="24"/>
          <w:szCs w:val="24"/>
        </w:rPr>
        <w:t xml:space="preserve"> was not fully developed and implemented because the project was suspended while resources were dedicated to the LOA backlog. </w:t>
      </w:r>
    </w:p>
    <w:p w14:paraId="7CA0A5D1" w14:textId="77777777" w:rsidR="007D0E14" w:rsidRPr="00586CCF" w:rsidRDefault="007D0E14" w:rsidP="00586CCF">
      <w:pPr>
        <w:spacing w:line="360" w:lineRule="auto"/>
        <w:rPr>
          <w:rFonts w:ascii="Times New Roman" w:hAnsi="Times New Roman" w:cs="Times New Roman"/>
          <w:sz w:val="24"/>
          <w:szCs w:val="24"/>
        </w:rPr>
      </w:pPr>
    </w:p>
    <w:p w14:paraId="3A064B25" w14:textId="77777777" w:rsidR="00037D0F" w:rsidRPr="004265FC" w:rsidRDefault="00037D0F"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Human Resources</w:t>
      </w:r>
    </w:p>
    <w:p w14:paraId="1E7DACF9" w14:textId="77777777" w:rsidR="00037D0F" w:rsidRPr="00586CCF" w:rsidRDefault="00037D0F" w:rsidP="00586CCF">
      <w:pPr>
        <w:spacing w:line="360" w:lineRule="auto"/>
        <w:rPr>
          <w:rFonts w:ascii="Times New Roman" w:hAnsi="Times New Roman" w:cs="Times New Roman"/>
          <w:sz w:val="24"/>
          <w:szCs w:val="24"/>
        </w:rPr>
      </w:pPr>
    </w:p>
    <w:p w14:paraId="5661A0D3" w14:textId="77777777" w:rsidR="00037D0F" w:rsidRPr="0091667C" w:rsidRDefault="00037D0F" w:rsidP="00586CCF">
      <w:pPr>
        <w:spacing w:line="360" w:lineRule="auto"/>
        <w:rPr>
          <w:rFonts w:ascii="Times New Roman" w:hAnsi="Times New Roman" w:cs="Times New Roman"/>
          <w:sz w:val="24"/>
          <w:szCs w:val="24"/>
          <w:lang w:val="en-US"/>
        </w:rPr>
      </w:pPr>
      <w:r w:rsidRPr="00586CCF">
        <w:rPr>
          <w:rFonts w:ascii="Times New Roman" w:hAnsi="Times New Roman" w:cs="Times New Roman"/>
          <w:sz w:val="24"/>
          <w:szCs w:val="24"/>
        </w:rPr>
        <w:t>For the financial year, the NRCS had an approved structure of 329 employees</w:t>
      </w:r>
      <w:r w:rsidR="00D33D61">
        <w:rPr>
          <w:rFonts w:ascii="Times New Roman" w:hAnsi="Times New Roman" w:cs="Times New Roman"/>
          <w:sz w:val="24"/>
          <w:szCs w:val="24"/>
        </w:rPr>
        <w:t>;</w:t>
      </w:r>
      <w:r w:rsidRPr="00586CCF">
        <w:rPr>
          <w:rFonts w:ascii="Times New Roman" w:hAnsi="Times New Roman" w:cs="Times New Roman"/>
          <w:sz w:val="24"/>
          <w:szCs w:val="24"/>
        </w:rPr>
        <w:t xml:space="preserve"> however</w:t>
      </w:r>
      <w:r w:rsidR="00D33D61">
        <w:rPr>
          <w:rFonts w:ascii="Times New Roman" w:hAnsi="Times New Roman" w:cs="Times New Roman"/>
          <w:sz w:val="24"/>
          <w:szCs w:val="24"/>
        </w:rPr>
        <w:t>,</w:t>
      </w:r>
      <w:r w:rsidRPr="00586CCF">
        <w:rPr>
          <w:rFonts w:ascii="Times New Roman" w:hAnsi="Times New Roman" w:cs="Times New Roman"/>
          <w:sz w:val="24"/>
          <w:szCs w:val="24"/>
        </w:rPr>
        <w:t xml:space="preserve"> for the period</w:t>
      </w:r>
      <w:r w:rsidR="00D33D61">
        <w:rPr>
          <w:rFonts w:ascii="Times New Roman" w:hAnsi="Times New Roman" w:cs="Times New Roman"/>
          <w:sz w:val="24"/>
          <w:szCs w:val="24"/>
        </w:rPr>
        <w:t>,</w:t>
      </w:r>
      <w:r w:rsidRPr="00586CCF">
        <w:rPr>
          <w:rFonts w:ascii="Times New Roman" w:hAnsi="Times New Roman" w:cs="Times New Roman"/>
          <w:sz w:val="24"/>
          <w:szCs w:val="24"/>
        </w:rPr>
        <w:t xml:space="preserve"> 289 posts were filled at a cost of </w:t>
      </w:r>
      <w:r w:rsidRPr="006D18C5">
        <w:rPr>
          <w:rFonts w:ascii="Times New Roman" w:hAnsi="Times New Roman" w:cs="Times New Roman"/>
          <w:sz w:val="24"/>
          <w:szCs w:val="24"/>
        </w:rPr>
        <w:t>R258.2 million (79% of total expenditure for the financial year)</w:t>
      </w:r>
      <w:r w:rsidRPr="006A3D82">
        <w:rPr>
          <w:rFonts w:ascii="Times New Roman" w:hAnsi="Times New Roman" w:cs="Times New Roman"/>
          <w:sz w:val="24"/>
          <w:szCs w:val="24"/>
        </w:rPr>
        <w:t>. This translate</w:t>
      </w:r>
      <w:r w:rsidR="006A3D82">
        <w:rPr>
          <w:rFonts w:ascii="Times New Roman" w:hAnsi="Times New Roman" w:cs="Times New Roman"/>
          <w:sz w:val="24"/>
          <w:szCs w:val="24"/>
        </w:rPr>
        <w:t>d</w:t>
      </w:r>
      <w:r w:rsidRPr="006A3D82">
        <w:rPr>
          <w:rFonts w:ascii="Times New Roman" w:hAnsi="Times New Roman" w:cs="Times New Roman"/>
          <w:sz w:val="24"/>
          <w:szCs w:val="24"/>
        </w:rPr>
        <w:t xml:space="preserve"> to a </w:t>
      </w:r>
      <w:r w:rsidRPr="006D18C5">
        <w:rPr>
          <w:rFonts w:ascii="Times New Roman" w:hAnsi="Times New Roman" w:cs="Times New Roman"/>
          <w:sz w:val="24"/>
          <w:szCs w:val="24"/>
        </w:rPr>
        <w:t>vacancy rate of 12% with 40 posts remaining unfilled</w:t>
      </w:r>
      <w:r w:rsidRPr="006A3D82">
        <w:rPr>
          <w:rFonts w:ascii="Times New Roman" w:hAnsi="Times New Roman" w:cs="Times New Roman"/>
          <w:sz w:val="24"/>
          <w:szCs w:val="24"/>
        </w:rPr>
        <w:t xml:space="preserve">. It is important to note that during the financial year a number of </w:t>
      </w:r>
      <w:r w:rsidRPr="006D18C5">
        <w:rPr>
          <w:rFonts w:ascii="Times New Roman" w:hAnsi="Times New Roman" w:cs="Times New Roman"/>
          <w:sz w:val="24"/>
          <w:szCs w:val="24"/>
        </w:rPr>
        <w:t>critical posts became vacant, these include</w:t>
      </w:r>
      <w:r w:rsidR="006A3D82">
        <w:rPr>
          <w:rFonts w:ascii="Times New Roman" w:hAnsi="Times New Roman" w:cs="Times New Roman"/>
          <w:sz w:val="24"/>
          <w:szCs w:val="24"/>
        </w:rPr>
        <w:t>d</w:t>
      </w:r>
      <w:r w:rsidRPr="006D18C5">
        <w:rPr>
          <w:rFonts w:ascii="Times New Roman" w:hAnsi="Times New Roman" w:cs="Times New Roman"/>
          <w:sz w:val="24"/>
          <w:szCs w:val="24"/>
        </w:rPr>
        <w:t xml:space="preserve"> the Chief Executive Officer and the Chief Financial Officer. Additionally, the post of  </w:t>
      </w:r>
      <w:r w:rsidRPr="006D18C5">
        <w:rPr>
          <w:rFonts w:ascii="Times New Roman" w:hAnsi="Times New Roman" w:cs="Times New Roman"/>
          <w:sz w:val="24"/>
          <w:szCs w:val="24"/>
          <w:lang w:val="en-US"/>
        </w:rPr>
        <w:t>Deputy Chief Executive Officer, Head of Enforcement/Chief Operations Officer, General Manager: Automotive</w:t>
      </w:r>
      <w:r w:rsidRPr="006D18C5">
        <w:rPr>
          <w:rFonts w:ascii="Times New Roman" w:hAnsi="Times New Roman" w:cs="Times New Roman"/>
          <w:sz w:val="24"/>
          <w:szCs w:val="24"/>
        </w:rPr>
        <w:t xml:space="preserve">, </w:t>
      </w:r>
      <w:r w:rsidRPr="006D18C5">
        <w:rPr>
          <w:rFonts w:ascii="Times New Roman" w:hAnsi="Times New Roman" w:cs="Times New Roman"/>
          <w:sz w:val="24"/>
          <w:szCs w:val="24"/>
          <w:lang w:val="en-US"/>
        </w:rPr>
        <w:t xml:space="preserve">General Manager: Chemicals Materials and Mechanicals, General Manager: National Building Regulations, and Senior Manager: ICT  were vacant. </w:t>
      </w:r>
      <w:r w:rsidRPr="006A3D82">
        <w:rPr>
          <w:rFonts w:ascii="Times New Roman" w:hAnsi="Times New Roman" w:cs="Times New Roman"/>
          <w:sz w:val="24"/>
          <w:szCs w:val="24"/>
          <w:lang w:val="en-US"/>
        </w:rPr>
        <w:t xml:space="preserve">In a response to the Committee’s questions on the vacancies in February 2017, the NRCS said that some of the posts would be advertised in March 2017, while others would only be advertised after the organisational review that </w:t>
      </w:r>
      <w:r w:rsidR="006A3D82">
        <w:rPr>
          <w:rFonts w:ascii="Times New Roman" w:hAnsi="Times New Roman" w:cs="Times New Roman"/>
          <w:sz w:val="24"/>
          <w:szCs w:val="24"/>
          <w:lang w:val="en-US"/>
        </w:rPr>
        <w:t xml:space="preserve">it </w:t>
      </w:r>
      <w:r w:rsidRPr="006A3D82">
        <w:rPr>
          <w:rFonts w:ascii="Times New Roman" w:hAnsi="Times New Roman" w:cs="Times New Roman"/>
          <w:sz w:val="24"/>
          <w:szCs w:val="24"/>
          <w:lang w:val="en-US"/>
        </w:rPr>
        <w:t xml:space="preserve">was undertaking during the financial year. There </w:t>
      </w:r>
      <w:r w:rsidR="006A3D82">
        <w:rPr>
          <w:rFonts w:ascii="Times New Roman" w:hAnsi="Times New Roman" w:cs="Times New Roman"/>
          <w:sz w:val="24"/>
          <w:szCs w:val="24"/>
          <w:lang w:val="en-US"/>
        </w:rPr>
        <w:t>were</w:t>
      </w:r>
      <w:r w:rsidR="006A3D82" w:rsidRPr="006A3D82">
        <w:rPr>
          <w:rFonts w:ascii="Times New Roman" w:hAnsi="Times New Roman" w:cs="Times New Roman"/>
          <w:sz w:val="24"/>
          <w:szCs w:val="24"/>
          <w:lang w:val="en-US"/>
        </w:rPr>
        <w:t xml:space="preserve"> </w:t>
      </w:r>
      <w:r w:rsidRPr="006A3D82">
        <w:rPr>
          <w:rFonts w:ascii="Times New Roman" w:hAnsi="Times New Roman" w:cs="Times New Roman"/>
          <w:sz w:val="24"/>
          <w:szCs w:val="24"/>
          <w:lang w:val="en-US"/>
        </w:rPr>
        <w:t xml:space="preserve">other vacant posts in the core business units such as </w:t>
      </w:r>
      <w:r w:rsidR="003F6AF9" w:rsidRPr="00586CCF">
        <w:rPr>
          <w:rFonts w:ascii="Times New Roman" w:hAnsi="Times New Roman" w:cs="Times New Roman"/>
          <w:sz w:val="24"/>
          <w:szCs w:val="24"/>
          <w:lang w:val="en-US"/>
        </w:rPr>
        <w:t xml:space="preserve">(6 posts), </w:t>
      </w:r>
      <w:r w:rsidR="003F6AF9">
        <w:rPr>
          <w:rFonts w:ascii="Times New Roman" w:hAnsi="Times New Roman" w:cs="Times New Roman"/>
          <w:sz w:val="24"/>
          <w:szCs w:val="24"/>
          <w:lang w:val="en-US"/>
        </w:rPr>
        <w:t>F</w:t>
      </w:r>
      <w:r w:rsidR="003F6AF9" w:rsidRPr="00586CCF">
        <w:rPr>
          <w:rFonts w:ascii="Times New Roman" w:hAnsi="Times New Roman" w:cs="Times New Roman"/>
          <w:sz w:val="24"/>
          <w:szCs w:val="24"/>
          <w:lang w:val="en-US"/>
        </w:rPr>
        <w:t>ood</w:t>
      </w:r>
      <w:r w:rsidR="003F6AF9">
        <w:rPr>
          <w:rFonts w:ascii="Times New Roman" w:hAnsi="Times New Roman" w:cs="Times New Roman"/>
          <w:sz w:val="24"/>
          <w:szCs w:val="24"/>
          <w:lang w:val="en-US"/>
        </w:rPr>
        <w:t>s</w:t>
      </w:r>
      <w:r w:rsidR="003F6AF9" w:rsidRPr="00586CCF">
        <w:rPr>
          <w:rFonts w:ascii="Times New Roman" w:hAnsi="Times New Roman" w:cs="Times New Roman"/>
          <w:sz w:val="24"/>
          <w:szCs w:val="24"/>
          <w:lang w:val="en-US"/>
        </w:rPr>
        <w:t xml:space="preserve"> </w:t>
      </w:r>
      <w:r w:rsidR="003F6AF9">
        <w:rPr>
          <w:rFonts w:ascii="Times New Roman" w:hAnsi="Times New Roman" w:cs="Times New Roman"/>
          <w:sz w:val="24"/>
          <w:szCs w:val="24"/>
          <w:lang w:val="en-US"/>
        </w:rPr>
        <w:t xml:space="preserve">and Associated Industries </w:t>
      </w:r>
      <w:r w:rsidR="003F6AF9" w:rsidRPr="00586CCF">
        <w:rPr>
          <w:rFonts w:ascii="Times New Roman" w:hAnsi="Times New Roman" w:cs="Times New Roman"/>
          <w:sz w:val="24"/>
          <w:szCs w:val="24"/>
          <w:lang w:val="en-US"/>
        </w:rPr>
        <w:t xml:space="preserve">(5 posts), and </w:t>
      </w:r>
      <w:r w:rsidR="003F6AF9">
        <w:rPr>
          <w:rFonts w:ascii="Times New Roman" w:hAnsi="Times New Roman" w:cs="Times New Roman"/>
          <w:sz w:val="24"/>
          <w:szCs w:val="24"/>
          <w:lang w:val="en-US"/>
        </w:rPr>
        <w:t>Legal M</w:t>
      </w:r>
      <w:r w:rsidR="003F6AF9" w:rsidRPr="00586CCF">
        <w:rPr>
          <w:rFonts w:ascii="Times New Roman" w:hAnsi="Times New Roman" w:cs="Times New Roman"/>
          <w:sz w:val="24"/>
          <w:szCs w:val="24"/>
          <w:lang w:val="en-US"/>
        </w:rPr>
        <w:t xml:space="preserve">etrology business unit (5 posts). </w:t>
      </w:r>
      <w:r w:rsidR="003F6AF9">
        <w:rPr>
          <w:rFonts w:ascii="Times New Roman" w:hAnsi="Times New Roman" w:cs="Times New Roman"/>
          <w:sz w:val="24"/>
          <w:szCs w:val="24"/>
          <w:lang w:val="en-US"/>
        </w:rPr>
        <w:t xml:space="preserve">One </w:t>
      </w:r>
      <w:r w:rsidR="003F6AF9" w:rsidRPr="00586CCF">
        <w:rPr>
          <w:rFonts w:ascii="Times New Roman" w:hAnsi="Times New Roman" w:cs="Times New Roman"/>
          <w:sz w:val="24"/>
          <w:szCs w:val="24"/>
          <w:lang w:val="en-US"/>
        </w:rPr>
        <w:t xml:space="preserve"> </w:t>
      </w:r>
      <w:r w:rsidR="003F6AF9">
        <w:rPr>
          <w:rFonts w:ascii="Times New Roman" w:hAnsi="Times New Roman" w:cs="Times New Roman"/>
          <w:sz w:val="24"/>
          <w:szCs w:val="24"/>
          <w:lang w:val="en-US"/>
        </w:rPr>
        <w:t xml:space="preserve">position was </w:t>
      </w:r>
      <w:r w:rsidR="003F6AF9" w:rsidRPr="00586CCF">
        <w:rPr>
          <w:rFonts w:ascii="Times New Roman" w:hAnsi="Times New Roman" w:cs="Times New Roman"/>
          <w:sz w:val="24"/>
          <w:szCs w:val="24"/>
          <w:lang w:val="en-US"/>
        </w:rPr>
        <w:t xml:space="preserve"> filled during the financial year.</w:t>
      </w:r>
    </w:p>
    <w:p w14:paraId="7A63ACB8" w14:textId="77777777" w:rsidR="00037D0F" w:rsidRPr="00586CCF" w:rsidRDefault="00037D0F" w:rsidP="00586CCF">
      <w:pPr>
        <w:spacing w:line="360" w:lineRule="auto"/>
        <w:rPr>
          <w:rFonts w:ascii="Times New Roman" w:hAnsi="Times New Roman" w:cs="Times New Roman"/>
          <w:sz w:val="24"/>
          <w:szCs w:val="24"/>
          <w:lang w:val="en-US"/>
        </w:rPr>
      </w:pPr>
    </w:p>
    <w:p w14:paraId="5CE60887" w14:textId="77777777" w:rsidR="00037D0F" w:rsidRPr="00586CCF" w:rsidRDefault="00037D0F" w:rsidP="00586CCF">
      <w:pPr>
        <w:spacing w:line="360" w:lineRule="auto"/>
        <w:rPr>
          <w:rFonts w:ascii="Times New Roman" w:hAnsi="Times New Roman" w:cs="Times New Roman"/>
          <w:sz w:val="24"/>
          <w:szCs w:val="24"/>
          <w:lang w:val="en-US"/>
        </w:rPr>
      </w:pPr>
      <w:r w:rsidRPr="00586CCF">
        <w:rPr>
          <w:rFonts w:ascii="Times New Roman" w:hAnsi="Times New Roman" w:cs="Times New Roman"/>
          <w:sz w:val="24"/>
          <w:szCs w:val="24"/>
          <w:lang w:val="en-US"/>
        </w:rPr>
        <w:t xml:space="preserve">Other human resources matters that the entity dealt with during the financial year </w:t>
      </w:r>
      <w:r w:rsidR="006A3D82">
        <w:rPr>
          <w:rFonts w:ascii="Times New Roman" w:hAnsi="Times New Roman" w:cs="Times New Roman"/>
          <w:sz w:val="24"/>
          <w:szCs w:val="24"/>
          <w:lang w:val="en-US"/>
        </w:rPr>
        <w:t>we</w:t>
      </w:r>
      <w:r w:rsidRPr="00586CCF">
        <w:rPr>
          <w:rFonts w:ascii="Times New Roman" w:hAnsi="Times New Roman" w:cs="Times New Roman"/>
          <w:sz w:val="24"/>
          <w:szCs w:val="24"/>
          <w:lang w:val="en-US"/>
        </w:rPr>
        <w:t>re the following:</w:t>
      </w:r>
    </w:p>
    <w:p w14:paraId="7FE1FC47" w14:textId="77777777" w:rsidR="00037D0F" w:rsidRPr="00586CCF" w:rsidRDefault="00037D0F" w:rsidP="00586CCF">
      <w:pPr>
        <w:spacing w:line="360" w:lineRule="auto"/>
        <w:rPr>
          <w:rFonts w:ascii="Times New Roman" w:hAnsi="Times New Roman" w:cs="Times New Roman"/>
          <w:sz w:val="24"/>
          <w:szCs w:val="24"/>
          <w:lang w:val="en-US"/>
        </w:rPr>
      </w:pPr>
    </w:p>
    <w:p w14:paraId="1B983CD0" w14:textId="77777777" w:rsidR="00037D0F" w:rsidRPr="006A3D82" w:rsidRDefault="00037D0F" w:rsidP="009D5D24">
      <w:pPr>
        <w:pStyle w:val="ListParagraph"/>
        <w:numPr>
          <w:ilvl w:val="0"/>
          <w:numId w:val="10"/>
        </w:numPr>
        <w:spacing w:line="360" w:lineRule="auto"/>
        <w:contextualSpacing w:val="0"/>
        <w:rPr>
          <w:rFonts w:ascii="Times New Roman" w:hAnsi="Times New Roman" w:cs="Times New Roman"/>
          <w:sz w:val="24"/>
          <w:szCs w:val="24"/>
          <w:lang w:val="en-US"/>
        </w:rPr>
      </w:pPr>
      <w:r w:rsidRPr="006A3D82">
        <w:rPr>
          <w:rFonts w:ascii="Times New Roman" w:hAnsi="Times New Roman" w:cs="Times New Roman"/>
          <w:sz w:val="24"/>
          <w:szCs w:val="24"/>
          <w:lang w:val="en-US"/>
        </w:rPr>
        <w:t xml:space="preserve">There were </w:t>
      </w:r>
      <w:r w:rsidRPr="006D18C5">
        <w:rPr>
          <w:rFonts w:ascii="Times New Roman" w:hAnsi="Times New Roman" w:cs="Times New Roman"/>
          <w:sz w:val="24"/>
          <w:szCs w:val="24"/>
          <w:lang w:val="en-US"/>
        </w:rPr>
        <w:t>eleven terminations of employment</w:t>
      </w:r>
      <w:r w:rsidRPr="006A3D82">
        <w:rPr>
          <w:rFonts w:ascii="Times New Roman" w:hAnsi="Times New Roman" w:cs="Times New Roman"/>
          <w:sz w:val="24"/>
          <w:szCs w:val="24"/>
          <w:lang w:val="en-US"/>
        </w:rPr>
        <w:t>, seven of which were resignations.</w:t>
      </w:r>
    </w:p>
    <w:p w14:paraId="3A61A558" w14:textId="77777777" w:rsidR="00037D0F" w:rsidRPr="006A3D82" w:rsidRDefault="00037D0F" w:rsidP="009D5D24">
      <w:pPr>
        <w:pStyle w:val="ListParagraph"/>
        <w:numPr>
          <w:ilvl w:val="0"/>
          <w:numId w:val="10"/>
        </w:numPr>
        <w:spacing w:line="360" w:lineRule="auto"/>
        <w:contextualSpacing w:val="0"/>
        <w:rPr>
          <w:rFonts w:ascii="Times New Roman" w:hAnsi="Times New Roman" w:cs="Times New Roman"/>
          <w:sz w:val="24"/>
          <w:szCs w:val="24"/>
          <w:lang w:val="en-US"/>
        </w:rPr>
      </w:pPr>
      <w:r w:rsidRPr="006A3D82">
        <w:rPr>
          <w:rFonts w:ascii="Times New Roman" w:hAnsi="Times New Roman" w:cs="Times New Roman"/>
          <w:sz w:val="24"/>
          <w:szCs w:val="24"/>
          <w:lang w:val="en-US"/>
        </w:rPr>
        <w:t xml:space="preserve">A total of </w:t>
      </w:r>
      <w:r w:rsidRPr="006D18C5">
        <w:rPr>
          <w:rFonts w:ascii="Times New Roman" w:hAnsi="Times New Roman" w:cs="Times New Roman"/>
          <w:sz w:val="24"/>
          <w:szCs w:val="24"/>
          <w:lang w:val="en-US"/>
        </w:rPr>
        <w:t>eleven employees were promoted</w:t>
      </w:r>
      <w:r w:rsidRPr="006A3D82">
        <w:rPr>
          <w:rFonts w:ascii="Times New Roman" w:hAnsi="Times New Roman" w:cs="Times New Roman"/>
          <w:sz w:val="24"/>
          <w:szCs w:val="24"/>
          <w:lang w:val="en-US"/>
        </w:rPr>
        <w:t xml:space="preserve"> into another salary level.  </w:t>
      </w:r>
    </w:p>
    <w:p w14:paraId="4F10FA22" w14:textId="77777777" w:rsidR="00037D0F" w:rsidRPr="006A3D82" w:rsidRDefault="00037D0F" w:rsidP="009D5D24">
      <w:pPr>
        <w:pStyle w:val="ListParagraph"/>
        <w:numPr>
          <w:ilvl w:val="0"/>
          <w:numId w:val="10"/>
        </w:numPr>
        <w:spacing w:line="360" w:lineRule="auto"/>
        <w:contextualSpacing w:val="0"/>
        <w:rPr>
          <w:rFonts w:ascii="Times New Roman" w:hAnsi="Times New Roman" w:cs="Times New Roman"/>
          <w:sz w:val="24"/>
          <w:szCs w:val="24"/>
          <w:lang w:val="en-US"/>
        </w:rPr>
      </w:pPr>
      <w:r w:rsidRPr="006A3D82">
        <w:rPr>
          <w:rFonts w:ascii="Times New Roman" w:hAnsi="Times New Roman" w:cs="Times New Roman"/>
          <w:sz w:val="24"/>
          <w:szCs w:val="24"/>
          <w:lang w:val="en-US"/>
        </w:rPr>
        <w:t xml:space="preserve">There were </w:t>
      </w:r>
      <w:r w:rsidR="006A3D82">
        <w:rPr>
          <w:rFonts w:ascii="Times New Roman" w:hAnsi="Times New Roman" w:cs="Times New Roman"/>
          <w:sz w:val="24"/>
          <w:szCs w:val="24"/>
          <w:lang w:val="en-US"/>
        </w:rPr>
        <w:t>two</w:t>
      </w:r>
      <w:r w:rsidRPr="006A3D82">
        <w:rPr>
          <w:rFonts w:ascii="Times New Roman" w:hAnsi="Times New Roman" w:cs="Times New Roman"/>
          <w:sz w:val="24"/>
          <w:szCs w:val="24"/>
          <w:lang w:val="en-US"/>
        </w:rPr>
        <w:t xml:space="preserve"> precautionary suspensions which were more than 30 days at a cost of R1.5 million.  </w:t>
      </w:r>
    </w:p>
    <w:p w14:paraId="5958CA09" w14:textId="77777777" w:rsidR="00037D0F" w:rsidRPr="003F6AF9" w:rsidRDefault="00037D0F" w:rsidP="009D5D24">
      <w:pPr>
        <w:pStyle w:val="ListParagraph"/>
        <w:numPr>
          <w:ilvl w:val="0"/>
          <w:numId w:val="10"/>
        </w:numPr>
        <w:spacing w:line="360" w:lineRule="auto"/>
        <w:contextualSpacing w:val="0"/>
        <w:rPr>
          <w:rFonts w:ascii="Times New Roman" w:hAnsi="Times New Roman" w:cs="Times New Roman"/>
          <w:sz w:val="24"/>
          <w:szCs w:val="24"/>
          <w:lang w:val="en-US"/>
        </w:rPr>
      </w:pPr>
      <w:r w:rsidRPr="0091667C">
        <w:rPr>
          <w:rFonts w:ascii="Times New Roman" w:hAnsi="Times New Roman" w:cs="Times New Roman"/>
          <w:sz w:val="24"/>
          <w:szCs w:val="24"/>
          <w:lang w:val="en-US"/>
        </w:rPr>
        <w:t xml:space="preserve">The NRCS undertook a job evaluation process and the outcomes showed that some salaries that were </w:t>
      </w:r>
      <w:r w:rsidRPr="00052A85">
        <w:rPr>
          <w:rFonts w:ascii="Times New Roman" w:hAnsi="Times New Roman" w:cs="Times New Roman"/>
          <w:sz w:val="24"/>
          <w:szCs w:val="24"/>
          <w:lang w:val="en-US"/>
        </w:rPr>
        <w:t xml:space="preserve">paid to employees exceeded the job grade. </w:t>
      </w:r>
      <w:r w:rsidR="0092532F">
        <w:rPr>
          <w:rFonts w:ascii="Times New Roman" w:hAnsi="Times New Roman" w:cs="Times New Roman"/>
          <w:sz w:val="24"/>
          <w:szCs w:val="24"/>
          <w:lang w:val="en-US"/>
        </w:rPr>
        <w:t>Eighty-five employee</w:t>
      </w:r>
      <w:r w:rsidR="004909C3">
        <w:rPr>
          <w:rFonts w:ascii="Times New Roman" w:hAnsi="Times New Roman" w:cs="Times New Roman"/>
          <w:sz w:val="24"/>
          <w:szCs w:val="24"/>
          <w:lang w:val="en-US"/>
        </w:rPr>
        <w:t>s</w:t>
      </w:r>
      <w:r w:rsidR="0092532F">
        <w:rPr>
          <w:rFonts w:ascii="Times New Roman" w:hAnsi="Times New Roman" w:cs="Times New Roman"/>
          <w:sz w:val="24"/>
          <w:szCs w:val="24"/>
          <w:lang w:val="en-US"/>
        </w:rPr>
        <w:t xml:space="preserve"> </w:t>
      </w:r>
      <w:r w:rsidRPr="006D18C5">
        <w:rPr>
          <w:rFonts w:ascii="Times New Roman" w:hAnsi="Times New Roman" w:cs="Times New Roman"/>
          <w:sz w:val="24"/>
          <w:szCs w:val="24"/>
          <w:lang w:val="en-US"/>
        </w:rPr>
        <w:t xml:space="preserve">(27% of employees) were paid salaries that </w:t>
      </w:r>
      <w:r w:rsidR="0092532F">
        <w:rPr>
          <w:rFonts w:ascii="Times New Roman" w:hAnsi="Times New Roman" w:cs="Times New Roman"/>
          <w:sz w:val="24"/>
          <w:szCs w:val="24"/>
          <w:lang w:val="en-US"/>
        </w:rPr>
        <w:t xml:space="preserve">were </w:t>
      </w:r>
      <w:r w:rsidRPr="006D18C5">
        <w:rPr>
          <w:rFonts w:ascii="Times New Roman" w:hAnsi="Times New Roman" w:cs="Times New Roman"/>
          <w:sz w:val="24"/>
          <w:szCs w:val="24"/>
          <w:lang w:val="en-US"/>
        </w:rPr>
        <w:t>above the job grade</w:t>
      </w:r>
      <w:r w:rsidRPr="006A3D82">
        <w:rPr>
          <w:rFonts w:ascii="Times New Roman" w:hAnsi="Times New Roman" w:cs="Times New Roman"/>
          <w:sz w:val="24"/>
          <w:szCs w:val="24"/>
          <w:lang w:val="en-US"/>
        </w:rPr>
        <w:t xml:space="preserve">. In the 2016/17 financial year, the NRCS undertook </w:t>
      </w:r>
      <w:r w:rsidR="003F6AF9">
        <w:rPr>
          <w:rFonts w:ascii="Times New Roman" w:hAnsi="Times New Roman" w:cs="Times New Roman"/>
          <w:sz w:val="24"/>
          <w:szCs w:val="24"/>
          <w:lang w:val="en-US"/>
        </w:rPr>
        <w:t xml:space="preserve">17 wage </w:t>
      </w:r>
      <w:r w:rsidRPr="006A3D82">
        <w:rPr>
          <w:rFonts w:ascii="Times New Roman" w:hAnsi="Times New Roman" w:cs="Times New Roman"/>
          <w:sz w:val="24"/>
          <w:szCs w:val="24"/>
          <w:lang w:val="en-US"/>
        </w:rPr>
        <w:t>negotiations in respect of job evaluation outcome</w:t>
      </w:r>
      <w:r w:rsidR="0092532F">
        <w:rPr>
          <w:rFonts w:ascii="Times New Roman" w:hAnsi="Times New Roman" w:cs="Times New Roman"/>
          <w:sz w:val="24"/>
          <w:szCs w:val="24"/>
          <w:lang w:val="en-US"/>
        </w:rPr>
        <w:t>s</w:t>
      </w:r>
      <w:r w:rsidRPr="006A3D82">
        <w:rPr>
          <w:rFonts w:ascii="Times New Roman" w:hAnsi="Times New Roman" w:cs="Times New Roman"/>
          <w:sz w:val="24"/>
          <w:szCs w:val="24"/>
          <w:lang w:val="en-US"/>
        </w:rPr>
        <w:t xml:space="preserve"> and agreements were made</w:t>
      </w:r>
      <w:r w:rsidR="003F6AF9">
        <w:rPr>
          <w:rFonts w:ascii="Times New Roman" w:hAnsi="Times New Roman" w:cs="Times New Roman"/>
          <w:sz w:val="24"/>
          <w:szCs w:val="24"/>
          <w:lang w:val="en-US"/>
        </w:rPr>
        <w:t xml:space="preserve"> </w:t>
      </w:r>
      <w:r w:rsidR="004909C3">
        <w:rPr>
          <w:rFonts w:ascii="Times New Roman" w:hAnsi="Times New Roman" w:cs="Times New Roman"/>
          <w:sz w:val="24"/>
          <w:szCs w:val="24"/>
          <w:lang w:val="en-US"/>
        </w:rPr>
        <w:t xml:space="preserve">that </w:t>
      </w:r>
      <w:r w:rsidR="003F6AF9">
        <w:rPr>
          <w:rFonts w:ascii="Times New Roman" w:hAnsi="Times New Roman" w:cs="Times New Roman"/>
          <w:sz w:val="24"/>
          <w:szCs w:val="24"/>
          <w:lang w:val="en-US"/>
        </w:rPr>
        <w:t xml:space="preserve">differentiated </w:t>
      </w:r>
      <w:r w:rsidR="004909C3" w:rsidRPr="000C1D84">
        <w:rPr>
          <w:rFonts w:ascii="Times New Roman" w:hAnsi="Times New Roman" w:cs="Times New Roman"/>
          <w:sz w:val="24"/>
        </w:rPr>
        <w:t xml:space="preserve">management </w:t>
      </w:r>
      <w:r w:rsidR="003F6AF9" w:rsidRPr="000C1D84">
        <w:rPr>
          <w:rFonts w:ascii="Times New Roman" w:hAnsi="Times New Roman" w:cs="Times New Roman"/>
          <w:sz w:val="24"/>
        </w:rPr>
        <w:t>level from bargaining unit level</w:t>
      </w:r>
      <w:r w:rsidR="003F6AF9" w:rsidRPr="000C1D84">
        <w:rPr>
          <w:rFonts w:ascii="Times New Roman" w:hAnsi="Times New Roman" w:cs="Times New Roman"/>
          <w:sz w:val="24"/>
          <w:szCs w:val="24"/>
          <w:lang w:val="en-US"/>
        </w:rPr>
        <w:t xml:space="preserve">. </w:t>
      </w:r>
      <w:r w:rsidR="003F6AF9" w:rsidRPr="000C1D84">
        <w:rPr>
          <w:rFonts w:ascii="Times New Roman" w:hAnsi="Times New Roman" w:cs="Times New Roman"/>
          <w:sz w:val="24"/>
          <w:szCs w:val="24"/>
        </w:rPr>
        <w:t xml:space="preserve">Four (4) employees who were left within the bargaining level (IT Network Specialist, IT Security Specialist, Legal advisor and PR Media Specialist) took their matter to </w:t>
      </w:r>
      <w:r w:rsidR="003F6AF9" w:rsidRPr="000C1D84">
        <w:rPr>
          <w:rFonts w:ascii="Times New Roman" w:hAnsi="Times New Roman" w:cs="Times New Roman"/>
          <w:sz w:val="24"/>
          <w:szCs w:val="24"/>
          <w:lang w:val="en-US"/>
        </w:rPr>
        <w:t>the Commission for Conciliation, Mediation and Arbitration (CCMA)</w:t>
      </w:r>
      <w:r w:rsidR="003F6AF9" w:rsidRPr="000C1D84">
        <w:rPr>
          <w:rFonts w:ascii="Times New Roman" w:hAnsi="Times New Roman" w:cs="Times New Roman"/>
          <w:sz w:val="24"/>
          <w:szCs w:val="24"/>
        </w:rPr>
        <w:t xml:space="preserve"> as they were excluded by the wage agreement implementation to form part of </w:t>
      </w:r>
      <w:r w:rsidR="004909C3" w:rsidRPr="000C1D84">
        <w:rPr>
          <w:rFonts w:ascii="Times New Roman" w:hAnsi="Times New Roman" w:cs="Times New Roman"/>
          <w:sz w:val="24"/>
          <w:szCs w:val="24"/>
        </w:rPr>
        <w:t xml:space="preserve">the management </w:t>
      </w:r>
      <w:r w:rsidR="003F6AF9" w:rsidRPr="000C1D84">
        <w:rPr>
          <w:rFonts w:ascii="Times New Roman" w:hAnsi="Times New Roman" w:cs="Times New Roman"/>
          <w:sz w:val="24"/>
          <w:szCs w:val="24"/>
        </w:rPr>
        <w:t>level.  These employees received a CCMA ruling in their  favour  in agreement that they must be at management  level</w:t>
      </w:r>
      <w:r w:rsidR="003F6AF9" w:rsidRPr="000C1D84">
        <w:rPr>
          <w:rFonts w:ascii="Times New Roman" w:hAnsi="Times New Roman" w:cs="Times New Roman"/>
          <w:sz w:val="24"/>
          <w:szCs w:val="24"/>
          <w:lang w:val="en-US"/>
        </w:rPr>
        <w:t>.</w:t>
      </w:r>
      <w:r w:rsidRPr="000C1D84">
        <w:rPr>
          <w:rFonts w:ascii="Times New Roman" w:hAnsi="Times New Roman" w:cs="Times New Roman"/>
          <w:sz w:val="24"/>
          <w:szCs w:val="24"/>
          <w:lang w:val="en-US"/>
        </w:rPr>
        <w:t xml:space="preserve"> </w:t>
      </w:r>
    </w:p>
    <w:p w14:paraId="3E4B9363" w14:textId="77777777" w:rsidR="00037D0F" w:rsidRPr="006A3D82" w:rsidRDefault="00037D0F" w:rsidP="009D5D24">
      <w:pPr>
        <w:pStyle w:val="ListParagraph"/>
        <w:numPr>
          <w:ilvl w:val="0"/>
          <w:numId w:val="10"/>
        </w:numPr>
        <w:spacing w:line="360" w:lineRule="auto"/>
        <w:contextualSpacing w:val="0"/>
        <w:rPr>
          <w:rFonts w:ascii="Times New Roman" w:hAnsi="Times New Roman" w:cs="Times New Roman"/>
          <w:sz w:val="24"/>
          <w:szCs w:val="24"/>
          <w:lang w:val="en-US"/>
        </w:rPr>
      </w:pPr>
      <w:r w:rsidRPr="0092532F">
        <w:rPr>
          <w:rFonts w:ascii="Times New Roman" w:hAnsi="Times New Roman" w:cs="Times New Roman"/>
          <w:sz w:val="24"/>
          <w:szCs w:val="24"/>
          <w:lang w:val="en-US"/>
        </w:rPr>
        <w:t xml:space="preserve">In terms of labour relations, there </w:t>
      </w:r>
      <w:r w:rsidR="001A635C">
        <w:rPr>
          <w:rFonts w:ascii="Times New Roman" w:hAnsi="Times New Roman" w:cs="Times New Roman"/>
          <w:sz w:val="24"/>
          <w:szCs w:val="24"/>
          <w:lang w:val="en-US"/>
        </w:rPr>
        <w:t xml:space="preserve">were </w:t>
      </w:r>
      <w:r w:rsidRPr="0092532F">
        <w:rPr>
          <w:rFonts w:ascii="Times New Roman" w:hAnsi="Times New Roman" w:cs="Times New Roman"/>
          <w:sz w:val="24"/>
          <w:szCs w:val="24"/>
          <w:lang w:val="en-US"/>
        </w:rPr>
        <w:t xml:space="preserve">one </w:t>
      </w:r>
      <w:r w:rsidRPr="006D18C5">
        <w:rPr>
          <w:rFonts w:ascii="Times New Roman" w:hAnsi="Times New Roman" w:cs="Times New Roman"/>
          <w:sz w:val="24"/>
          <w:szCs w:val="24"/>
          <w:lang w:val="en-US"/>
        </w:rPr>
        <w:t>dismissal, one case of fraud and absenteeism, and six grievances lodged</w:t>
      </w:r>
      <w:r w:rsidRPr="006A3D82">
        <w:rPr>
          <w:rFonts w:ascii="Times New Roman" w:hAnsi="Times New Roman" w:cs="Times New Roman"/>
          <w:sz w:val="24"/>
          <w:szCs w:val="24"/>
          <w:lang w:val="en-US"/>
        </w:rPr>
        <w:t xml:space="preserve">. </w:t>
      </w:r>
    </w:p>
    <w:p w14:paraId="746207D1" w14:textId="77777777" w:rsidR="00037D0F" w:rsidRPr="00586CCF" w:rsidRDefault="00037D0F" w:rsidP="00586CCF">
      <w:pPr>
        <w:spacing w:line="360" w:lineRule="auto"/>
        <w:rPr>
          <w:rFonts w:ascii="Times New Roman" w:hAnsi="Times New Roman" w:cs="Times New Roman"/>
          <w:sz w:val="24"/>
          <w:szCs w:val="24"/>
        </w:rPr>
      </w:pPr>
    </w:p>
    <w:p w14:paraId="6FD2C85F" w14:textId="77777777" w:rsidR="00037D0F" w:rsidRPr="004265FC" w:rsidRDefault="00037D0F"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Financial Performance</w:t>
      </w:r>
    </w:p>
    <w:p w14:paraId="045DD0A3" w14:textId="77777777" w:rsidR="00037D0F" w:rsidRPr="00586CCF" w:rsidRDefault="00037D0F" w:rsidP="00586CCF">
      <w:pPr>
        <w:spacing w:line="360" w:lineRule="auto"/>
        <w:rPr>
          <w:rFonts w:ascii="Times New Roman" w:hAnsi="Times New Roman" w:cs="Times New Roman"/>
          <w:b/>
          <w:sz w:val="24"/>
          <w:szCs w:val="24"/>
        </w:rPr>
      </w:pPr>
    </w:p>
    <w:p w14:paraId="1E19B4E4" w14:textId="77777777" w:rsidR="00037D0F" w:rsidRPr="00586CCF" w:rsidRDefault="00037D0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In the 2016/17 financial year, the NRCS</w:t>
      </w:r>
      <w:r w:rsidR="008711B1">
        <w:rPr>
          <w:rFonts w:ascii="Times New Roman" w:hAnsi="Times New Roman" w:cs="Times New Roman"/>
          <w:sz w:val="24"/>
          <w:szCs w:val="24"/>
        </w:rPr>
        <w:t>’s</w:t>
      </w:r>
      <w:r w:rsidRPr="00586CCF">
        <w:rPr>
          <w:rFonts w:ascii="Times New Roman" w:hAnsi="Times New Roman" w:cs="Times New Roman"/>
          <w:sz w:val="24"/>
          <w:szCs w:val="24"/>
        </w:rPr>
        <w:t xml:space="preserve"> budgeted income was approximately R374.6</w:t>
      </w:r>
      <w:r w:rsidR="008711B1">
        <w:rPr>
          <w:rFonts w:ascii="Times New Roman" w:hAnsi="Times New Roman" w:cs="Times New Roman"/>
          <w:sz w:val="24"/>
          <w:szCs w:val="24"/>
        </w:rPr>
        <w:t> </w:t>
      </w:r>
      <w:r w:rsidRPr="00586CCF">
        <w:rPr>
          <w:rFonts w:ascii="Times New Roman" w:hAnsi="Times New Roman" w:cs="Times New Roman"/>
          <w:sz w:val="24"/>
          <w:szCs w:val="24"/>
        </w:rPr>
        <w:t>million</w:t>
      </w:r>
      <w:r w:rsidR="008711B1">
        <w:rPr>
          <w:rFonts w:ascii="Times New Roman" w:hAnsi="Times New Roman" w:cs="Times New Roman"/>
          <w:sz w:val="24"/>
          <w:szCs w:val="24"/>
        </w:rPr>
        <w:t>;</w:t>
      </w:r>
      <w:r w:rsidRPr="00586CCF">
        <w:rPr>
          <w:rFonts w:ascii="Times New Roman" w:hAnsi="Times New Roman" w:cs="Times New Roman"/>
          <w:sz w:val="24"/>
          <w:szCs w:val="24"/>
        </w:rPr>
        <w:t xml:space="preserve"> however</w:t>
      </w:r>
      <w:r w:rsidR="008711B1">
        <w:rPr>
          <w:rFonts w:ascii="Times New Roman" w:hAnsi="Times New Roman" w:cs="Times New Roman"/>
          <w:sz w:val="24"/>
          <w:szCs w:val="24"/>
        </w:rPr>
        <w:t>,</w:t>
      </w:r>
      <w:r w:rsidRPr="00586CCF">
        <w:rPr>
          <w:rFonts w:ascii="Times New Roman" w:hAnsi="Times New Roman" w:cs="Times New Roman"/>
          <w:sz w:val="24"/>
          <w:szCs w:val="24"/>
        </w:rPr>
        <w:t xml:space="preserve"> actual income was lower than budgeted at R354.3 million. The largest share of budgeted income was to be acquired from services rendered, in particular levies for compulsory specifications amounting to R193.4 million. The funding through transfers from the </w:t>
      </w:r>
      <w:r w:rsidR="008711B1">
        <w:rPr>
          <w:rFonts w:ascii="Times New Roman" w:hAnsi="Times New Roman" w:cs="Times New Roman"/>
          <w:sz w:val="24"/>
          <w:szCs w:val="24"/>
        </w:rPr>
        <w:t>DTI</w:t>
      </w:r>
      <w:r w:rsidR="008711B1" w:rsidRPr="00586CCF">
        <w:rPr>
          <w:rFonts w:ascii="Times New Roman" w:hAnsi="Times New Roman" w:cs="Times New Roman"/>
          <w:sz w:val="24"/>
          <w:szCs w:val="24"/>
        </w:rPr>
        <w:t xml:space="preserve"> </w:t>
      </w:r>
      <w:r w:rsidR="008711B1">
        <w:rPr>
          <w:rFonts w:ascii="Times New Roman" w:hAnsi="Times New Roman" w:cs="Times New Roman"/>
          <w:sz w:val="24"/>
          <w:szCs w:val="24"/>
        </w:rPr>
        <w:t>was</w:t>
      </w:r>
      <w:r w:rsidRPr="00586CCF">
        <w:rPr>
          <w:rFonts w:ascii="Times New Roman" w:hAnsi="Times New Roman" w:cs="Times New Roman"/>
          <w:sz w:val="24"/>
          <w:szCs w:val="24"/>
        </w:rPr>
        <w:t xml:space="preserve"> the second largest source of income for the NRCS at R86.4</w:t>
      </w:r>
      <w:r w:rsidR="008711B1">
        <w:rPr>
          <w:rFonts w:ascii="Times New Roman" w:hAnsi="Times New Roman" w:cs="Times New Roman"/>
          <w:sz w:val="24"/>
          <w:szCs w:val="24"/>
        </w:rPr>
        <w:t> </w:t>
      </w:r>
      <w:r w:rsidRPr="00586CCF">
        <w:rPr>
          <w:rFonts w:ascii="Times New Roman" w:hAnsi="Times New Roman" w:cs="Times New Roman"/>
          <w:sz w:val="24"/>
          <w:szCs w:val="24"/>
        </w:rPr>
        <w:t xml:space="preserve">million for the financial year, accounting for the fact that funding from the </w:t>
      </w:r>
      <w:r w:rsidR="008711B1">
        <w:rPr>
          <w:rFonts w:ascii="Times New Roman" w:hAnsi="Times New Roman" w:cs="Times New Roman"/>
          <w:sz w:val="24"/>
          <w:szCs w:val="24"/>
        </w:rPr>
        <w:t>DTI</w:t>
      </w:r>
      <w:r w:rsidR="008711B1" w:rsidRPr="00586CCF">
        <w:rPr>
          <w:rFonts w:ascii="Times New Roman" w:hAnsi="Times New Roman" w:cs="Times New Roman"/>
          <w:sz w:val="24"/>
          <w:szCs w:val="24"/>
        </w:rPr>
        <w:t xml:space="preserve"> </w:t>
      </w:r>
      <w:r w:rsidRPr="00586CCF">
        <w:rPr>
          <w:rFonts w:ascii="Times New Roman" w:hAnsi="Times New Roman" w:cs="Times New Roman"/>
          <w:sz w:val="24"/>
          <w:szCs w:val="24"/>
        </w:rPr>
        <w:t>declined by R5.3 million from R91.7 million in the previous financial year (2015/16). Other sources of income include</w:t>
      </w:r>
      <w:r w:rsidR="008711B1">
        <w:rPr>
          <w:rFonts w:ascii="Times New Roman" w:hAnsi="Times New Roman" w:cs="Times New Roman"/>
          <w:sz w:val="24"/>
          <w:szCs w:val="24"/>
        </w:rPr>
        <w:t>d</w:t>
      </w:r>
      <w:r w:rsidRPr="00586CCF">
        <w:rPr>
          <w:rFonts w:ascii="Times New Roman" w:hAnsi="Times New Roman" w:cs="Times New Roman"/>
          <w:sz w:val="24"/>
          <w:szCs w:val="24"/>
        </w:rPr>
        <w:t xml:space="preserve"> income from services rendered amounting to R50.7 million, and other income totalling R23.6 million. </w:t>
      </w:r>
    </w:p>
    <w:p w14:paraId="5B3D40BB" w14:textId="77777777" w:rsidR="00037D0F" w:rsidRPr="00586CCF" w:rsidRDefault="00037D0F" w:rsidP="00586CCF">
      <w:pPr>
        <w:spacing w:line="360" w:lineRule="auto"/>
        <w:rPr>
          <w:rFonts w:ascii="Times New Roman" w:hAnsi="Times New Roman" w:cs="Times New Roman"/>
          <w:sz w:val="24"/>
          <w:szCs w:val="24"/>
        </w:rPr>
      </w:pPr>
    </w:p>
    <w:p w14:paraId="57E91EB9" w14:textId="77777777" w:rsidR="00037D0F" w:rsidRPr="00586CCF" w:rsidRDefault="00037D0F"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Expenditure for the financial year was projected at R374.4 million while actual expenditure was R48 million (13%) less than budgeted. The R48 million underspending was attributed to underspending in compensation to employees (R16.3 million), contract services (R5.7 million), </w:t>
      </w:r>
      <w:r w:rsidR="008711B1" w:rsidRPr="00586CCF">
        <w:rPr>
          <w:rFonts w:ascii="Times New Roman" w:hAnsi="Times New Roman" w:cs="Times New Roman"/>
          <w:sz w:val="24"/>
          <w:szCs w:val="24"/>
        </w:rPr>
        <w:t xml:space="preserve">tests </w:t>
      </w:r>
      <w:r w:rsidRPr="00586CCF">
        <w:rPr>
          <w:rFonts w:ascii="Times New Roman" w:hAnsi="Times New Roman" w:cs="Times New Roman"/>
          <w:sz w:val="24"/>
          <w:szCs w:val="24"/>
        </w:rPr>
        <w:t xml:space="preserve">and sampling (R5.5 million), marketing and advertising (R4.8 million),  </w:t>
      </w:r>
      <w:r w:rsidR="008711B1" w:rsidRPr="00586CCF">
        <w:rPr>
          <w:rFonts w:ascii="Times New Roman" w:hAnsi="Times New Roman" w:cs="Times New Roman"/>
          <w:sz w:val="24"/>
          <w:szCs w:val="24"/>
        </w:rPr>
        <w:t xml:space="preserve">travel </w:t>
      </w:r>
      <w:r w:rsidRPr="00586CCF">
        <w:rPr>
          <w:rFonts w:ascii="Times New Roman" w:hAnsi="Times New Roman" w:cs="Times New Roman"/>
          <w:sz w:val="24"/>
          <w:szCs w:val="24"/>
        </w:rPr>
        <w:t>expenditure (R4.4 million), office rentals and other operating expenses (R1.5</w:t>
      </w:r>
      <w:r w:rsidR="008711B1">
        <w:rPr>
          <w:rFonts w:ascii="Times New Roman" w:hAnsi="Times New Roman" w:cs="Times New Roman"/>
          <w:sz w:val="24"/>
          <w:szCs w:val="24"/>
        </w:rPr>
        <w:t> </w:t>
      </w:r>
      <w:r w:rsidRPr="00586CCF">
        <w:rPr>
          <w:rFonts w:ascii="Times New Roman" w:hAnsi="Times New Roman" w:cs="Times New Roman"/>
          <w:sz w:val="24"/>
          <w:szCs w:val="24"/>
        </w:rPr>
        <w:t xml:space="preserve">million), and other expenditure (R12.8 million). </w:t>
      </w:r>
    </w:p>
    <w:p w14:paraId="254C826A" w14:textId="77777777" w:rsidR="00037D0F" w:rsidRPr="00586CCF" w:rsidRDefault="00037D0F" w:rsidP="00586CCF">
      <w:pPr>
        <w:spacing w:line="360" w:lineRule="auto"/>
        <w:rPr>
          <w:rFonts w:ascii="Times New Roman" w:hAnsi="Times New Roman" w:cs="Times New Roman"/>
          <w:sz w:val="24"/>
          <w:szCs w:val="24"/>
        </w:rPr>
      </w:pPr>
    </w:p>
    <w:p w14:paraId="0333E2DF" w14:textId="77777777" w:rsidR="00B97677" w:rsidRPr="00586CCF" w:rsidRDefault="00B97677" w:rsidP="00B97677">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Notwithstanding that the savings were due to the resignations at senior management level and other vacancies, the largest expenditure for the NRCS </w:t>
      </w:r>
      <w:r>
        <w:rPr>
          <w:rFonts w:ascii="Times New Roman" w:hAnsi="Times New Roman" w:cs="Times New Roman"/>
          <w:sz w:val="24"/>
          <w:szCs w:val="24"/>
        </w:rPr>
        <w:t>wa</w:t>
      </w:r>
      <w:r w:rsidRPr="00586CCF">
        <w:rPr>
          <w:rFonts w:ascii="Times New Roman" w:hAnsi="Times New Roman" w:cs="Times New Roman"/>
          <w:sz w:val="24"/>
          <w:szCs w:val="24"/>
        </w:rPr>
        <w:t>s compensation to employees with almost 80% of the expenditure for the 2016/17 financial year. This ha</w:t>
      </w:r>
      <w:r>
        <w:rPr>
          <w:rFonts w:ascii="Times New Roman" w:hAnsi="Times New Roman" w:cs="Times New Roman"/>
          <w:sz w:val="24"/>
          <w:szCs w:val="24"/>
        </w:rPr>
        <w:t>d</w:t>
      </w:r>
      <w:r w:rsidRPr="00586CCF">
        <w:rPr>
          <w:rFonts w:ascii="Times New Roman" w:hAnsi="Times New Roman" w:cs="Times New Roman"/>
          <w:sz w:val="24"/>
          <w:szCs w:val="24"/>
        </w:rPr>
        <w:t xml:space="preserve"> increased significantly over the past five financial years and </w:t>
      </w:r>
      <w:r>
        <w:rPr>
          <w:rFonts w:ascii="Times New Roman" w:hAnsi="Times New Roman" w:cs="Times New Roman"/>
          <w:sz w:val="24"/>
          <w:szCs w:val="24"/>
        </w:rPr>
        <w:t xml:space="preserve">appeared to be </w:t>
      </w:r>
      <w:r w:rsidRPr="00586CCF">
        <w:rPr>
          <w:rFonts w:ascii="Times New Roman" w:hAnsi="Times New Roman" w:cs="Times New Roman"/>
          <w:sz w:val="24"/>
          <w:szCs w:val="24"/>
        </w:rPr>
        <w:t>unsustainable, in the past two year</w:t>
      </w:r>
      <w:r>
        <w:rPr>
          <w:rFonts w:ascii="Times New Roman" w:hAnsi="Times New Roman" w:cs="Times New Roman"/>
          <w:sz w:val="24"/>
          <w:szCs w:val="24"/>
        </w:rPr>
        <w:t>s</w:t>
      </w:r>
      <w:r w:rsidRPr="00586CCF">
        <w:rPr>
          <w:rFonts w:ascii="Times New Roman" w:hAnsi="Times New Roman" w:cs="Times New Roman"/>
          <w:sz w:val="24"/>
          <w:szCs w:val="24"/>
        </w:rPr>
        <w:t xml:space="preserve"> compensation on employees increased by approximately 9% which </w:t>
      </w:r>
      <w:r>
        <w:rPr>
          <w:rFonts w:ascii="Times New Roman" w:hAnsi="Times New Roman" w:cs="Times New Roman"/>
          <w:sz w:val="24"/>
          <w:szCs w:val="24"/>
        </w:rPr>
        <w:t>wa</w:t>
      </w:r>
      <w:r w:rsidRPr="00586CCF">
        <w:rPr>
          <w:rFonts w:ascii="Times New Roman" w:hAnsi="Times New Roman" w:cs="Times New Roman"/>
          <w:sz w:val="24"/>
          <w:szCs w:val="24"/>
        </w:rPr>
        <w:t>s above inflation. In the two year</w:t>
      </w:r>
      <w:r>
        <w:rPr>
          <w:rFonts w:ascii="Times New Roman" w:hAnsi="Times New Roman" w:cs="Times New Roman"/>
          <w:sz w:val="24"/>
          <w:szCs w:val="24"/>
        </w:rPr>
        <w:t>s</w:t>
      </w:r>
      <w:r w:rsidRPr="00586CCF">
        <w:rPr>
          <w:rFonts w:ascii="Times New Roman" w:hAnsi="Times New Roman" w:cs="Times New Roman"/>
          <w:sz w:val="24"/>
          <w:szCs w:val="24"/>
        </w:rPr>
        <w:t xml:space="preserve"> prior, compensation of employees had increased by between 20% and 22%. Earlier this year</w:t>
      </w:r>
      <w:r>
        <w:rPr>
          <w:rFonts w:ascii="Times New Roman" w:hAnsi="Times New Roman" w:cs="Times New Roman"/>
          <w:sz w:val="24"/>
          <w:szCs w:val="24"/>
        </w:rPr>
        <w:t>,</w:t>
      </w:r>
      <w:r w:rsidRPr="00586CCF">
        <w:rPr>
          <w:rFonts w:ascii="Times New Roman" w:hAnsi="Times New Roman" w:cs="Times New Roman"/>
          <w:sz w:val="24"/>
          <w:szCs w:val="24"/>
        </w:rPr>
        <w:t xml:space="preserve"> the Committee</w:t>
      </w:r>
      <w:r>
        <w:rPr>
          <w:rFonts w:ascii="Times New Roman" w:hAnsi="Times New Roman" w:cs="Times New Roman"/>
          <w:sz w:val="24"/>
          <w:szCs w:val="24"/>
        </w:rPr>
        <w:t xml:space="preserve"> had</w:t>
      </w:r>
      <w:r w:rsidRPr="00586CCF">
        <w:rPr>
          <w:rFonts w:ascii="Times New Roman" w:hAnsi="Times New Roman" w:cs="Times New Roman"/>
          <w:sz w:val="24"/>
          <w:szCs w:val="24"/>
        </w:rPr>
        <w:t xml:space="preserve"> raised concerns with this and the entity had committed to reviewing the promotions policy, which </w:t>
      </w:r>
      <w:r>
        <w:rPr>
          <w:rFonts w:ascii="Times New Roman" w:hAnsi="Times New Roman" w:cs="Times New Roman"/>
          <w:sz w:val="24"/>
          <w:szCs w:val="24"/>
        </w:rPr>
        <w:t>wa</w:t>
      </w:r>
      <w:r w:rsidRPr="00586CCF">
        <w:rPr>
          <w:rFonts w:ascii="Times New Roman" w:hAnsi="Times New Roman" w:cs="Times New Roman"/>
          <w:sz w:val="24"/>
          <w:szCs w:val="24"/>
        </w:rPr>
        <w:t xml:space="preserve">s a major contributor to the increase in the </w:t>
      </w:r>
      <w:r>
        <w:rPr>
          <w:rFonts w:ascii="Times New Roman" w:hAnsi="Times New Roman" w:cs="Times New Roman"/>
          <w:sz w:val="24"/>
          <w:szCs w:val="24"/>
        </w:rPr>
        <w:t xml:space="preserve">budget for </w:t>
      </w:r>
      <w:r w:rsidRPr="00586CCF">
        <w:rPr>
          <w:rFonts w:ascii="Times New Roman" w:hAnsi="Times New Roman" w:cs="Times New Roman"/>
          <w:sz w:val="24"/>
          <w:szCs w:val="24"/>
        </w:rPr>
        <w:t xml:space="preserve">compensation of employees. </w:t>
      </w:r>
    </w:p>
    <w:p w14:paraId="789327A0" w14:textId="77777777" w:rsidR="00B97677" w:rsidRPr="00586CCF" w:rsidRDefault="00B97677" w:rsidP="00B97677">
      <w:pPr>
        <w:spacing w:line="360" w:lineRule="auto"/>
        <w:rPr>
          <w:rFonts w:ascii="Times New Roman" w:hAnsi="Times New Roman" w:cs="Times New Roman"/>
          <w:sz w:val="24"/>
          <w:szCs w:val="24"/>
        </w:rPr>
      </w:pPr>
    </w:p>
    <w:p w14:paraId="4064222F" w14:textId="77777777" w:rsidR="00037D0F" w:rsidRPr="00586CCF" w:rsidRDefault="00037D0F" w:rsidP="00586CCF">
      <w:pPr>
        <w:spacing w:line="360" w:lineRule="auto"/>
        <w:rPr>
          <w:rFonts w:ascii="Times New Roman" w:hAnsi="Times New Roman" w:cs="Times New Roman"/>
          <w:b/>
          <w:sz w:val="24"/>
          <w:szCs w:val="24"/>
        </w:rPr>
      </w:pPr>
      <w:r w:rsidRPr="00586CCF">
        <w:rPr>
          <w:rFonts w:ascii="Times New Roman" w:hAnsi="Times New Roman" w:cs="Times New Roman"/>
          <w:b/>
          <w:sz w:val="24"/>
          <w:szCs w:val="24"/>
        </w:rPr>
        <w:t xml:space="preserve">Table </w:t>
      </w:r>
      <w:r w:rsidR="00A474C6">
        <w:rPr>
          <w:rFonts w:ascii="Times New Roman" w:hAnsi="Times New Roman" w:cs="Times New Roman"/>
          <w:b/>
          <w:sz w:val="24"/>
          <w:szCs w:val="24"/>
        </w:rPr>
        <w:t>1</w:t>
      </w:r>
      <w:r w:rsidR="00510A07">
        <w:rPr>
          <w:rFonts w:ascii="Times New Roman" w:hAnsi="Times New Roman" w:cs="Times New Roman"/>
          <w:b/>
          <w:sz w:val="24"/>
          <w:szCs w:val="24"/>
        </w:rPr>
        <w:t>4</w:t>
      </w:r>
      <w:r w:rsidRPr="00586CCF">
        <w:rPr>
          <w:rFonts w:ascii="Times New Roman" w:hAnsi="Times New Roman" w:cs="Times New Roman"/>
          <w:b/>
          <w:sz w:val="24"/>
          <w:szCs w:val="24"/>
        </w:rPr>
        <w:t>: Financial Performance</w:t>
      </w:r>
    </w:p>
    <w:tbl>
      <w:tblPr>
        <w:tblW w:w="9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60"/>
        <w:gridCol w:w="1559"/>
        <w:gridCol w:w="1442"/>
      </w:tblGrid>
      <w:tr w:rsidR="00A474C6" w:rsidRPr="00A474C6" w14:paraId="0FBC6D08" w14:textId="77777777" w:rsidTr="00A474C6">
        <w:trPr>
          <w:trHeight w:val="20"/>
          <w:tblHeader/>
        </w:trPr>
        <w:tc>
          <w:tcPr>
            <w:tcW w:w="4536" w:type="dxa"/>
            <w:vMerge w:val="restart"/>
            <w:shd w:val="clear" w:color="auto" w:fill="BFBFBF" w:themeFill="background1" w:themeFillShade="BF"/>
            <w:noWrap/>
            <w:vAlign w:val="bottom"/>
            <w:hideMark/>
          </w:tcPr>
          <w:p w14:paraId="5C80359F" w14:textId="77777777" w:rsidR="00037D0F" w:rsidRPr="006D18C5" w:rsidRDefault="00037D0F" w:rsidP="00586CCF">
            <w:pPr>
              <w:spacing w:line="360" w:lineRule="auto"/>
              <w:jc w:val="left"/>
              <w:rPr>
                <w:rFonts w:ascii="Times New Roman" w:eastAsia="Times New Roman" w:hAnsi="Times New Roman" w:cs="Times New Roman"/>
                <w:szCs w:val="24"/>
                <w:lang w:eastAsia="en-ZA"/>
              </w:rPr>
            </w:pPr>
          </w:p>
        </w:tc>
        <w:tc>
          <w:tcPr>
            <w:tcW w:w="1560" w:type="dxa"/>
            <w:vMerge w:val="restart"/>
            <w:shd w:val="clear" w:color="auto" w:fill="BFBFBF" w:themeFill="background1" w:themeFillShade="BF"/>
            <w:vAlign w:val="center"/>
            <w:hideMark/>
          </w:tcPr>
          <w:p w14:paraId="3D95F8B7" w14:textId="77777777" w:rsidR="00037D0F" w:rsidRPr="006D18C5" w:rsidRDefault="00037D0F" w:rsidP="00586CCF">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2015/16</w:t>
            </w:r>
          </w:p>
        </w:tc>
        <w:tc>
          <w:tcPr>
            <w:tcW w:w="3001" w:type="dxa"/>
            <w:gridSpan w:val="2"/>
            <w:shd w:val="clear" w:color="auto" w:fill="BFBFBF" w:themeFill="background1" w:themeFillShade="BF"/>
            <w:noWrap/>
            <w:vAlign w:val="bottom"/>
            <w:hideMark/>
          </w:tcPr>
          <w:p w14:paraId="3D736A29" w14:textId="77777777" w:rsidR="00037D0F" w:rsidRPr="006D18C5" w:rsidRDefault="00037D0F" w:rsidP="00586CCF">
            <w:pPr>
              <w:spacing w:line="360" w:lineRule="auto"/>
              <w:jc w:val="center"/>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2016/17</w:t>
            </w:r>
          </w:p>
        </w:tc>
      </w:tr>
      <w:tr w:rsidR="00A474C6" w:rsidRPr="00A474C6" w14:paraId="382276A9" w14:textId="77777777" w:rsidTr="00A474C6">
        <w:trPr>
          <w:trHeight w:val="20"/>
          <w:tblHeader/>
        </w:trPr>
        <w:tc>
          <w:tcPr>
            <w:tcW w:w="4536" w:type="dxa"/>
            <w:vMerge/>
            <w:shd w:val="clear" w:color="auto" w:fill="BFBFBF" w:themeFill="background1" w:themeFillShade="BF"/>
            <w:vAlign w:val="center"/>
            <w:hideMark/>
          </w:tcPr>
          <w:p w14:paraId="4AAF7FFB" w14:textId="77777777" w:rsidR="00037D0F" w:rsidRPr="006D18C5" w:rsidRDefault="00037D0F" w:rsidP="00586CCF">
            <w:pPr>
              <w:spacing w:line="360" w:lineRule="auto"/>
              <w:jc w:val="left"/>
              <w:rPr>
                <w:rFonts w:ascii="Times New Roman" w:eastAsia="Times New Roman" w:hAnsi="Times New Roman" w:cs="Times New Roman"/>
                <w:szCs w:val="24"/>
                <w:lang w:eastAsia="en-ZA"/>
              </w:rPr>
            </w:pPr>
          </w:p>
        </w:tc>
        <w:tc>
          <w:tcPr>
            <w:tcW w:w="1560" w:type="dxa"/>
            <w:vMerge/>
            <w:shd w:val="clear" w:color="auto" w:fill="BFBFBF" w:themeFill="background1" w:themeFillShade="BF"/>
            <w:vAlign w:val="center"/>
            <w:hideMark/>
          </w:tcPr>
          <w:p w14:paraId="49CDA33D" w14:textId="77777777" w:rsidR="00037D0F" w:rsidRPr="006D18C5" w:rsidRDefault="00037D0F" w:rsidP="00586CCF">
            <w:pPr>
              <w:spacing w:line="360" w:lineRule="auto"/>
              <w:jc w:val="left"/>
              <w:rPr>
                <w:rFonts w:ascii="Times New Roman" w:eastAsia="Times New Roman" w:hAnsi="Times New Roman" w:cs="Times New Roman"/>
                <w:b/>
                <w:bCs/>
                <w:szCs w:val="24"/>
                <w:lang w:eastAsia="en-ZA"/>
              </w:rPr>
            </w:pPr>
          </w:p>
        </w:tc>
        <w:tc>
          <w:tcPr>
            <w:tcW w:w="1559" w:type="dxa"/>
            <w:shd w:val="clear" w:color="auto" w:fill="BFBFBF" w:themeFill="background1" w:themeFillShade="BF"/>
            <w:vAlign w:val="center"/>
            <w:hideMark/>
          </w:tcPr>
          <w:p w14:paraId="70FC39F1" w14:textId="77777777" w:rsidR="00037D0F" w:rsidRPr="006D18C5" w:rsidRDefault="00037D0F" w:rsidP="008711B1">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w w:val="98"/>
                <w:szCs w:val="24"/>
                <w:lang w:eastAsia="en-ZA"/>
              </w:rPr>
              <w:t>Approved budget</w:t>
            </w:r>
            <w:r w:rsidR="008711B1">
              <w:rPr>
                <w:rFonts w:ascii="Times New Roman" w:eastAsia="Times New Roman" w:hAnsi="Times New Roman" w:cs="Times New Roman"/>
                <w:b/>
                <w:bCs/>
                <w:w w:val="98"/>
                <w:szCs w:val="24"/>
                <w:lang w:eastAsia="en-ZA"/>
              </w:rPr>
              <w:t xml:space="preserve"> </w:t>
            </w:r>
            <w:r w:rsidRPr="006D18C5">
              <w:rPr>
                <w:rFonts w:ascii="Times New Roman" w:eastAsia="Times New Roman" w:hAnsi="Times New Roman" w:cs="Times New Roman"/>
                <w:b/>
                <w:bCs/>
                <w:szCs w:val="24"/>
                <w:lang w:eastAsia="en-ZA"/>
              </w:rPr>
              <w:t>(R)</w:t>
            </w:r>
          </w:p>
        </w:tc>
        <w:tc>
          <w:tcPr>
            <w:tcW w:w="1442" w:type="dxa"/>
            <w:shd w:val="clear" w:color="auto" w:fill="BFBFBF" w:themeFill="background1" w:themeFillShade="BF"/>
            <w:vAlign w:val="center"/>
            <w:hideMark/>
          </w:tcPr>
          <w:p w14:paraId="1747CA24" w14:textId="77777777" w:rsidR="00037D0F" w:rsidRPr="006D18C5" w:rsidRDefault="00037D0F" w:rsidP="008711B1">
            <w:pPr>
              <w:spacing w:line="360" w:lineRule="auto"/>
              <w:jc w:val="center"/>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w w:val="98"/>
                <w:szCs w:val="24"/>
                <w:lang w:eastAsia="en-ZA"/>
              </w:rPr>
              <w:t>Actual amount</w:t>
            </w:r>
            <w:r w:rsidR="008711B1">
              <w:rPr>
                <w:rFonts w:ascii="Times New Roman" w:eastAsia="Times New Roman" w:hAnsi="Times New Roman" w:cs="Times New Roman"/>
                <w:b/>
                <w:bCs/>
                <w:w w:val="98"/>
                <w:szCs w:val="24"/>
                <w:lang w:eastAsia="en-ZA"/>
              </w:rPr>
              <w:t xml:space="preserve"> </w:t>
            </w:r>
            <w:r w:rsidRPr="006D18C5">
              <w:rPr>
                <w:rFonts w:ascii="Times New Roman" w:eastAsia="Times New Roman" w:hAnsi="Times New Roman" w:cs="Times New Roman"/>
                <w:b/>
                <w:bCs/>
                <w:w w:val="98"/>
                <w:szCs w:val="24"/>
                <w:lang w:eastAsia="en-ZA"/>
              </w:rPr>
              <w:t>(R)</w:t>
            </w:r>
          </w:p>
        </w:tc>
      </w:tr>
      <w:tr w:rsidR="00037D0F" w:rsidRPr="00586CCF" w14:paraId="2D061A0E" w14:textId="77777777" w:rsidTr="00283959">
        <w:trPr>
          <w:trHeight w:val="20"/>
        </w:trPr>
        <w:tc>
          <w:tcPr>
            <w:tcW w:w="9097" w:type="dxa"/>
            <w:gridSpan w:val="4"/>
            <w:shd w:val="clear" w:color="auto" w:fill="auto"/>
            <w:vAlign w:val="center"/>
          </w:tcPr>
          <w:p w14:paraId="1D2EF1FC" w14:textId="77777777" w:rsidR="00037D0F" w:rsidRPr="006D18C5" w:rsidRDefault="00037D0F" w:rsidP="00586CCF">
            <w:pPr>
              <w:spacing w:line="360" w:lineRule="auto"/>
              <w:jc w:val="left"/>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Income</w:t>
            </w:r>
          </w:p>
        </w:tc>
      </w:tr>
      <w:tr w:rsidR="00037D0F" w:rsidRPr="00586CCF" w14:paraId="5E66ED0D" w14:textId="77777777" w:rsidTr="00283959">
        <w:trPr>
          <w:trHeight w:val="20"/>
        </w:trPr>
        <w:tc>
          <w:tcPr>
            <w:tcW w:w="4536" w:type="dxa"/>
            <w:shd w:val="clear" w:color="auto" w:fill="auto"/>
            <w:vAlign w:val="center"/>
            <w:hideMark/>
          </w:tcPr>
          <w:p w14:paraId="5E2245D4"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Levies for compulsory specifications</w:t>
            </w:r>
          </w:p>
        </w:tc>
        <w:tc>
          <w:tcPr>
            <w:tcW w:w="1560" w:type="dxa"/>
            <w:shd w:val="clear" w:color="auto" w:fill="auto"/>
            <w:vAlign w:val="center"/>
            <w:hideMark/>
          </w:tcPr>
          <w:p w14:paraId="63DDBF70"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154 590 878</w:t>
            </w:r>
          </w:p>
        </w:tc>
        <w:tc>
          <w:tcPr>
            <w:tcW w:w="1559" w:type="dxa"/>
            <w:shd w:val="clear" w:color="auto" w:fill="auto"/>
            <w:vAlign w:val="center"/>
            <w:hideMark/>
          </w:tcPr>
          <w:p w14:paraId="4D061B55"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186 178 385</w:t>
            </w:r>
          </w:p>
        </w:tc>
        <w:tc>
          <w:tcPr>
            <w:tcW w:w="1442" w:type="dxa"/>
            <w:shd w:val="clear" w:color="auto" w:fill="auto"/>
            <w:vAlign w:val="center"/>
            <w:hideMark/>
          </w:tcPr>
          <w:p w14:paraId="7E535814"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193 451 259</w:t>
            </w:r>
          </w:p>
        </w:tc>
      </w:tr>
      <w:tr w:rsidR="00037D0F" w:rsidRPr="00586CCF" w14:paraId="3C74DB1B" w14:textId="77777777" w:rsidTr="00283959">
        <w:trPr>
          <w:trHeight w:val="20"/>
        </w:trPr>
        <w:tc>
          <w:tcPr>
            <w:tcW w:w="4536" w:type="dxa"/>
            <w:shd w:val="clear" w:color="auto" w:fill="auto"/>
            <w:vAlign w:val="center"/>
            <w:hideMark/>
          </w:tcPr>
          <w:p w14:paraId="2DA0FA3E"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Transport annual registration fee</w:t>
            </w:r>
          </w:p>
        </w:tc>
        <w:tc>
          <w:tcPr>
            <w:tcW w:w="1560" w:type="dxa"/>
            <w:shd w:val="clear" w:color="auto" w:fill="auto"/>
            <w:vAlign w:val="center"/>
            <w:hideMark/>
          </w:tcPr>
          <w:p w14:paraId="13ACF34B"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1 798 975</w:t>
            </w:r>
          </w:p>
        </w:tc>
        <w:tc>
          <w:tcPr>
            <w:tcW w:w="1559" w:type="dxa"/>
            <w:shd w:val="clear" w:color="auto" w:fill="auto"/>
            <w:vAlign w:val="center"/>
            <w:hideMark/>
          </w:tcPr>
          <w:p w14:paraId="6CFE44C2"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1 908 393</w:t>
            </w:r>
          </w:p>
        </w:tc>
        <w:tc>
          <w:tcPr>
            <w:tcW w:w="1442" w:type="dxa"/>
            <w:shd w:val="clear" w:color="auto" w:fill="auto"/>
            <w:vAlign w:val="center"/>
            <w:hideMark/>
          </w:tcPr>
          <w:p w14:paraId="71A0AF60"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1 831 127</w:t>
            </w:r>
          </w:p>
        </w:tc>
      </w:tr>
      <w:tr w:rsidR="00037D0F" w:rsidRPr="00586CCF" w14:paraId="46C53692" w14:textId="77777777" w:rsidTr="00283959">
        <w:trPr>
          <w:trHeight w:val="20"/>
        </w:trPr>
        <w:tc>
          <w:tcPr>
            <w:tcW w:w="4536" w:type="dxa"/>
            <w:shd w:val="clear" w:color="auto" w:fill="auto"/>
            <w:vAlign w:val="center"/>
            <w:hideMark/>
          </w:tcPr>
          <w:p w14:paraId="6A065D91"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Government grants and core funding</w:t>
            </w:r>
          </w:p>
        </w:tc>
        <w:tc>
          <w:tcPr>
            <w:tcW w:w="1560" w:type="dxa"/>
            <w:shd w:val="clear" w:color="auto" w:fill="auto"/>
            <w:vAlign w:val="center"/>
            <w:hideMark/>
          </w:tcPr>
          <w:p w14:paraId="11407DD0"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91 732 000</w:t>
            </w:r>
          </w:p>
        </w:tc>
        <w:tc>
          <w:tcPr>
            <w:tcW w:w="1559" w:type="dxa"/>
            <w:shd w:val="clear" w:color="auto" w:fill="auto"/>
            <w:vAlign w:val="center"/>
            <w:hideMark/>
          </w:tcPr>
          <w:p w14:paraId="72274AE2"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86 418 000</w:t>
            </w:r>
          </w:p>
        </w:tc>
        <w:tc>
          <w:tcPr>
            <w:tcW w:w="1442" w:type="dxa"/>
            <w:shd w:val="clear" w:color="auto" w:fill="auto"/>
            <w:vAlign w:val="center"/>
            <w:hideMark/>
          </w:tcPr>
          <w:p w14:paraId="6870B463"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86 418 000</w:t>
            </w:r>
          </w:p>
        </w:tc>
      </w:tr>
      <w:tr w:rsidR="00037D0F" w:rsidRPr="00586CCF" w14:paraId="19B7D74F" w14:textId="77777777" w:rsidTr="00283959">
        <w:trPr>
          <w:trHeight w:val="20"/>
        </w:trPr>
        <w:tc>
          <w:tcPr>
            <w:tcW w:w="4536" w:type="dxa"/>
            <w:shd w:val="clear" w:color="auto" w:fill="auto"/>
            <w:vAlign w:val="center"/>
            <w:hideMark/>
          </w:tcPr>
          <w:p w14:paraId="16CB5B81"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Revenue from services rendered</w:t>
            </w:r>
          </w:p>
        </w:tc>
        <w:tc>
          <w:tcPr>
            <w:tcW w:w="1560" w:type="dxa"/>
            <w:shd w:val="clear" w:color="auto" w:fill="auto"/>
            <w:vAlign w:val="center"/>
            <w:hideMark/>
          </w:tcPr>
          <w:p w14:paraId="12821CE3"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45 223 056</w:t>
            </w:r>
          </w:p>
        </w:tc>
        <w:tc>
          <w:tcPr>
            <w:tcW w:w="1559" w:type="dxa"/>
            <w:shd w:val="clear" w:color="auto" w:fill="auto"/>
            <w:vAlign w:val="center"/>
            <w:hideMark/>
          </w:tcPr>
          <w:p w14:paraId="249AECB6"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48 296 585</w:t>
            </w:r>
          </w:p>
        </w:tc>
        <w:tc>
          <w:tcPr>
            <w:tcW w:w="1442" w:type="dxa"/>
            <w:shd w:val="clear" w:color="auto" w:fill="auto"/>
            <w:vAlign w:val="center"/>
            <w:hideMark/>
          </w:tcPr>
          <w:p w14:paraId="6677B717"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50 790 456</w:t>
            </w:r>
          </w:p>
        </w:tc>
      </w:tr>
      <w:tr w:rsidR="00037D0F" w:rsidRPr="00586CCF" w14:paraId="06A6472F" w14:textId="77777777" w:rsidTr="00283959">
        <w:trPr>
          <w:trHeight w:val="20"/>
        </w:trPr>
        <w:tc>
          <w:tcPr>
            <w:tcW w:w="4536" w:type="dxa"/>
            <w:shd w:val="clear" w:color="auto" w:fill="auto"/>
            <w:vAlign w:val="center"/>
            <w:hideMark/>
          </w:tcPr>
          <w:p w14:paraId="3CCB9F08" w14:textId="77777777" w:rsidR="00037D0F" w:rsidRPr="006D18C5" w:rsidRDefault="00037D0F" w:rsidP="00586CCF">
            <w:pPr>
              <w:spacing w:line="360" w:lineRule="auto"/>
              <w:jc w:val="lef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Other income</w:t>
            </w:r>
          </w:p>
        </w:tc>
        <w:tc>
          <w:tcPr>
            <w:tcW w:w="1560" w:type="dxa"/>
            <w:shd w:val="clear" w:color="auto" w:fill="auto"/>
            <w:vAlign w:val="center"/>
            <w:hideMark/>
          </w:tcPr>
          <w:p w14:paraId="6AA0CB9F"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2 188 204</w:t>
            </w:r>
          </w:p>
        </w:tc>
        <w:tc>
          <w:tcPr>
            <w:tcW w:w="1559" w:type="dxa"/>
            <w:shd w:val="clear" w:color="auto" w:fill="auto"/>
            <w:vAlign w:val="center"/>
            <w:hideMark/>
          </w:tcPr>
          <w:p w14:paraId="35B08B2C"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38 201 254</w:t>
            </w:r>
          </w:p>
        </w:tc>
        <w:tc>
          <w:tcPr>
            <w:tcW w:w="1442" w:type="dxa"/>
            <w:shd w:val="clear" w:color="auto" w:fill="auto"/>
            <w:vAlign w:val="center"/>
            <w:hideMark/>
          </w:tcPr>
          <w:p w14:paraId="50D7ECDA"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5 204 501</w:t>
            </w:r>
          </w:p>
        </w:tc>
      </w:tr>
      <w:tr w:rsidR="00037D0F" w:rsidRPr="00586CCF" w14:paraId="4AE834BD" w14:textId="77777777" w:rsidTr="00283959">
        <w:trPr>
          <w:trHeight w:val="20"/>
        </w:trPr>
        <w:tc>
          <w:tcPr>
            <w:tcW w:w="4536" w:type="dxa"/>
            <w:shd w:val="clear" w:color="auto" w:fill="auto"/>
            <w:vAlign w:val="center"/>
            <w:hideMark/>
          </w:tcPr>
          <w:p w14:paraId="34057D56" w14:textId="77777777" w:rsidR="00037D0F" w:rsidRPr="006D18C5" w:rsidRDefault="00037D0F" w:rsidP="00586CCF">
            <w:pPr>
              <w:spacing w:line="360" w:lineRule="auto"/>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Revenue</w:t>
            </w:r>
          </w:p>
        </w:tc>
        <w:tc>
          <w:tcPr>
            <w:tcW w:w="1560" w:type="dxa"/>
            <w:shd w:val="clear" w:color="auto" w:fill="auto"/>
            <w:vAlign w:val="center"/>
            <w:hideMark/>
          </w:tcPr>
          <w:p w14:paraId="51A62CF9" w14:textId="77777777" w:rsidR="00037D0F" w:rsidRPr="006D18C5" w:rsidRDefault="00037D0F" w:rsidP="00586CC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295 533 113</w:t>
            </w:r>
          </w:p>
        </w:tc>
        <w:tc>
          <w:tcPr>
            <w:tcW w:w="1559" w:type="dxa"/>
            <w:shd w:val="clear" w:color="auto" w:fill="auto"/>
            <w:vAlign w:val="center"/>
            <w:hideMark/>
          </w:tcPr>
          <w:p w14:paraId="6F183966" w14:textId="77777777" w:rsidR="00037D0F" w:rsidRPr="006D18C5" w:rsidRDefault="00037D0F" w:rsidP="00586CC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361 002 617</w:t>
            </w:r>
          </w:p>
        </w:tc>
        <w:tc>
          <w:tcPr>
            <w:tcW w:w="1442" w:type="dxa"/>
            <w:shd w:val="clear" w:color="auto" w:fill="auto"/>
            <w:vAlign w:val="center"/>
            <w:hideMark/>
          </w:tcPr>
          <w:p w14:paraId="0F5F024E" w14:textId="77777777" w:rsidR="00037D0F" w:rsidRPr="006D18C5" w:rsidRDefault="00037D0F" w:rsidP="00586CC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337 695 343</w:t>
            </w:r>
          </w:p>
        </w:tc>
      </w:tr>
      <w:tr w:rsidR="00037D0F" w:rsidRPr="00586CCF" w14:paraId="227117BB" w14:textId="77777777" w:rsidTr="00283959">
        <w:trPr>
          <w:trHeight w:val="20"/>
        </w:trPr>
        <w:tc>
          <w:tcPr>
            <w:tcW w:w="9097" w:type="dxa"/>
            <w:gridSpan w:val="4"/>
            <w:shd w:val="clear" w:color="auto" w:fill="auto"/>
            <w:noWrap/>
            <w:vAlign w:val="bottom"/>
            <w:hideMark/>
          </w:tcPr>
          <w:p w14:paraId="493C1EA9" w14:textId="77777777" w:rsidR="00037D0F" w:rsidRPr="006D18C5" w:rsidRDefault="00037D0F" w:rsidP="00586CCF">
            <w:pPr>
              <w:spacing w:line="360" w:lineRule="auto"/>
              <w:jc w:val="left"/>
              <w:rPr>
                <w:rFonts w:ascii="Times New Roman" w:eastAsia="Times New Roman" w:hAnsi="Times New Roman" w:cs="Times New Roman"/>
                <w:b/>
                <w:szCs w:val="24"/>
                <w:lang w:eastAsia="en-ZA"/>
              </w:rPr>
            </w:pPr>
            <w:r w:rsidRPr="006D18C5">
              <w:rPr>
                <w:rFonts w:ascii="Times New Roman" w:eastAsia="Times New Roman" w:hAnsi="Times New Roman" w:cs="Times New Roman"/>
                <w:b/>
                <w:szCs w:val="24"/>
                <w:lang w:eastAsia="en-ZA"/>
              </w:rPr>
              <w:t xml:space="preserve">Expenses </w:t>
            </w:r>
          </w:p>
        </w:tc>
      </w:tr>
      <w:tr w:rsidR="00037D0F" w:rsidRPr="00586CCF" w14:paraId="10EA81F1" w14:textId="77777777" w:rsidTr="00283959">
        <w:trPr>
          <w:trHeight w:val="20"/>
        </w:trPr>
        <w:tc>
          <w:tcPr>
            <w:tcW w:w="4536" w:type="dxa"/>
            <w:shd w:val="clear" w:color="auto" w:fill="auto"/>
            <w:vAlign w:val="center"/>
            <w:hideMark/>
          </w:tcPr>
          <w:p w14:paraId="67A82EB5"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Advertising and marketing expenses</w:t>
            </w:r>
          </w:p>
        </w:tc>
        <w:tc>
          <w:tcPr>
            <w:tcW w:w="1560" w:type="dxa"/>
            <w:shd w:val="clear" w:color="auto" w:fill="auto"/>
            <w:vAlign w:val="center"/>
            <w:hideMark/>
          </w:tcPr>
          <w:p w14:paraId="3A14C46C"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5 023 486</w:t>
            </w:r>
          </w:p>
        </w:tc>
        <w:tc>
          <w:tcPr>
            <w:tcW w:w="1559" w:type="dxa"/>
            <w:shd w:val="clear" w:color="auto" w:fill="auto"/>
            <w:vAlign w:val="center"/>
            <w:hideMark/>
          </w:tcPr>
          <w:p w14:paraId="49C047F0"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6 122 454</w:t>
            </w:r>
          </w:p>
        </w:tc>
        <w:tc>
          <w:tcPr>
            <w:tcW w:w="1442" w:type="dxa"/>
            <w:shd w:val="clear" w:color="auto" w:fill="auto"/>
            <w:vAlign w:val="center"/>
            <w:hideMark/>
          </w:tcPr>
          <w:p w14:paraId="7094A0D2"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1 307 452</w:t>
            </w:r>
          </w:p>
        </w:tc>
      </w:tr>
      <w:tr w:rsidR="00037D0F" w:rsidRPr="00586CCF" w14:paraId="5F30AD8D" w14:textId="77777777" w:rsidTr="00283959">
        <w:trPr>
          <w:trHeight w:val="20"/>
        </w:trPr>
        <w:tc>
          <w:tcPr>
            <w:tcW w:w="4536" w:type="dxa"/>
            <w:shd w:val="clear" w:color="auto" w:fill="auto"/>
            <w:vAlign w:val="center"/>
            <w:hideMark/>
          </w:tcPr>
          <w:p w14:paraId="0F87B287"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Amortisation of intangible assets</w:t>
            </w:r>
          </w:p>
        </w:tc>
        <w:tc>
          <w:tcPr>
            <w:tcW w:w="1560" w:type="dxa"/>
            <w:shd w:val="clear" w:color="auto" w:fill="auto"/>
            <w:vAlign w:val="center"/>
            <w:hideMark/>
          </w:tcPr>
          <w:p w14:paraId="63D88C74"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835 953</w:t>
            </w:r>
          </w:p>
        </w:tc>
        <w:tc>
          <w:tcPr>
            <w:tcW w:w="1559" w:type="dxa"/>
            <w:shd w:val="clear" w:color="auto" w:fill="auto"/>
            <w:vAlign w:val="center"/>
            <w:hideMark/>
          </w:tcPr>
          <w:p w14:paraId="05912CD0"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840 000</w:t>
            </w:r>
          </w:p>
        </w:tc>
        <w:tc>
          <w:tcPr>
            <w:tcW w:w="1442" w:type="dxa"/>
            <w:shd w:val="clear" w:color="auto" w:fill="auto"/>
            <w:vAlign w:val="center"/>
            <w:hideMark/>
          </w:tcPr>
          <w:p w14:paraId="2D70E5E8"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835 953</w:t>
            </w:r>
          </w:p>
        </w:tc>
      </w:tr>
      <w:tr w:rsidR="00037D0F" w:rsidRPr="00586CCF" w14:paraId="48C3629E" w14:textId="77777777" w:rsidTr="00283959">
        <w:trPr>
          <w:trHeight w:val="20"/>
        </w:trPr>
        <w:tc>
          <w:tcPr>
            <w:tcW w:w="4536" w:type="dxa"/>
            <w:shd w:val="clear" w:color="auto" w:fill="auto"/>
            <w:vAlign w:val="center"/>
            <w:hideMark/>
          </w:tcPr>
          <w:p w14:paraId="697EE3DF"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Contract services</w:t>
            </w:r>
          </w:p>
        </w:tc>
        <w:tc>
          <w:tcPr>
            <w:tcW w:w="1560" w:type="dxa"/>
            <w:shd w:val="clear" w:color="auto" w:fill="auto"/>
            <w:vAlign w:val="center"/>
            <w:hideMark/>
          </w:tcPr>
          <w:p w14:paraId="43F8C032"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8 608 946</w:t>
            </w:r>
          </w:p>
        </w:tc>
        <w:tc>
          <w:tcPr>
            <w:tcW w:w="1559" w:type="dxa"/>
            <w:shd w:val="clear" w:color="auto" w:fill="auto"/>
            <w:vAlign w:val="center"/>
            <w:hideMark/>
          </w:tcPr>
          <w:p w14:paraId="38F2245E"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14 346 135</w:t>
            </w:r>
          </w:p>
        </w:tc>
        <w:tc>
          <w:tcPr>
            <w:tcW w:w="1442" w:type="dxa"/>
            <w:shd w:val="clear" w:color="auto" w:fill="auto"/>
            <w:vAlign w:val="center"/>
            <w:hideMark/>
          </w:tcPr>
          <w:p w14:paraId="3C69FAB2"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8 650 347</w:t>
            </w:r>
          </w:p>
        </w:tc>
      </w:tr>
      <w:tr w:rsidR="00037D0F" w:rsidRPr="00586CCF" w14:paraId="45CEE8CD" w14:textId="77777777" w:rsidTr="00283959">
        <w:trPr>
          <w:trHeight w:val="20"/>
        </w:trPr>
        <w:tc>
          <w:tcPr>
            <w:tcW w:w="4536" w:type="dxa"/>
            <w:shd w:val="clear" w:color="auto" w:fill="auto"/>
            <w:vAlign w:val="center"/>
            <w:hideMark/>
          </w:tcPr>
          <w:p w14:paraId="0AAB2D14"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Depreciation</w:t>
            </w:r>
          </w:p>
        </w:tc>
        <w:tc>
          <w:tcPr>
            <w:tcW w:w="1560" w:type="dxa"/>
            <w:shd w:val="clear" w:color="auto" w:fill="auto"/>
            <w:vAlign w:val="center"/>
            <w:hideMark/>
          </w:tcPr>
          <w:p w14:paraId="63ED1E66"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2 446 636</w:t>
            </w:r>
          </w:p>
        </w:tc>
        <w:tc>
          <w:tcPr>
            <w:tcW w:w="1559" w:type="dxa"/>
            <w:shd w:val="clear" w:color="auto" w:fill="auto"/>
            <w:vAlign w:val="center"/>
            <w:hideMark/>
          </w:tcPr>
          <w:p w14:paraId="1AB4097F"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3 588 204</w:t>
            </w:r>
          </w:p>
        </w:tc>
        <w:tc>
          <w:tcPr>
            <w:tcW w:w="1442" w:type="dxa"/>
            <w:shd w:val="clear" w:color="auto" w:fill="auto"/>
            <w:vAlign w:val="center"/>
            <w:hideMark/>
          </w:tcPr>
          <w:p w14:paraId="07DD09D5"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3 435 903</w:t>
            </w:r>
          </w:p>
        </w:tc>
      </w:tr>
      <w:tr w:rsidR="00037D0F" w:rsidRPr="00586CCF" w14:paraId="1170FA94" w14:textId="77777777" w:rsidTr="00283959">
        <w:trPr>
          <w:trHeight w:val="20"/>
        </w:trPr>
        <w:tc>
          <w:tcPr>
            <w:tcW w:w="4536" w:type="dxa"/>
            <w:shd w:val="clear" w:color="auto" w:fill="auto"/>
            <w:vAlign w:val="center"/>
            <w:hideMark/>
          </w:tcPr>
          <w:p w14:paraId="2DC5D1B2"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Employment cost</w:t>
            </w:r>
          </w:p>
        </w:tc>
        <w:tc>
          <w:tcPr>
            <w:tcW w:w="1560" w:type="dxa"/>
            <w:shd w:val="clear" w:color="auto" w:fill="auto"/>
            <w:vAlign w:val="center"/>
            <w:hideMark/>
          </w:tcPr>
          <w:p w14:paraId="190A6F9C"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237 057 787</w:t>
            </w:r>
          </w:p>
        </w:tc>
        <w:tc>
          <w:tcPr>
            <w:tcW w:w="1559" w:type="dxa"/>
            <w:shd w:val="clear" w:color="auto" w:fill="auto"/>
            <w:vAlign w:val="center"/>
            <w:hideMark/>
          </w:tcPr>
          <w:p w14:paraId="40687443"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274 452 883</w:t>
            </w:r>
          </w:p>
        </w:tc>
        <w:tc>
          <w:tcPr>
            <w:tcW w:w="1442" w:type="dxa"/>
            <w:shd w:val="clear" w:color="auto" w:fill="auto"/>
            <w:vAlign w:val="center"/>
            <w:hideMark/>
          </w:tcPr>
          <w:p w14:paraId="0240F7D9"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258 177 099</w:t>
            </w:r>
          </w:p>
        </w:tc>
      </w:tr>
      <w:tr w:rsidR="00037D0F" w:rsidRPr="00586CCF" w14:paraId="4790C164" w14:textId="77777777" w:rsidTr="00283959">
        <w:trPr>
          <w:trHeight w:val="20"/>
        </w:trPr>
        <w:tc>
          <w:tcPr>
            <w:tcW w:w="4536" w:type="dxa"/>
            <w:shd w:val="clear" w:color="auto" w:fill="auto"/>
            <w:vAlign w:val="center"/>
            <w:hideMark/>
          </w:tcPr>
          <w:p w14:paraId="3649C2D4"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Impairment</w:t>
            </w:r>
          </w:p>
        </w:tc>
        <w:tc>
          <w:tcPr>
            <w:tcW w:w="1560" w:type="dxa"/>
            <w:shd w:val="clear" w:color="auto" w:fill="auto"/>
            <w:vAlign w:val="center"/>
            <w:hideMark/>
          </w:tcPr>
          <w:p w14:paraId="46C41F4C"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w:t>
            </w:r>
          </w:p>
        </w:tc>
        <w:tc>
          <w:tcPr>
            <w:tcW w:w="1559" w:type="dxa"/>
            <w:shd w:val="clear" w:color="auto" w:fill="auto"/>
            <w:vAlign w:val="center"/>
            <w:hideMark/>
          </w:tcPr>
          <w:p w14:paraId="6CF1901B"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w:t>
            </w:r>
          </w:p>
        </w:tc>
        <w:tc>
          <w:tcPr>
            <w:tcW w:w="1442" w:type="dxa"/>
            <w:shd w:val="clear" w:color="auto" w:fill="auto"/>
            <w:vAlign w:val="center"/>
            <w:hideMark/>
          </w:tcPr>
          <w:p w14:paraId="0A32526C"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3 188 602</w:t>
            </w:r>
          </w:p>
        </w:tc>
      </w:tr>
      <w:tr w:rsidR="00037D0F" w:rsidRPr="00586CCF" w14:paraId="0515A3AE" w14:textId="77777777" w:rsidTr="00283959">
        <w:trPr>
          <w:trHeight w:val="20"/>
        </w:trPr>
        <w:tc>
          <w:tcPr>
            <w:tcW w:w="4536" w:type="dxa"/>
            <w:shd w:val="clear" w:color="auto" w:fill="auto"/>
            <w:vAlign w:val="center"/>
            <w:hideMark/>
          </w:tcPr>
          <w:p w14:paraId="1757F019"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Office rentals and other operating lease expenses</w:t>
            </w:r>
          </w:p>
        </w:tc>
        <w:tc>
          <w:tcPr>
            <w:tcW w:w="1560" w:type="dxa"/>
            <w:shd w:val="clear" w:color="auto" w:fill="auto"/>
            <w:vAlign w:val="center"/>
            <w:hideMark/>
          </w:tcPr>
          <w:p w14:paraId="23A2AF99"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12 351 607</w:t>
            </w:r>
          </w:p>
        </w:tc>
        <w:tc>
          <w:tcPr>
            <w:tcW w:w="1559" w:type="dxa"/>
            <w:shd w:val="clear" w:color="auto" w:fill="auto"/>
            <w:vAlign w:val="center"/>
            <w:hideMark/>
          </w:tcPr>
          <w:p w14:paraId="3337431F"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13 962 660</w:t>
            </w:r>
          </w:p>
        </w:tc>
        <w:tc>
          <w:tcPr>
            <w:tcW w:w="1442" w:type="dxa"/>
            <w:shd w:val="clear" w:color="auto" w:fill="auto"/>
            <w:vAlign w:val="center"/>
            <w:hideMark/>
          </w:tcPr>
          <w:p w14:paraId="6A16BB20"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12 411 127</w:t>
            </w:r>
          </w:p>
        </w:tc>
      </w:tr>
      <w:tr w:rsidR="00037D0F" w:rsidRPr="00586CCF" w14:paraId="7456D92D" w14:textId="77777777" w:rsidTr="00283959">
        <w:trPr>
          <w:trHeight w:val="20"/>
        </w:trPr>
        <w:tc>
          <w:tcPr>
            <w:tcW w:w="4536" w:type="dxa"/>
            <w:shd w:val="clear" w:color="auto" w:fill="auto"/>
            <w:vAlign w:val="center"/>
            <w:hideMark/>
          </w:tcPr>
          <w:p w14:paraId="2A34F0A7"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Tests and sampling</w:t>
            </w:r>
          </w:p>
        </w:tc>
        <w:tc>
          <w:tcPr>
            <w:tcW w:w="1560" w:type="dxa"/>
            <w:shd w:val="clear" w:color="auto" w:fill="auto"/>
            <w:vAlign w:val="center"/>
            <w:hideMark/>
          </w:tcPr>
          <w:p w14:paraId="4C00F11D"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4 897 834</w:t>
            </w:r>
          </w:p>
        </w:tc>
        <w:tc>
          <w:tcPr>
            <w:tcW w:w="1559" w:type="dxa"/>
            <w:shd w:val="clear" w:color="auto" w:fill="auto"/>
            <w:vAlign w:val="center"/>
            <w:hideMark/>
          </w:tcPr>
          <w:p w14:paraId="5B2EB316"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8 834 427</w:t>
            </w:r>
          </w:p>
        </w:tc>
        <w:tc>
          <w:tcPr>
            <w:tcW w:w="1442" w:type="dxa"/>
            <w:shd w:val="clear" w:color="auto" w:fill="auto"/>
            <w:vAlign w:val="center"/>
            <w:hideMark/>
          </w:tcPr>
          <w:p w14:paraId="29992CC2"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3 263 463</w:t>
            </w:r>
          </w:p>
        </w:tc>
      </w:tr>
      <w:tr w:rsidR="00037D0F" w:rsidRPr="00586CCF" w14:paraId="3BC9B8E4" w14:textId="77777777" w:rsidTr="00283959">
        <w:trPr>
          <w:trHeight w:val="20"/>
        </w:trPr>
        <w:tc>
          <w:tcPr>
            <w:tcW w:w="4536" w:type="dxa"/>
            <w:shd w:val="clear" w:color="auto" w:fill="auto"/>
            <w:vAlign w:val="center"/>
            <w:hideMark/>
          </w:tcPr>
          <w:p w14:paraId="42D69739"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Travel expenditure</w:t>
            </w:r>
          </w:p>
        </w:tc>
        <w:tc>
          <w:tcPr>
            <w:tcW w:w="1560" w:type="dxa"/>
            <w:shd w:val="clear" w:color="auto" w:fill="auto"/>
            <w:vAlign w:val="center"/>
            <w:hideMark/>
          </w:tcPr>
          <w:p w14:paraId="3D74338F"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16 427 813</w:t>
            </w:r>
          </w:p>
        </w:tc>
        <w:tc>
          <w:tcPr>
            <w:tcW w:w="1559" w:type="dxa"/>
            <w:shd w:val="clear" w:color="auto" w:fill="auto"/>
            <w:vAlign w:val="center"/>
            <w:hideMark/>
          </w:tcPr>
          <w:p w14:paraId="2DEAC43A"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19 982 227</w:t>
            </w:r>
          </w:p>
        </w:tc>
        <w:tc>
          <w:tcPr>
            <w:tcW w:w="1442" w:type="dxa"/>
            <w:shd w:val="clear" w:color="auto" w:fill="auto"/>
            <w:vAlign w:val="center"/>
            <w:hideMark/>
          </w:tcPr>
          <w:p w14:paraId="22769F4B"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15 617 554</w:t>
            </w:r>
          </w:p>
        </w:tc>
      </w:tr>
      <w:tr w:rsidR="00037D0F" w:rsidRPr="00586CCF" w14:paraId="7B613BD1" w14:textId="77777777" w:rsidTr="00283959">
        <w:trPr>
          <w:trHeight w:val="20"/>
        </w:trPr>
        <w:tc>
          <w:tcPr>
            <w:tcW w:w="4536" w:type="dxa"/>
            <w:shd w:val="clear" w:color="auto" w:fill="auto"/>
            <w:vAlign w:val="center"/>
            <w:hideMark/>
          </w:tcPr>
          <w:p w14:paraId="44C6E8F5" w14:textId="77777777" w:rsidR="00037D0F" w:rsidRPr="006D18C5" w:rsidRDefault="00037D0F" w:rsidP="00586CCF">
            <w:pPr>
              <w:spacing w:line="360" w:lineRule="auto"/>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Other expenditure</w:t>
            </w:r>
          </w:p>
        </w:tc>
        <w:tc>
          <w:tcPr>
            <w:tcW w:w="1560" w:type="dxa"/>
            <w:shd w:val="clear" w:color="auto" w:fill="auto"/>
            <w:vAlign w:val="center"/>
            <w:hideMark/>
          </w:tcPr>
          <w:p w14:paraId="1DE3C896"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20 660 745</w:t>
            </w:r>
          </w:p>
        </w:tc>
        <w:tc>
          <w:tcPr>
            <w:tcW w:w="1559" w:type="dxa"/>
            <w:shd w:val="clear" w:color="auto" w:fill="auto"/>
            <w:vAlign w:val="center"/>
            <w:hideMark/>
          </w:tcPr>
          <w:p w14:paraId="4692E434"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32 317 960</w:t>
            </w:r>
          </w:p>
        </w:tc>
        <w:tc>
          <w:tcPr>
            <w:tcW w:w="1442" w:type="dxa"/>
            <w:shd w:val="clear" w:color="auto" w:fill="auto"/>
            <w:vAlign w:val="center"/>
            <w:hideMark/>
          </w:tcPr>
          <w:p w14:paraId="0C498432" w14:textId="77777777" w:rsidR="00037D0F" w:rsidRPr="006D18C5" w:rsidRDefault="00037D0F" w:rsidP="00586CCF">
            <w:pPr>
              <w:spacing w:line="360" w:lineRule="auto"/>
              <w:jc w:val="right"/>
              <w:rPr>
                <w:rFonts w:ascii="Times New Roman" w:eastAsia="Times New Roman" w:hAnsi="Times New Roman" w:cs="Times New Roman"/>
                <w:szCs w:val="24"/>
                <w:lang w:eastAsia="en-ZA"/>
              </w:rPr>
            </w:pPr>
            <w:r w:rsidRPr="006D18C5">
              <w:rPr>
                <w:rFonts w:ascii="Times New Roman" w:eastAsia="Times New Roman" w:hAnsi="Times New Roman" w:cs="Times New Roman"/>
                <w:szCs w:val="24"/>
                <w:lang w:eastAsia="en-ZA"/>
              </w:rPr>
              <w:t>19 473 139</w:t>
            </w:r>
          </w:p>
        </w:tc>
      </w:tr>
      <w:tr w:rsidR="00037D0F" w:rsidRPr="00586CCF" w14:paraId="643E3A8B" w14:textId="77777777" w:rsidTr="00283959">
        <w:trPr>
          <w:trHeight w:val="20"/>
        </w:trPr>
        <w:tc>
          <w:tcPr>
            <w:tcW w:w="4536" w:type="dxa"/>
            <w:shd w:val="clear" w:color="auto" w:fill="auto"/>
            <w:vAlign w:val="center"/>
            <w:hideMark/>
          </w:tcPr>
          <w:p w14:paraId="5C40AFF8" w14:textId="77777777" w:rsidR="00037D0F" w:rsidRPr="006D18C5" w:rsidRDefault="00037D0F" w:rsidP="00586CCF">
            <w:pPr>
              <w:spacing w:line="360" w:lineRule="auto"/>
              <w:jc w:val="lef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Expenses</w:t>
            </w:r>
          </w:p>
        </w:tc>
        <w:tc>
          <w:tcPr>
            <w:tcW w:w="1560" w:type="dxa"/>
            <w:shd w:val="clear" w:color="auto" w:fill="auto"/>
            <w:vAlign w:val="center"/>
            <w:hideMark/>
          </w:tcPr>
          <w:p w14:paraId="38AB9E6D" w14:textId="77777777" w:rsidR="00037D0F" w:rsidRPr="006D18C5" w:rsidRDefault="00037D0F" w:rsidP="00586CC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308 310 807</w:t>
            </w:r>
          </w:p>
        </w:tc>
        <w:tc>
          <w:tcPr>
            <w:tcW w:w="1559" w:type="dxa"/>
            <w:shd w:val="clear" w:color="auto" w:fill="auto"/>
            <w:vAlign w:val="center"/>
            <w:hideMark/>
          </w:tcPr>
          <w:p w14:paraId="2AE99391" w14:textId="77777777" w:rsidR="00037D0F" w:rsidRPr="006D18C5" w:rsidRDefault="00037D0F" w:rsidP="00586CC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374 446 950</w:t>
            </w:r>
          </w:p>
        </w:tc>
        <w:tc>
          <w:tcPr>
            <w:tcW w:w="1442" w:type="dxa"/>
            <w:shd w:val="clear" w:color="auto" w:fill="auto"/>
            <w:vAlign w:val="center"/>
            <w:hideMark/>
          </w:tcPr>
          <w:p w14:paraId="5DCEDE97" w14:textId="77777777" w:rsidR="00037D0F" w:rsidRPr="006D18C5" w:rsidRDefault="00037D0F" w:rsidP="00586CCF">
            <w:pPr>
              <w:spacing w:line="360" w:lineRule="auto"/>
              <w:jc w:val="right"/>
              <w:rPr>
                <w:rFonts w:ascii="Times New Roman" w:eastAsia="Times New Roman" w:hAnsi="Times New Roman" w:cs="Times New Roman"/>
                <w:b/>
                <w:bCs/>
                <w:szCs w:val="24"/>
                <w:lang w:eastAsia="en-ZA"/>
              </w:rPr>
            </w:pPr>
            <w:r w:rsidRPr="006D18C5">
              <w:rPr>
                <w:rFonts w:ascii="Times New Roman" w:eastAsia="Times New Roman" w:hAnsi="Times New Roman" w:cs="Times New Roman"/>
                <w:b/>
                <w:bCs/>
                <w:szCs w:val="24"/>
                <w:lang w:eastAsia="en-ZA"/>
              </w:rPr>
              <w:t>326 360 639</w:t>
            </w:r>
          </w:p>
        </w:tc>
      </w:tr>
    </w:tbl>
    <w:p w14:paraId="4258D1B8" w14:textId="77777777" w:rsidR="00037D0F" w:rsidRPr="00586CCF" w:rsidRDefault="00037D0F" w:rsidP="00586CCF">
      <w:pPr>
        <w:spacing w:line="360" w:lineRule="auto"/>
        <w:rPr>
          <w:rFonts w:ascii="Times New Roman" w:hAnsi="Times New Roman" w:cs="Times New Roman"/>
          <w:sz w:val="24"/>
          <w:szCs w:val="24"/>
        </w:rPr>
      </w:pPr>
      <w:r w:rsidRPr="00894911">
        <w:rPr>
          <w:rFonts w:ascii="Times New Roman" w:hAnsi="Times New Roman" w:cs="Times New Roman"/>
          <w:sz w:val="24"/>
          <w:szCs w:val="24"/>
        </w:rPr>
        <w:t>Source:</w:t>
      </w:r>
      <w:r w:rsidRPr="00586CCF">
        <w:rPr>
          <w:rFonts w:ascii="Times New Roman" w:hAnsi="Times New Roman" w:cs="Times New Roman"/>
          <w:sz w:val="24"/>
          <w:szCs w:val="24"/>
        </w:rPr>
        <w:t xml:space="preserve"> </w:t>
      </w:r>
      <w:r w:rsidR="00894911" w:rsidRPr="00586CCF">
        <w:rPr>
          <w:rFonts w:ascii="Times New Roman" w:hAnsi="Times New Roman" w:cs="Times New Roman"/>
          <w:sz w:val="24"/>
          <w:szCs w:val="24"/>
        </w:rPr>
        <w:t>N</w:t>
      </w:r>
      <w:r w:rsidR="00894911">
        <w:rPr>
          <w:rFonts w:ascii="Times New Roman" w:hAnsi="Times New Roman" w:cs="Times New Roman"/>
          <w:sz w:val="24"/>
          <w:szCs w:val="24"/>
        </w:rPr>
        <w:t xml:space="preserve">ational </w:t>
      </w:r>
      <w:r w:rsidR="00894911" w:rsidRPr="00586CCF">
        <w:rPr>
          <w:rFonts w:ascii="Times New Roman" w:hAnsi="Times New Roman" w:cs="Times New Roman"/>
          <w:sz w:val="24"/>
          <w:szCs w:val="24"/>
        </w:rPr>
        <w:t>R</w:t>
      </w:r>
      <w:r w:rsidR="00894911">
        <w:rPr>
          <w:rFonts w:ascii="Times New Roman" w:hAnsi="Times New Roman" w:cs="Times New Roman"/>
          <w:sz w:val="24"/>
          <w:szCs w:val="24"/>
        </w:rPr>
        <w:t xml:space="preserve">egulator for </w:t>
      </w:r>
      <w:r w:rsidR="00894911" w:rsidRPr="00586CCF">
        <w:rPr>
          <w:rFonts w:ascii="Times New Roman" w:hAnsi="Times New Roman" w:cs="Times New Roman"/>
          <w:sz w:val="24"/>
          <w:szCs w:val="24"/>
        </w:rPr>
        <w:t>C</w:t>
      </w:r>
      <w:r w:rsidR="00894911">
        <w:rPr>
          <w:rFonts w:ascii="Times New Roman" w:hAnsi="Times New Roman" w:cs="Times New Roman"/>
          <w:sz w:val="24"/>
          <w:szCs w:val="24"/>
        </w:rPr>
        <w:t xml:space="preserve">ompulsory </w:t>
      </w:r>
      <w:r w:rsidR="00894911" w:rsidRPr="00586CCF">
        <w:rPr>
          <w:rFonts w:ascii="Times New Roman" w:hAnsi="Times New Roman" w:cs="Times New Roman"/>
          <w:sz w:val="24"/>
          <w:szCs w:val="24"/>
        </w:rPr>
        <w:t>S</w:t>
      </w:r>
      <w:r w:rsidR="00894911">
        <w:rPr>
          <w:rFonts w:ascii="Times New Roman" w:hAnsi="Times New Roman" w:cs="Times New Roman"/>
          <w:sz w:val="24"/>
          <w:szCs w:val="24"/>
        </w:rPr>
        <w:t>pecifications</w:t>
      </w:r>
      <w:r w:rsidR="00894911" w:rsidRPr="00586CCF">
        <w:rPr>
          <w:rFonts w:ascii="Times New Roman" w:hAnsi="Times New Roman" w:cs="Times New Roman"/>
          <w:sz w:val="24"/>
          <w:szCs w:val="24"/>
        </w:rPr>
        <w:t xml:space="preserve"> (2017</w:t>
      </w:r>
      <w:r w:rsidR="00894911">
        <w:rPr>
          <w:rFonts w:ascii="Times New Roman" w:hAnsi="Times New Roman" w:cs="Times New Roman"/>
          <w:sz w:val="24"/>
          <w:szCs w:val="24"/>
        </w:rPr>
        <w:t>a</w:t>
      </w:r>
      <w:r w:rsidR="00894911" w:rsidRPr="00586CCF">
        <w:rPr>
          <w:rFonts w:ascii="Times New Roman" w:hAnsi="Times New Roman" w:cs="Times New Roman"/>
          <w:sz w:val="24"/>
          <w:szCs w:val="24"/>
        </w:rPr>
        <w:t>)</w:t>
      </w:r>
    </w:p>
    <w:p w14:paraId="647256E9" w14:textId="77777777" w:rsidR="00037D0F" w:rsidRPr="00586CCF" w:rsidRDefault="00037D0F" w:rsidP="00586CCF">
      <w:pPr>
        <w:spacing w:line="360" w:lineRule="auto"/>
        <w:rPr>
          <w:rFonts w:ascii="Times New Roman" w:hAnsi="Times New Roman" w:cs="Times New Roman"/>
          <w:sz w:val="24"/>
          <w:szCs w:val="24"/>
        </w:rPr>
      </w:pPr>
    </w:p>
    <w:p w14:paraId="117D0509" w14:textId="77777777" w:rsidR="00037D0F" w:rsidRPr="00586CCF" w:rsidRDefault="00B97677" w:rsidP="00586CCF">
      <w:pPr>
        <w:spacing w:line="360" w:lineRule="auto"/>
        <w:rPr>
          <w:rFonts w:ascii="Times New Roman" w:hAnsi="Times New Roman" w:cs="Times New Roman"/>
          <w:sz w:val="24"/>
          <w:szCs w:val="24"/>
        </w:rPr>
      </w:pPr>
      <w:r w:rsidRPr="00586CCF">
        <w:rPr>
          <w:rFonts w:ascii="Times New Roman" w:hAnsi="Times New Roman" w:cs="Times New Roman"/>
          <w:noProof/>
          <w:sz w:val="24"/>
          <w:szCs w:val="24"/>
          <w:lang w:eastAsia="en-ZA"/>
        </w:rPr>
        <w:drawing>
          <wp:anchor distT="0" distB="0" distL="114300" distR="114300" simplePos="0" relativeHeight="251662336" behindDoc="0" locked="0" layoutInCell="1" allowOverlap="1" wp14:anchorId="5F75B37D" wp14:editId="4173ABE9">
            <wp:simplePos x="0" y="0"/>
            <wp:positionH relativeFrom="margin">
              <wp:align>left</wp:align>
            </wp:positionH>
            <wp:positionV relativeFrom="paragraph">
              <wp:posOffset>174535</wp:posOffset>
            </wp:positionV>
            <wp:extent cx="5316583" cy="2377440"/>
            <wp:effectExtent l="0" t="0" r="17780" b="381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37D0F" w:rsidRPr="00586CCF">
        <w:rPr>
          <w:rFonts w:ascii="Times New Roman" w:hAnsi="Times New Roman" w:cs="Times New Roman"/>
          <w:b/>
          <w:sz w:val="24"/>
          <w:szCs w:val="24"/>
        </w:rPr>
        <w:t xml:space="preserve">Figure </w:t>
      </w:r>
      <w:r w:rsidR="00A474C6">
        <w:rPr>
          <w:rFonts w:ascii="Times New Roman" w:hAnsi="Times New Roman" w:cs="Times New Roman"/>
          <w:b/>
          <w:sz w:val="24"/>
          <w:szCs w:val="24"/>
        </w:rPr>
        <w:t>3</w:t>
      </w:r>
      <w:r w:rsidR="00037D0F" w:rsidRPr="00586CCF">
        <w:rPr>
          <w:rFonts w:ascii="Times New Roman" w:hAnsi="Times New Roman" w:cs="Times New Roman"/>
          <w:b/>
          <w:sz w:val="24"/>
          <w:szCs w:val="24"/>
        </w:rPr>
        <w:t>: Expenditure by Category</w:t>
      </w:r>
    </w:p>
    <w:p w14:paraId="0436DC53" w14:textId="77777777" w:rsidR="00037D0F" w:rsidRPr="00586CCF" w:rsidRDefault="00037D0F" w:rsidP="00586CCF">
      <w:pPr>
        <w:spacing w:line="360" w:lineRule="auto"/>
        <w:rPr>
          <w:rFonts w:ascii="Times New Roman" w:hAnsi="Times New Roman" w:cs="Times New Roman"/>
          <w:sz w:val="24"/>
          <w:szCs w:val="24"/>
        </w:rPr>
      </w:pPr>
    </w:p>
    <w:p w14:paraId="47AF1C84" w14:textId="77777777" w:rsidR="00037D0F" w:rsidRPr="00586CCF" w:rsidRDefault="00037D0F" w:rsidP="00586CCF">
      <w:pPr>
        <w:spacing w:line="360" w:lineRule="auto"/>
        <w:rPr>
          <w:rFonts w:ascii="Times New Roman" w:hAnsi="Times New Roman" w:cs="Times New Roman"/>
          <w:sz w:val="24"/>
          <w:szCs w:val="24"/>
        </w:rPr>
      </w:pPr>
    </w:p>
    <w:p w14:paraId="23E5CEEB" w14:textId="77777777" w:rsidR="00037D0F" w:rsidRPr="00586CCF" w:rsidRDefault="00037D0F" w:rsidP="00586CCF">
      <w:pPr>
        <w:spacing w:line="360" w:lineRule="auto"/>
        <w:rPr>
          <w:rFonts w:ascii="Times New Roman" w:hAnsi="Times New Roman" w:cs="Times New Roman"/>
          <w:sz w:val="24"/>
          <w:szCs w:val="24"/>
        </w:rPr>
      </w:pPr>
    </w:p>
    <w:p w14:paraId="423FD47A" w14:textId="77777777" w:rsidR="00037D0F" w:rsidRPr="00586CCF" w:rsidRDefault="00037D0F" w:rsidP="00586CCF">
      <w:pPr>
        <w:spacing w:line="360" w:lineRule="auto"/>
        <w:rPr>
          <w:rFonts w:ascii="Times New Roman" w:hAnsi="Times New Roman" w:cs="Times New Roman"/>
          <w:sz w:val="24"/>
          <w:szCs w:val="24"/>
        </w:rPr>
      </w:pPr>
    </w:p>
    <w:p w14:paraId="25C7349F" w14:textId="77777777" w:rsidR="00037D0F" w:rsidRPr="00586CCF" w:rsidRDefault="00037D0F" w:rsidP="00586CCF">
      <w:pPr>
        <w:spacing w:line="360" w:lineRule="auto"/>
        <w:rPr>
          <w:rFonts w:ascii="Times New Roman" w:hAnsi="Times New Roman" w:cs="Times New Roman"/>
          <w:sz w:val="24"/>
          <w:szCs w:val="24"/>
        </w:rPr>
      </w:pPr>
    </w:p>
    <w:p w14:paraId="663A8B9B" w14:textId="77777777" w:rsidR="00037D0F" w:rsidRPr="00586CCF" w:rsidRDefault="00037D0F" w:rsidP="00586CCF">
      <w:pPr>
        <w:spacing w:line="360" w:lineRule="auto"/>
        <w:rPr>
          <w:rFonts w:ascii="Times New Roman" w:hAnsi="Times New Roman" w:cs="Times New Roman"/>
          <w:sz w:val="24"/>
          <w:szCs w:val="24"/>
        </w:rPr>
      </w:pPr>
    </w:p>
    <w:p w14:paraId="6F0A9CF6" w14:textId="77777777" w:rsidR="00037D0F" w:rsidRPr="00586CCF" w:rsidRDefault="00037D0F" w:rsidP="00586CCF">
      <w:pPr>
        <w:spacing w:line="360" w:lineRule="auto"/>
        <w:rPr>
          <w:rFonts w:ascii="Times New Roman" w:hAnsi="Times New Roman" w:cs="Times New Roman"/>
          <w:sz w:val="24"/>
          <w:szCs w:val="24"/>
        </w:rPr>
      </w:pPr>
    </w:p>
    <w:p w14:paraId="0534798A" w14:textId="77777777" w:rsidR="00037D0F" w:rsidRPr="00586CCF" w:rsidRDefault="00037D0F" w:rsidP="00586CCF">
      <w:pPr>
        <w:spacing w:line="360" w:lineRule="auto"/>
        <w:rPr>
          <w:rFonts w:ascii="Times New Roman" w:hAnsi="Times New Roman" w:cs="Times New Roman"/>
          <w:sz w:val="24"/>
          <w:szCs w:val="24"/>
        </w:rPr>
      </w:pPr>
    </w:p>
    <w:p w14:paraId="49275376" w14:textId="77777777" w:rsidR="00037D0F" w:rsidRPr="00586CCF" w:rsidRDefault="00037D0F" w:rsidP="00586CCF">
      <w:pPr>
        <w:spacing w:line="360" w:lineRule="auto"/>
        <w:rPr>
          <w:rFonts w:ascii="Times New Roman" w:hAnsi="Times New Roman" w:cs="Times New Roman"/>
          <w:sz w:val="24"/>
          <w:szCs w:val="24"/>
        </w:rPr>
      </w:pPr>
    </w:p>
    <w:p w14:paraId="04B9B5C8" w14:textId="77777777" w:rsidR="00037D0F" w:rsidRPr="00586CCF" w:rsidRDefault="00037D0F" w:rsidP="00586CCF">
      <w:pPr>
        <w:spacing w:line="360" w:lineRule="auto"/>
        <w:rPr>
          <w:rFonts w:ascii="Times New Roman" w:hAnsi="Times New Roman" w:cs="Times New Roman"/>
          <w:sz w:val="24"/>
          <w:szCs w:val="24"/>
        </w:rPr>
      </w:pPr>
      <w:r w:rsidRPr="00E44ACB">
        <w:rPr>
          <w:rFonts w:ascii="Times New Roman" w:hAnsi="Times New Roman" w:cs="Times New Roman"/>
          <w:sz w:val="24"/>
          <w:szCs w:val="24"/>
        </w:rPr>
        <w:t>Source:</w:t>
      </w:r>
      <w:r w:rsidRPr="00586CCF">
        <w:rPr>
          <w:rFonts w:ascii="Times New Roman" w:hAnsi="Times New Roman" w:cs="Times New Roman"/>
          <w:sz w:val="24"/>
          <w:szCs w:val="24"/>
        </w:rPr>
        <w:t xml:space="preserve"> </w:t>
      </w:r>
      <w:r w:rsidR="00E44ACB" w:rsidRPr="00586CCF">
        <w:rPr>
          <w:rFonts w:ascii="Times New Roman" w:hAnsi="Times New Roman" w:cs="Times New Roman"/>
          <w:sz w:val="24"/>
          <w:szCs w:val="24"/>
        </w:rPr>
        <w:t>N</w:t>
      </w:r>
      <w:r w:rsidR="00E44ACB">
        <w:rPr>
          <w:rFonts w:ascii="Times New Roman" w:hAnsi="Times New Roman" w:cs="Times New Roman"/>
          <w:sz w:val="24"/>
          <w:szCs w:val="24"/>
        </w:rPr>
        <w:t xml:space="preserve">ational </w:t>
      </w:r>
      <w:r w:rsidR="00E44ACB" w:rsidRPr="00586CCF">
        <w:rPr>
          <w:rFonts w:ascii="Times New Roman" w:hAnsi="Times New Roman" w:cs="Times New Roman"/>
          <w:sz w:val="24"/>
          <w:szCs w:val="24"/>
        </w:rPr>
        <w:t>R</w:t>
      </w:r>
      <w:r w:rsidR="00E44ACB">
        <w:rPr>
          <w:rFonts w:ascii="Times New Roman" w:hAnsi="Times New Roman" w:cs="Times New Roman"/>
          <w:sz w:val="24"/>
          <w:szCs w:val="24"/>
        </w:rPr>
        <w:t xml:space="preserve">egulator for </w:t>
      </w:r>
      <w:r w:rsidR="00E44ACB" w:rsidRPr="00586CCF">
        <w:rPr>
          <w:rFonts w:ascii="Times New Roman" w:hAnsi="Times New Roman" w:cs="Times New Roman"/>
          <w:sz w:val="24"/>
          <w:szCs w:val="24"/>
        </w:rPr>
        <w:t>C</w:t>
      </w:r>
      <w:r w:rsidR="00E44ACB">
        <w:rPr>
          <w:rFonts w:ascii="Times New Roman" w:hAnsi="Times New Roman" w:cs="Times New Roman"/>
          <w:sz w:val="24"/>
          <w:szCs w:val="24"/>
        </w:rPr>
        <w:t xml:space="preserve">ompulsory </w:t>
      </w:r>
      <w:r w:rsidR="00E44ACB" w:rsidRPr="00586CCF">
        <w:rPr>
          <w:rFonts w:ascii="Times New Roman" w:hAnsi="Times New Roman" w:cs="Times New Roman"/>
          <w:sz w:val="24"/>
          <w:szCs w:val="24"/>
        </w:rPr>
        <w:t>S</w:t>
      </w:r>
      <w:r w:rsidR="00E44ACB">
        <w:rPr>
          <w:rFonts w:ascii="Times New Roman" w:hAnsi="Times New Roman" w:cs="Times New Roman"/>
          <w:sz w:val="24"/>
          <w:szCs w:val="24"/>
        </w:rPr>
        <w:t>pecifications</w:t>
      </w:r>
      <w:r w:rsidR="00E44ACB" w:rsidRPr="00586CCF">
        <w:rPr>
          <w:rFonts w:ascii="Times New Roman" w:hAnsi="Times New Roman" w:cs="Times New Roman"/>
          <w:sz w:val="24"/>
          <w:szCs w:val="24"/>
        </w:rPr>
        <w:t xml:space="preserve"> (2017</w:t>
      </w:r>
      <w:r w:rsidR="00E44ACB">
        <w:rPr>
          <w:rFonts w:ascii="Times New Roman" w:hAnsi="Times New Roman" w:cs="Times New Roman"/>
          <w:sz w:val="24"/>
          <w:szCs w:val="24"/>
        </w:rPr>
        <w:t>a</w:t>
      </w:r>
      <w:r w:rsidR="00E44ACB" w:rsidRPr="00586CCF">
        <w:rPr>
          <w:rFonts w:ascii="Times New Roman" w:hAnsi="Times New Roman" w:cs="Times New Roman"/>
          <w:sz w:val="24"/>
          <w:szCs w:val="24"/>
        </w:rPr>
        <w:t>)</w:t>
      </w:r>
    </w:p>
    <w:p w14:paraId="637F59F3" w14:textId="77777777" w:rsidR="00450323" w:rsidRPr="00586CCF" w:rsidRDefault="00450323" w:rsidP="00586CCF">
      <w:pPr>
        <w:pStyle w:val="Heading44"/>
        <w:numPr>
          <w:ilvl w:val="0"/>
          <w:numId w:val="0"/>
        </w:numPr>
        <w:spacing w:line="360" w:lineRule="auto"/>
        <w:rPr>
          <w:rFonts w:ascii="Times New Roman" w:hAnsi="Times New Roman" w:cs="Times New Roman"/>
          <w:sz w:val="24"/>
        </w:rPr>
      </w:pPr>
    </w:p>
    <w:p w14:paraId="27AAA422" w14:textId="77777777" w:rsidR="00DE270D" w:rsidRPr="00586CCF" w:rsidRDefault="00DE270D" w:rsidP="00EF0C57">
      <w:pPr>
        <w:pStyle w:val="Heading22"/>
        <w:numPr>
          <w:ilvl w:val="1"/>
          <w:numId w:val="31"/>
        </w:numPr>
      </w:pPr>
      <w:r w:rsidRPr="00586CCF">
        <w:t xml:space="preserve">Financial and non-financial performance as at </w:t>
      </w:r>
      <w:r w:rsidR="008711B1">
        <w:t xml:space="preserve">30 </w:t>
      </w:r>
      <w:r w:rsidRPr="00586CCF">
        <w:t>June 201</w:t>
      </w:r>
      <w:r w:rsidR="00660BFF" w:rsidRPr="00586CCF">
        <w:t>7</w:t>
      </w:r>
      <w:r w:rsidR="00F25CC5" w:rsidRPr="00894911">
        <w:rPr>
          <w:vertAlign w:val="superscript"/>
        </w:rPr>
        <w:footnoteReference w:id="11"/>
      </w:r>
    </w:p>
    <w:p w14:paraId="5867728F" w14:textId="77777777" w:rsidR="00DE270D" w:rsidRPr="00E44ACB" w:rsidRDefault="00DE270D" w:rsidP="00586CCF">
      <w:pPr>
        <w:spacing w:line="360" w:lineRule="auto"/>
        <w:rPr>
          <w:rFonts w:ascii="Times New Roman" w:hAnsi="Times New Roman" w:cs="Times New Roman"/>
          <w:sz w:val="24"/>
          <w:szCs w:val="24"/>
        </w:rPr>
      </w:pPr>
    </w:p>
    <w:p w14:paraId="13A2B95C" w14:textId="77777777" w:rsidR="007D2DB6" w:rsidRPr="004265FC" w:rsidRDefault="007D2DB6"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Non-financial Performance</w:t>
      </w:r>
    </w:p>
    <w:p w14:paraId="64ADB6FE" w14:textId="77777777" w:rsidR="007D2DB6" w:rsidRPr="004265FC" w:rsidRDefault="007D2DB6" w:rsidP="004265FC">
      <w:pPr>
        <w:pStyle w:val="Heading33"/>
        <w:numPr>
          <w:ilvl w:val="0"/>
          <w:numId w:val="0"/>
        </w:numPr>
        <w:rPr>
          <w:rFonts w:ascii="Times New Roman" w:hAnsi="Times New Roman" w:cs="Times New Roman"/>
          <w:b w:val="0"/>
          <w:sz w:val="24"/>
        </w:rPr>
      </w:pPr>
    </w:p>
    <w:p w14:paraId="77520D6E" w14:textId="77777777" w:rsidR="007D2DB6" w:rsidRPr="00586CCF" w:rsidRDefault="007D2DB6" w:rsidP="00586CCF">
      <w:pPr>
        <w:pStyle w:val="Heading33"/>
        <w:numPr>
          <w:ilvl w:val="0"/>
          <w:numId w:val="0"/>
        </w:numPr>
        <w:rPr>
          <w:rFonts w:ascii="Times New Roman" w:hAnsi="Times New Roman" w:cs="Times New Roman"/>
          <w:b w:val="0"/>
          <w:sz w:val="24"/>
        </w:rPr>
      </w:pPr>
      <w:r w:rsidRPr="00586CCF">
        <w:rPr>
          <w:rFonts w:ascii="Times New Roman" w:hAnsi="Times New Roman" w:cs="Times New Roman"/>
          <w:b w:val="0"/>
          <w:sz w:val="24"/>
        </w:rPr>
        <w:t>For the first quarter, the N</w:t>
      </w:r>
      <w:r w:rsidR="008F2E17">
        <w:rPr>
          <w:rFonts w:ascii="Times New Roman" w:hAnsi="Times New Roman" w:cs="Times New Roman"/>
          <w:b w:val="0"/>
          <w:sz w:val="24"/>
        </w:rPr>
        <w:t>R</w:t>
      </w:r>
      <w:r w:rsidRPr="00586CCF">
        <w:rPr>
          <w:rFonts w:ascii="Times New Roman" w:hAnsi="Times New Roman" w:cs="Times New Roman"/>
          <w:b w:val="0"/>
          <w:sz w:val="24"/>
        </w:rPr>
        <w:t>CS had nine performance targets. Of those targets</w:t>
      </w:r>
      <w:r w:rsidR="00071704">
        <w:rPr>
          <w:rFonts w:ascii="Times New Roman" w:hAnsi="Times New Roman" w:cs="Times New Roman"/>
          <w:b w:val="0"/>
          <w:sz w:val="24"/>
        </w:rPr>
        <w:t>,</w:t>
      </w:r>
      <w:r w:rsidRPr="00586CCF">
        <w:rPr>
          <w:rFonts w:ascii="Times New Roman" w:hAnsi="Times New Roman" w:cs="Times New Roman"/>
          <w:b w:val="0"/>
          <w:sz w:val="24"/>
        </w:rPr>
        <w:t xml:space="preserve"> five were achieved and exceeded while four were not achieved. The targets that were not achieved relate</w:t>
      </w:r>
      <w:r w:rsidR="00071704">
        <w:rPr>
          <w:rFonts w:ascii="Times New Roman" w:hAnsi="Times New Roman" w:cs="Times New Roman"/>
          <w:b w:val="0"/>
          <w:sz w:val="24"/>
        </w:rPr>
        <w:t>d</w:t>
      </w:r>
      <w:r w:rsidRPr="00586CCF">
        <w:rPr>
          <w:rFonts w:ascii="Times New Roman" w:hAnsi="Times New Roman" w:cs="Times New Roman"/>
          <w:b w:val="0"/>
          <w:sz w:val="24"/>
        </w:rPr>
        <w:t xml:space="preserve"> to the same challenges that the NRCS had in the past financial year. In particular, the processing of applications in the electro</w:t>
      </w:r>
      <w:r w:rsidR="00071704">
        <w:rPr>
          <w:rFonts w:ascii="Times New Roman" w:hAnsi="Times New Roman" w:cs="Times New Roman"/>
          <w:b w:val="0"/>
          <w:sz w:val="24"/>
        </w:rPr>
        <w:t>-</w:t>
      </w:r>
      <w:r w:rsidRPr="00586CCF">
        <w:rPr>
          <w:rFonts w:ascii="Times New Roman" w:hAnsi="Times New Roman" w:cs="Times New Roman"/>
          <w:b w:val="0"/>
          <w:sz w:val="24"/>
        </w:rPr>
        <w:t xml:space="preserve">technical unit. Another challenge that </w:t>
      </w:r>
      <w:r w:rsidR="00071704">
        <w:rPr>
          <w:rFonts w:ascii="Times New Roman" w:hAnsi="Times New Roman" w:cs="Times New Roman"/>
          <w:b w:val="0"/>
          <w:sz w:val="24"/>
        </w:rPr>
        <w:t>it</w:t>
      </w:r>
      <w:r w:rsidRPr="00586CCF">
        <w:rPr>
          <w:rFonts w:ascii="Times New Roman" w:hAnsi="Times New Roman" w:cs="Times New Roman"/>
          <w:b w:val="0"/>
          <w:sz w:val="24"/>
        </w:rPr>
        <w:t xml:space="preserve"> had this quarter was in respect of vacancies. </w:t>
      </w:r>
      <w:r w:rsidR="00071704">
        <w:rPr>
          <w:rFonts w:ascii="Times New Roman" w:hAnsi="Times New Roman" w:cs="Times New Roman"/>
          <w:b w:val="0"/>
          <w:sz w:val="24"/>
        </w:rPr>
        <w:t xml:space="preserve">It </w:t>
      </w:r>
      <w:r w:rsidRPr="00586CCF">
        <w:rPr>
          <w:rFonts w:ascii="Times New Roman" w:hAnsi="Times New Roman" w:cs="Times New Roman"/>
          <w:b w:val="0"/>
          <w:sz w:val="24"/>
        </w:rPr>
        <w:t>continue</w:t>
      </w:r>
      <w:r w:rsidR="00071704">
        <w:rPr>
          <w:rFonts w:ascii="Times New Roman" w:hAnsi="Times New Roman" w:cs="Times New Roman"/>
          <w:b w:val="0"/>
          <w:sz w:val="24"/>
        </w:rPr>
        <w:t>d</w:t>
      </w:r>
      <w:r w:rsidRPr="00586CCF">
        <w:rPr>
          <w:rFonts w:ascii="Times New Roman" w:hAnsi="Times New Roman" w:cs="Times New Roman"/>
          <w:b w:val="0"/>
          <w:sz w:val="24"/>
        </w:rPr>
        <w:t xml:space="preserve"> to </w:t>
      </w:r>
      <w:r w:rsidR="00071704">
        <w:rPr>
          <w:rFonts w:ascii="Times New Roman" w:hAnsi="Times New Roman" w:cs="Times New Roman"/>
          <w:b w:val="0"/>
          <w:sz w:val="24"/>
        </w:rPr>
        <w:t>receive</w:t>
      </w:r>
      <w:r w:rsidR="00071704" w:rsidRPr="00586CCF">
        <w:rPr>
          <w:rFonts w:ascii="Times New Roman" w:hAnsi="Times New Roman" w:cs="Times New Roman"/>
          <w:b w:val="0"/>
          <w:sz w:val="24"/>
        </w:rPr>
        <w:t xml:space="preserve"> </w:t>
      </w:r>
      <w:r w:rsidRPr="00586CCF">
        <w:rPr>
          <w:rFonts w:ascii="Times New Roman" w:hAnsi="Times New Roman" w:cs="Times New Roman"/>
          <w:b w:val="0"/>
          <w:sz w:val="24"/>
        </w:rPr>
        <w:t>resignations in addition to the past financial year’s vacancies which remain</w:t>
      </w:r>
      <w:r w:rsidR="002905F8">
        <w:rPr>
          <w:rFonts w:ascii="Times New Roman" w:hAnsi="Times New Roman" w:cs="Times New Roman"/>
          <w:b w:val="0"/>
          <w:sz w:val="24"/>
        </w:rPr>
        <w:t>ed</w:t>
      </w:r>
      <w:r w:rsidRPr="00586CCF">
        <w:rPr>
          <w:rFonts w:ascii="Times New Roman" w:hAnsi="Times New Roman" w:cs="Times New Roman"/>
          <w:b w:val="0"/>
          <w:sz w:val="24"/>
        </w:rPr>
        <w:t xml:space="preserve"> unfilled due to </w:t>
      </w:r>
      <w:r w:rsidR="002905F8">
        <w:rPr>
          <w:rFonts w:ascii="Times New Roman" w:hAnsi="Times New Roman" w:cs="Times New Roman"/>
          <w:b w:val="0"/>
          <w:sz w:val="24"/>
        </w:rPr>
        <w:t>its</w:t>
      </w:r>
      <w:r w:rsidRPr="00586CCF">
        <w:rPr>
          <w:rFonts w:ascii="Times New Roman" w:hAnsi="Times New Roman" w:cs="Times New Roman"/>
          <w:b w:val="0"/>
          <w:sz w:val="24"/>
        </w:rPr>
        <w:t xml:space="preserve"> need to contain its wage bill. This may pose a challenge for the entity as there </w:t>
      </w:r>
      <w:r w:rsidR="002905F8">
        <w:rPr>
          <w:rFonts w:ascii="Times New Roman" w:hAnsi="Times New Roman" w:cs="Times New Roman"/>
          <w:b w:val="0"/>
          <w:sz w:val="24"/>
        </w:rPr>
        <w:t>we</w:t>
      </w:r>
      <w:r w:rsidRPr="00586CCF">
        <w:rPr>
          <w:rFonts w:ascii="Times New Roman" w:hAnsi="Times New Roman" w:cs="Times New Roman"/>
          <w:b w:val="0"/>
          <w:sz w:val="24"/>
        </w:rPr>
        <w:t xml:space="preserve">re capacity challenges in the core business areas.      </w:t>
      </w:r>
    </w:p>
    <w:p w14:paraId="21DA2907" w14:textId="77777777" w:rsidR="007D2DB6" w:rsidRPr="00586CCF" w:rsidRDefault="007D2DB6" w:rsidP="00586CCF">
      <w:pPr>
        <w:pStyle w:val="Heading33"/>
        <w:numPr>
          <w:ilvl w:val="0"/>
          <w:numId w:val="0"/>
        </w:numPr>
        <w:rPr>
          <w:rFonts w:ascii="Times New Roman" w:hAnsi="Times New Roman" w:cs="Times New Roman"/>
          <w:sz w:val="24"/>
        </w:rPr>
      </w:pPr>
    </w:p>
    <w:p w14:paraId="4964B2F5" w14:textId="77777777" w:rsidR="007D2DB6" w:rsidRPr="004265FC" w:rsidRDefault="007D2DB6"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 xml:space="preserve">Financial Performance </w:t>
      </w:r>
    </w:p>
    <w:p w14:paraId="37322A6F" w14:textId="77777777" w:rsidR="007D2DB6" w:rsidRPr="00586CCF" w:rsidRDefault="007D2DB6" w:rsidP="00586CCF">
      <w:pPr>
        <w:pStyle w:val="Heading33"/>
        <w:numPr>
          <w:ilvl w:val="0"/>
          <w:numId w:val="0"/>
        </w:numPr>
        <w:rPr>
          <w:rFonts w:ascii="Times New Roman" w:hAnsi="Times New Roman" w:cs="Times New Roman"/>
          <w:sz w:val="24"/>
        </w:rPr>
      </w:pPr>
    </w:p>
    <w:p w14:paraId="1A92BE77" w14:textId="77777777" w:rsidR="007D2DB6" w:rsidRPr="00586CCF" w:rsidRDefault="007D2DB6" w:rsidP="00586CC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 xml:space="preserve">For the first quarter of the 2017/18 financial year, </w:t>
      </w:r>
      <w:r w:rsidR="002905F8">
        <w:rPr>
          <w:rFonts w:ascii="Times New Roman" w:eastAsia="Calibri" w:hAnsi="Times New Roman" w:cs="Times New Roman"/>
          <w:sz w:val="24"/>
          <w:szCs w:val="24"/>
        </w:rPr>
        <w:t>its</w:t>
      </w:r>
      <w:r w:rsidRPr="00586CCF">
        <w:rPr>
          <w:rFonts w:ascii="Times New Roman" w:eastAsia="Calibri" w:hAnsi="Times New Roman" w:cs="Times New Roman"/>
          <w:sz w:val="24"/>
          <w:szCs w:val="24"/>
        </w:rPr>
        <w:t xml:space="preserve"> budgeted income was approximately R101.9 million; however</w:t>
      </w:r>
      <w:r w:rsidR="002905F8">
        <w:rPr>
          <w:rFonts w:ascii="Times New Roman" w:eastAsia="Calibri" w:hAnsi="Times New Roman" w:cs="Times New Roman"/>
          <w:sz w:val="24"/>
          <w:szCs w:val="24"/>
        </w:rPr>
        <w:t>,</w:t>
      </w:r>
      <w:r w:rsidRPr="00586CCF">
        <w:rPr>
          <w:rFonts w:ascii="Times New Roman" w:eastAsia="Calibri" w:hAnsi="Times New Roman" w:cs="Times New Roman"/>
          <w:sz w:val="24"/>
          <w:szCs w:val="24"/>
        </w:rPr>
        <w:t xml:space="preserve"> actual income was l</w:t>
      </w:r>
      <w:r w:rsidR="002905F8">
        <w:rPr>
          <w:rFonts w:ascii="Times New Roman" w:eastAsia="Calibri" w:hAnsi="Times New Roman" w:cs="Times New Roman"/>
          <w:sz w:val="24"/>
          <w:szCs w:val="24"/>
        </w:rPr>
        <w:t>ower than budgeted</w:t>
      </w:r>
      <w:r w:rsidRPr="00586CCF">
        <w:rPr>
          <w:rFonts w:ascii="Times New Roman" w:eastAsia="Calibri" w:hAnsi="Times New Roman" w:cs="Times New Roman"/>
          <w:sz w:val="24"/>
          <w:szCs w:val="24"/>
        </w:rPr>
        <w:t xml:space="preserve"> at R71.5 million. The funding through transfers from the DTI was the largest source of income for the NRCS at R43.5 million. The second largest share of budgeted income was to be acquired from levies from compulsory specifications amounting to R37.8 million. The actual income was 79.4% l</w:t>
      </w:r>
      <w:r w:rsidR="002905F8">
        <w:rPr>
          <w:rFonts w:ascii="Times New Roman" w:eastAsia="Calibri" w:hAnsi="Times New Roman" w:cs="Times New Roman"/>
          <w:sz w:val="24"/>
          <w:szCs w:val="24"/>
        </w:rPr>
        <w:t>ower</w:t>
      </w:r>
      <w:r w:rsidRPr="00586CCF">
        <w:rPr>
          <w:rFonts w:ascii="Times New Roman" w:eastAsia="Calibri" w:hAnsi="Times New Roman" w:cs="Times New Roman"/>
          <w:sz w:val="24"/>
          <w:szCs w:val="24"/>
        </w:rPr>
        <w:t xml:space="preserve"> than the budgeted income from these levies. Income from services rendered was 17.7</w:t>
      </w:r>
      <w:r w:rsidR="002905F8">
        <w:rPr>
          <w:rFonts w:ascii="Times New Roman" w:eastAsia="Calibri" w:hAnsi="Times New Roman" w:cs="Times New Roman"/>
          <w:sz w:val="24"/>
          <w:szCs w:val="24"/>
        </w:rPr>
        <w:t>%</w:t>
      </w:r>
      <w:r w:rsidRPr="00586CCF">
        <w:rPr>
          <w:rFonts w:ascii="Times New Roman" w:eastAsia="Calibri" w:hAnsi="Times New Roman" w:cs="Times New Roman"/>
          <w:sz w:val="24"/>
          <w:szCs w:val="24"/>
        </w:rPr>
        <w:t xml:space="preserve"> l</w:t>
      </w:r>
      <w:r w:rsidR="002905F8">
        <w:rPr>
          <w:rFonts w:ascii="Times New Roman" w:eastAsia="Calibri" w:hAnsi="Times New Roman" w:cs="Times New Roman"/>
          <w:sz w:val="24"/>
          <w:szCs w:val="24"/>
        </w:rPr>
        <w:t>ower</w:t>
      </w:r>
      <w:r w:rsidRPr="00586CCF">
        <w:rPr>
          <w:rFonts w:ascii="Times New Roman" w:eastAsia="Calibri" w:hAnsi="Times New Roman" w:cs="Times New Roman"/>
          <w:sz w:val="24"/>
          <w:szCs w:val="24"/>
        </w:rPr>
        <w:t xml:space="preserve"> than the budgeted amount of R14.5 million. </w:t>
      </w:r>
    </w:p>
    <w:p w14:paraId="0AA1A26A" w14:textId="77777777" w:rsidR="007D2DB6" w:rsidRPr="00586CCF" w:rsidRDefault="007D2DB6" w:rsidP="00586CCF">
      <w:pPr>
        <w:spacing w:line="360" w:lineRule="auto"/>
        <w:rPr>
          <w:rFonts w:ascii="Times New Roman" w:eastAsia="Calibri" w:hAnsi="Times New Roman" w:cs="Times New Roman"/>
          <w:sz w:val="24"/>
          <w:szCs w:val="24"/>
        </w:rPr>
      </w:pPr>
    </w:p>
    <w:p w14:paraId="75E08569" w14:textId="77777777" w:rsidR="007D2DB6" w:rsidRPr="00586CCF" w:rsidRDefault="007D2DB6"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Total expenditure was 30.3</w:t>
      </w:r>
      <w:r w:rsidR="002905F8">
        <w:rPr>
          <w:rFonts w:ascii="Times New Roman" w:hAnsi="Times New Roman" w:cs="Times New Roman"/>
          <w:sz w:val="24"/>
          <w:szCs w:val="24"/>
        </w:rPr>
        <w:t>%</w:t>
      </w:r>
      <w:r w:rsidRPr="00586CCF">
        <w:rPr>
          <w:rFonts w:ascii="Times New Roman" w:hAnsi="Times New Roman" w:cs="Times New Roman"/>
          <w:sz w:val="24"/>
          <w:szCs w:val="24"/>
        </w:rPr>
        <w:t xml:space="preserve"> below budget. The compensation of employees and expenditure accounted for 88</w:t>
      </w:r>
      <w:r w:rsidR="002905F8">
        <w:rPr>
          <w:rFonts w:ascii="Times New Roman" w:hAnsi="Times New Roman" w:cs="Times New Roman"/>
          <w:sz w:val="24"/>
          <w:szCs w:val="24"/>
        </w:rPr>
        <w:t>%</w:t>
      </w:r>
      <w:r w:rsidRPr="00586CCF">
        <w:rPr>
          <w:rFonts w:ascii="Times New Roman" w:hAnsi="Times New Roman" w:cs="Times New Roman"/>
          <w:sz w:val="24"/>
          <w:szCs w:val="24"/>
        </w:rPr>
        <w:t xml:space="preserve"> of total expenditure. Expenditure on goods and services was 64.6</w:t>
      </w:r>
      <w:r w:rsidR="002905F8">
        <w:rPr>
          <w:rFonts w:ascii="Times New Roman" w:hAnsi="Times New Roman" w:cs="Times New Roman"/>
          <w:sz w:val="24"/>
          <w:szCs w:val="24"/>
        </w:rPr>
        <w:t>%</w:t>
      </w:r>
      <w:r w:rsidRPr="00586CCF">
        <w:rPr>
          <w:rFonts w:ascii="Times New Roman" w:hAnsi="Times New Roman" w:cs="Times New Roman"/>
          <w:sz w:val="24"/>
          <w:szCs w:val="24"/>
        </w:rPr>
        <w:t xml:space="preserve"> below the budgeted amounts.  </w:t>
      </w:r>
    </w:p>
    <w:p w14:paraId="416B033B" w14:textId="77777777" w:rsidR="00DE270D" w:rsidRPr="00E44ACB" w:rsidRDefault="00DE270D" w:rsidP="00586CCF">
      <w:pPr>
        <w:spacing w:line="360" w:lineRule="auto"/>
        <w:rPr>
          <w:rFonts w:ascii="Times New Roman" w:hAnsi="Times New Roman" w:cs="Times New Roman"/>
          <w:sz w:val="24"/>
          <w:szCs w:val="24"/>
        </w:rPr>
      </w:pPr>
    </w:p>
    <w:p w14:paraId="4167D277" w14:textId="77777777" w:rsidR="0017450A" w:rsidRPr="00586CCF" w:rsidRDefault="0017450A" w:rsidP="00EF0C57">
      <w:pPr>
        <w:pStyle w:val="Heading22"/>
        <w:numPr>
          <w:ilvl w:val="1"/>
          <w:numId w:val="31"/>
        </w:numPr>
      </w:pPr>
      <w:bookmarkStart w:id="14" w:name="_Toc370119597"/>
      <w:r w:rsidRPr="00586CCF">
        <w:t xml:space="preserve">Key issues raised by the </w:t>
      </w:r>
      <w:r w:rsidR="002905F8" w:rsidRPr="00586CCF">
        <w:t>Committee</w:t>
      </w:r>
      <w:bookmarkEnd w:id="14"/>
    </w:p>
    <w:p w14:paraId="4701E583" w14:textId="77777777" w:rsidR="0017450A" w:rsidRPr="00586CCF" w:rsidRDefault="0017450A" w:rsidP="00586CCF">
      <w:pPr>
        <w:spacing w:line="360" w:lineRule="auto"/>
        <w:rPr>
          <w:rFonts w:ascii="Times New Roman" w:hAnsi="Times New Roman" w:cs="Times New Roman"/>
          <w:sz w:val="24"/>
          <w:szCs w:val="24"/>
        </w:rPr>
      </w:pPr>
    </w:p>
    <w:p w14:paraId="2ECEBAF7" w14:textId="77777777" w:rsidR="0021333A" w:rsidRPr="00586CCF" w:rsidRDefault="0021333A" w:rsidP="00586CC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following concerns were raised related to the performance of the </w:t>
      </w:r>
      <w:r w:rsidR="00B7736F" w:rsidRPr="00586CCF">
        <w:rPr>
          <w:rFonts w:ascii="Times New Roman" w:hAnsi="Times New Roman" w:cs="Times New Roman"/>
          <w:sz w:val="24"/>
          <w:szCs w:val="24"/>
        </w:rPr>
        <w:t xml:space="preserve">NRCS </w:t>
      </w:r>
      <w:r w:rsidRPr="00586CCF">
        <w:rPr>
          <w:rFonts w:ascii="Times New Roman" w:hAnsi="Times New Roman" w:cs="Times New Roman"/>
          <w:sz w:val="24"/>
          <w:szCs w:val="24"/>
        </w:rPr>
        <w:t xml:space="preserve">during </w:t>
      </w:r>
      <w:r w:rsidR="0051216C" w:rsidRPr="00586CCF">
        <w:rPr>
          <w:rFonts w:ascii="Times New Roman" w:hAnsi="Times New Roman" w:cs="Times New Roman"/>
          <w:sz w:val="24"/>
          <w:szCs w:val="24"/>
        </w:rPr>
        <w:t xml:space="preserve">the </w:t>
      </w:r>
      <w:r w:rsidR="00235681" w:rsidRPr="00586CCF">
        <w:rPr>
          <w:rFonts w:ascii="Times New Roman" w:hAnsi="Times New Roman" w:cs="Times New Roman"/>
          <w:sz w:val="24"/>
          <w:szCs w:val="24"/>
        </w:rPr>
        <w:t xml:space="preserve">Committee’s </w:t>
      </w:r>
      <w:r w:rsidRPr="00586CCF">
        <w:rPr>
          <w:rFonts w:ascii="Times New Roman" w:hAnsi="Times New Roman" w:cs="Times New Roman"/>
          <w:sz w:val="24"/>
          <w:szCs w:val="24"/>
        </w:rPr>
        <w:t>deliberations:</w:t>
      </w:r>
    </w:p>
    <w:p w14:paraId="4BE7708B" w14:textId="77777777" w:rsidR="00037D0F" w:rsidRPr="00586CCF" w:rsidRDefault="00037D0F" w:rsidP="00586CCF">
      <w:pPr>
        <w:pStyle w:val="ListParagraph"/>
        <w:spacing w:line="360" w:lineRule="auto"/>
        <w:ind w:left="0"/>
        <w:rPr>
          <w:rFonts w:ascii="Times New Roman" w:hAnsi="Times New Roman" w:cs="Times New Roman"/>
          <w:b/>
          <w:i/>
          <w:sz w:val="24"/>
          <w:szCs w:val="24"/>
          <w:highlight w:val="yellow"/>
        </w:rPr>
      </w:pPr>
    </w:p>
    <w:p w14:paraId="08D56409" w14:textId="77777777" w:rsidR="008B1D51" w:rsidRDefault="00037D0F" w:rsidP="008B1D51">
      <w:pPr>
        <w:pStyle w:val="ListParagraph"/>
        <w:numPr>
          <w:ilvl w:val="2"/>
          <w:numId w:val="36"/>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 xml:space="preserve">Assurance and key control measures: </w:t>
      </w:r>
      <w:r w:rsidRPr="008B1D51">
        <w:rPr>
          <w:rFonts w:ascii="Times New Roman" w:eastAsia="Calibri" w:hAnsi="Times New Roman" w:cs="Times New Roman"/>
          <w:sz w:val="24"/>
          <w:szCs w:val="24"/>
          <w:lang w:eastAsia="en-ZA"/>
        </w:rPr>
        <w:t>The Committee noted with concern that t</w:t>
      </w:r>
      <w:r w:rsidRPr="008B1D51">
        <w:rPr>
          <w:rFonts w:ascii="Times New Roman" w:hAnsi="Times New Roman" w:cs="Times New Roman"/>
          <w:sz w:val="24"/>
          <w:szCs w:val="24"/>
        </w:rPr>
        <w:t>he N</w:t>
      </w:r>
      <w:r w:rsidR="004909C3" w:rsidRPr="008B1D51">
        <w:rPr>
          <w:rFonts w:ascii="Times New Roman" w:hAnsi="Times New Roman" w:cs="Times New Roman"/>
          <w:sz w:val="24"/>
          <w:szCs w:val="24"/>
        </w:rPr>
        <w:t>R</w:t>
      </w:r>
      <w:r w:rsidRPr="008B1D51">
        <w:rPr>
          <w:rFonts w:ascii="Times New Roman" w:hAnsi="Times New Roman" w:cs="Times New Roman"/>
          <w:sz w:val="24"/>
          <w:szCs w:val="24"/>
        </w:rPr>
        <w:t xml:space="preserve">CS </w:t>
      </w:r>
      <w:r w:rsidR="00B97677" w:rsidRPr="008B1D51">
        <w:rPr>
          <w:rFonts w:ascii="Times New Roman" w:hAnsi="Times New Roman" w:cs="Times New Roman"/>
          <w:sz w:val="24"/>
          <w:szCs w:val="24"/>
        </w:rPr>
        <w:t xml:space="preserve">had </w:t>
      </w:r>
      <w:r w:rsidRPr="008B1D51">
        <w:rPr>
          <w:rFonts w:ascii="Times New Roman" w:hAnsi="Times New Roman" w:cs="Times New Roman"/>
          <w:sz w:val="24"/>
          <w:szCs w:val="24"/>
        </w:rPr>
        <w:t xml:space="preserve">received a qualified </w:t>
      </w:r>
      <w:r w:rsidR="001416E1" w:rsidRPr="008B1D51">
        <w:rPr>
          <w:rFonts w:ascii="Times New Roman" w:hAnsi="Times New Roman" w:cs="Times New Roman"/>
          <w:sz w:val="24"/>
          <w:szCs w:val="24"/>
        </w:rPr>
        <w:t xml:space="preserve">audit </w:t>
      </w:r>
      <w:r w:rsidRPr="008B1D51">
        <w:rPr>
          <w:rFonts w:ascii="Times New Roman" w:hAnsi="Times New Roman" w:cs="Times New Roman"/>
          <w:sz w:val="24"/>
          <w:szCs w:val="24"/>
        </w:rPr>
        <w:t>opinion with findings</w:t>
      </w:r>
      <w:r w:rsidR="001416E1" w:rsidRPr="008B1D51">
        <w:rPr>
          <w:rFonts w:ascii="Times New Roman" w:hAnsi="Times New Roman" w:cs="Times New Roman"/>
          <w:sz w:val="24"/>
          <w:szCs w:val="24"/>
        </w:rPr>
        <w:t xml:space="preserve"> relating to its compulsory specification levies, and financial reporting and supply chain management</w:t>
      </w:r>
      <w:r w:rsidRPr="008B1D51">
        <w:rPr>
          <w:rFonts w:ascii="Times New Roman" w:hAnsi="Times New Roman" w:cs="Times New Roman"/>
          <w:sz w:val="24"/>
          <w:szCs w:val="24"/>
        </w:rPr>
        <w:t>. The Committee enquire</w:t>
      </w:r>
      <w:r w:rsidR="001416E1" w:rsidRPr="008B1D51">
        <w:rPr>
          <w:rFonts w:ascii="Times New Roman" w:hAnsi="Times New Roman" w:cs="Times New Roman"/>
          <w:sz w:val="24"/>
          <w:szCs w:val="24"/>
        </w:rPr>
        <w:t>d</w:t>
      </w:r>
      <w:r w:rsidRPr="008B1D51">
        <w:rPr>
          <w:rFonts w:ascii="Times New Roman" w:hAnsi="Times New Roman" w:cs="Times New Roman"/>
          <w:sz w:val="24"/>
          <w:szCs w:val="24"/>
        </w:rPr>
        <w:t xml:space="preserve"> whether the NR</w:t>
      </w:r>
      <w:r w:rsidR="001416E1" w:rsidRPr="008B1D51">
        <w:rPr>
          <w:rFonts w:ascii="Times New Roman" w:hAnsi="Times New Roman" w:cs="Times New Roman"/>
          <w:sz w:val="24"/>
          <w:szCs w:val="24"/>
        </w:rPr>
        <w:t>C</w:t>
      </w:r>
      <w:r w:rsidRPr="008B1D51">
        <w:rPr>
          <w:rFonts w:ascii="Times New Roman" w:hAnsi="Times New Roman" w:cs="Times New Roman"/>
          <w:sz w:val="24"/>
          <w:szCs w:val="24"/>
        </w:rPr>
        <w:t xml:space="preserve">S had developed an action plan to address the audit findings. The NRCS informed the Committee that </w:t>
      </w:r>
      <w:r w:rsidR="00B97677" w:rsidRPr="008B1D51">
        <w:rPr>
          <w:rFonts w:ascii="Times New Roman" w:hAnsi="Times New Roman" w:cs="Times New Roman"/>
          <w:sz w:val="24"/>
          <w:szCs w:val="24"/>
        </w:rPr>
        <w:t xml:space="preserve">its </w:t>
      </w:r>
      <w:r w:rsidRPr="008B1D51">
        <w:rPr>
          <w:rFonts w:ascii="Times New Roman" w:hAnsi="Times New Roman" w:cs="Times New Roman"/>
          <w:sz w:val="24"/>
          <w:szCs w:val="24"/>
        </w:rPr>
        <w:t xml:space="preserve">audit plan was being discussed with the Auditor-General and that they have agreed on a target to address all Human Resource policies by end of November 2017. </w:t>
      </w:r>
    </w:p>
    <w:p w14:paraId="7D6B5115" w14:textId="77777777" w:rsidR="008B1D51" w:rsidRDefault="008B1D51" w:rsidP="008B1D51">
      <w:pPr>
        <w:pStyle w:val="ListParagraph"/>
        <w:spacing w:line="360" w:lineRule="auto"/>
        <w:rPr>
          <w:rFonts w:ascii="Times New Roman" w:hAnsi="Times New Roman" w:cs="Times New Roman"/>
          <w:sz w:val="24"/>
          <w:szCs w:val="24"/>
        </w:rPr>
      </w:pPr>
    </w:p>
    <w:p w14:paraId="19128C17" w14:textId="77777777" w:rsidR="00037D0F" w:rsidRPr="008B1D51" w:rsidRDefault="00037D0F" w:rsidP="008B1D51">
      <w:pPr>
        <w:pStyle w:val="ListParagraph"/>
        <w:numPr>
          <w:ilvl w:val="2"/>
          <w:numId w:val="36"/>
        </w:numPr>
        <w:spacing w:line="360" w:lineRule="auto"/>
        <w:rPr>
          <w:rFonts w:ascii="Times New Roman" w:hAnsi="Times New Roman" w:cs="Times New Roman"/>
          <w:sz w:val="24"/>
          <w:szCs w:val="24"/>
        </w:rPr>
      </w:pPr>
      <w:r w:rsidRPr="008B1D51">
        <w:rPr>
          <w:rFonts w:ascii="Times New Roman" w:hAnsi="Times New Roman" w:cs="Times New Roman"/>
          <w:b/>
          <w:i/>
          <w:sz w:val="24"/>
          <w:szCs w:val="24"/>
        </w:rPr>
        <w:t xml:space="preserve">Status of the Ford Kuga Investigation: </w:t>
      </w:r>
      <w:r w:rsidRPr="008B1D51">
        <w:rPr>
          <w:rFonts w:ascii="Times New Roman" w:hAnsi="Times New Roman" w:cs="Times New Roman"/>
          <w:sz w:val="24"/>
          <w:szCs w:val="24"/>
        </w:rPr>
        <w:t>The Committee acknowledge</w:t>
      </w:r>
      <w:r w:rsidR="001416E1" w:rsidRPr="008B1D51">
        <w:rPr>
          <w:rFonts w:ascii="Times New Roman" w:hAnsi="Times New Roman" w:cs="Times New Roman"/>
          <w:sz w:val="24"/>
          <w:szCs w:val="24"/>
        </w:rPr>
        <w:t>d</w:t>
      </w:r>
      <w:r w:rsidRPr="008B1D51">
        <w:rPr>
          <w:rFonts w:ascii="Times New Roman" w:hAnsi="Times New Roman" w:cs="Times New Roman"/>
          <w:sz w:val="24"/>
          <w:szCs w:val="24"/>
        </w:rPr>
        <w:t xml:space="preserve"> the work done by the NRCS to ensure product safety for consumers</w:t>
      </w:r>
      <w:r w:rsidR="00B97677" w:rsidRPr="008B1D51">
        <w:rPr>
          <w:rFonts w:ascii="Times New Roman" w:hAnsi="Times New Roman" w:cs="Times New Roman"/>
          <w:sz w:val="24"/>
          <w:szCs w:val="24"/>
        </w:rPr>
        <w:t xml:space="preserve"> and</w:t>
      </w:r>
      <w:r w:rsidRPr="008B1D51">
        <w:rPr>
          <w:rFonts w:ascii="Times New Roman" w:hAnsi="Times New Roman" w:cs="Times New Roman"/>
          <w:sz w:val="24"/>
          <w:szCs w:val="24"/>
        </w:rPr>
        <w:t xml:space="preserve"> enquired into the status of the investigation into Ford Kuga. The NRCS informed the Committee that recent media reports ha</w:t>
      </w:r>
      <w:r w:rsidR="00B97677" w:rsidRPr="008B1D51">
        <w:rPr>
          <w:rFonts w:ascii="Times New Roman" w:hAnsi="Times New Roman" w:cs="Times New Roman"/>
          <w:sz w:val="24"/>
          <w:szCs w:val="24"/>
        </w:rPr>
        <w:t>d</w:t>
      </w:r>
      <w:r w:rsidRPr="008B1D51">
        <w:rPr>
          <w:rFonts w:ascii="Times New Roman" w:hAnsi="Times New Roman" w:cs="Times New Roman"/>
          <w:sz w:val="24"/>
          <w:szCs w:val="24"/>
        </w:rPr>
        <w:t xml:space="preserve"> highlighted that despite the efforts by Ford Motor Company of </w:t>
      </w:r>
      <w:r w:rsidRPr="008F0038">
        <w:rPr>
          <w:rFonts w:ascii="Times New Roman" w:hAnsi="Times New Roman" w:cs="Times New Roman"/>
          <w:sz w:val="24"/>
          <w:szCs w:val="24"/>
        </w:rPr>
        <w:t xml:space="preserve">Southern </w:t>
      </w:r>
      <w:r w:rsidRPr="008B1D51">
        <w:rPr>
          <w:rFonts w:ascii="Times New Roman" w:hAnsi="Times New Roman" w:cs="Times New Roman"/>
          <w:sz w:val="24"/>
          <w:szCs w:val="24"/>
        </w:rPr>
        <w:t>Africa (FMCSA) to recall and replace the coolant system parts which were identified as the source of the fire problem, cases of fires continue</w:t>
      </w:r>
      <w:r w:rsidR="001416E1" w:rsidRPr="008B1D51">
        <w:rPr>
          <w:rFonts w:ascii="Times New Roman" w:hAnsi="Times New Roman" w:cs="Times New Roman"/>
          <w:sz w:val="24"/>
          <w:szCs w:val="24"/>
        </w:rPr>
        <w:t>d</w:t>
      </w:r>
      <w:r w:rsidRPr="008B1D51">
        <w:rPr>
          <w:rFonts w:ascii="Times New Roman" w:hAnsi="Times New Roman" w:cs="Times New Roman"/>
          <w:sz w:val="24"/>
          <w:szCs w:val="24"/>
        </w:rPr>
        <w:t xml:space="preserve"> to be reported. FMCSA ha</w:t>
      </w:r>
      <w:r w:rsidR="001416E1" w:rsidRPr="008B1D51">
        <w:rPr>
          <w:rFonts w:ascii="Times New Roman" w:hAnsi="Times New Roman" w:cs="Times New Roman"/>
          <w:sz w:val="24"/>
          <w:szCs w:val="24"/>
        </w:rPr>
        <w:t>d</w:t>
      </w:r>
      <w:r w:rsidRPr="008B1D51">
        <w:rPr>
          <w:rFonts w:ascii="Times New Roman" w:hAnsi="Times New Roman" w:cs="Times New Roman"/>
          <w:sz w:val="24"/>
          <w:szCs w:val="24"/>
        </w:rPr>
        <w:t xml:space="preserve"> already implemented a stage 2 recall, where vehicles </w:t>
      </w:r>
      <w:r w:rsidR="001416E1" w:rsidRPr="008B1D51">
        <w:rPr>
          <w:rFonts w:ascii="Times New Roman" w:hAnsi="Times New Roman" w:cs="Times New Roman"/>
          <w:sz w:val="24"/>
          <w:szCs w:val="24"/>
        </w:rPr>
        <w:t>we</w:t>
      </w:r>
      <w:r w:rsidRPr="008B1D51">
        <w:rPr>
          <w:rFonts w:ascii="Times New Roman" w:hAnsi="Times New Roman" w:cs="Times New Roman"/>
          <w:sz w:val="24"/>
          <w:szCs w:val="24"/>
        </w:rPr>
        <w:t>re to be upgraded so that any detection of high temperature</w:t>
      </w:r>
      <w:r w:rsidR="00B97677" w:rsidRPr="008B1D51">
        <w:rPr>
          <w:rFonts w:ascii="Times New Roman" w:hAnsi="Times New Roman" w:cs="Times New Roman"/>
          <w:sz w:val="24"/>
          <w:szCs w:val="24"/>
        </w:rPr>
        <w:t>s</w:t>
      </w:r>
      <w:r w:rsidRPr="008B1D51">
        <w:rPr>
          <w:rFonts w:ascii="Times New Roman" w:hAnsi="Times New Roman" w:cs="Times New Roman"/>
          <w:sz w:val="24"/>
          <w:szCs w:val="24"/>
        </w:rPr>
        <w:t xml:space="preserve"> on the engine compartment would be reported on the dashboard in order to alert the driver. It has now been alleged that the fires on the Ford Kuga could also be attributed to the vehicle electronics system as opposed to the findings of the investigation by FMCSA where it was concluded that the fires were caused by a failed engine cooling system. Upon media alerts on the burning of Ford Kuga vehicles, the NRCS joined forces with the NCC in various platforms where the matter was discussed. The NRCS provided expertise on the regulatory requirements so that if there were any violation</w:t>
      </w:r>
      <w:r w:rsidR="001416E1" w:rsidRPr="008B1D51">
        <w:rPr>
          <w:rFonts w:ascii="Times New Roman" w:hAnsi="Times New Roman" w:cs="Times New Roman"/>
          <w:sz w:val="24"/>
          <w:szCs w:val="24"/>
        </w:rPr>
        <w:t>s</w:t>
      </w:r>
      <w:r w:rsidRPr="008B1D51">
        <w:rPr>
          <w:rFonts w:ascii="Times New Roman" w:hAnsi="Times New Roman" w:cs="Times New Roman"/>
          <w:sz w:val="24"/>
          <w:szCs w:val="24"/>
        </w:rPr>
        <w:t xml:space="preserve"> of the requirements of the compulsory specification</w:t>
      </w:r>
      <w:r w:rsidR="001416E1" w:rsidRPr="008B1D51">
        <w:rPr>
          <w:rFonts w:ascii="Times New Roman" w:hAnsi="Times New Roman" w:cs="Times New Roman"/>
          <w:sz w:val="24"/>
          <w:szCs w:val="24"/>
        </w:rPr>
        <w:t>,</w:t>
      </w:r>
      <w:r w:rsidRPr="008B1D51">
        <w:rPr>
          <w:rFonts w:ascii="Times New Roman" w:hAnsi="Times New Roman" w:cs="Times New Roman"/>
          <w:sz w:val="24"/>
          <w:szCs w:val="24"/>
        </w:rPr>
        <w:t xml:space="preserve"> sanctions could be implemented. Through these engagements, the NRCS understood that:</w:t>
      </w:r>
    </w:p>
    <w:p w14:paraId="779512C3" w14:textId="77777777" w:rsidR="004909C3" w:rsidRPr="000C1D84" w:rsidRDefault="004909C3" w:rsidP="000C1D84">
      <w:pPr>
        <w:pStyle w:val="ListParagraph"/>
        <w:spacing w:line="360" w:lineRule="auto"/>
        <w:rPr>
          <w:rFonts w:ascii="Times New Roman" w:hAnsi="Times New Roman" w:cs="Times New Roman"/>
          <w:sz w:val="24"/>
          <w:szCs w:val="24"/>
          <w:highlight w:val="yellow"/>
        </w:rPr>
      </w:pPr>
    </w:p>
    <w:p w14:paraId="2CFDBCD3" w14:textId="77777777" w:rsidR="00037D0F" w:rsidRPr="000C1D84" w:rsidRDefault="00037D0F" w:rsidP="009D5D24">
      <w:pPr>
        <w:numPr>
          <w:ilvl w:val="1"/>
          <w:numId w:val="30"/>
        </w:numPr>
        <w:spacing w:line="360" w:lineRule="auto"/>
        <w:ind w:left="1134" w:hanging="425"/>
        <w:rPr>
          <w:rFonts w:ascii="Times New Roman" w:eastAsia="Cambria" w:hAnsi="Times New Roman" w:cs="Times New Roman"/>
          <w:sz w:val="24"/>
          <w:szCs w:val="24"/>
        </w:rPr>
      </w:pPr>
      <w:r w:rsidRPr="000C1D84">
        <w:rPr>
          <w:rFonts w:ascii="Times New Roman" w:eastAsia="Cambria" w:hAnsi="Times New Roman" w:cs="Times New Roman"/>
          <w:sz w:val="24"/>
          <w:szCs w:val="24"/>
        </w:rPr>
        <w:t xml:space="preserve">The vehicle models in question </w:t>
      </w:r>
      <w:r w:rsidR="00B97677" w:rsidRPr="000C1D84">
        <w:rPr>
          <w:rFonts w:ascii="Times New Roman" w:eastAsia="Cambria" w:hAnsi="Times New Roman" w:cs="Times New Roman"/>
          <w:sz w:val="24"/>
          <w:szCs w:val="24"/>
        </w:rPr>
        <w:t xml:space="preserve">had been </w:t>
      </w:r>
      <w:r w:rsidRPr="000C1D84">
        <w:rPr>
          <w:rFonts w:ascii="Times New Roman" w:eastAsia="Cambria" w:hAnsi="Times New Roman" w:cs="Times New Roman"/>
          <w:sz w:val="24"/>
          <w:szCs w:val="24"/>
        </w:rPr>
        <w:t>approved by the NRCS in March 2013, and a total of 4</w:t>
      </w:r>
      <w:r w:rsidR="00354F8E" w:rsidRPr="000C1D84">
        <w:rPr>
          <w:rFonts w:ascii="Times New Roman" w:eastAsia="Cambria" w:hAnsi="Times New Roman" w:cs="Times New Roman"/>
          <w:sz w:val="24"/>
          <w:szCs w:val="24"/>
        </w:rPr>
        <w:t> </w:t>
      </w:r>
      <w:r w:rsidRPr="000C1D84">
        <w:rPr>
          <w:rFonts w:ascii="Times New Roman" w:eastAsia="Cambria" w:hAnsi="Times New Roman" w:cs="Times New Roman"/>
          <w:sz w:val="24"/>
          <w:szCs w:val="24"/>
        </w:rPr>
        <w:t xml:space="preserve">556 motor vehicles were imported and offered for sale </w:t>
      </w:r>
      <w:r w:rsidR="00385FDC" w:rsidRPr="000C1D84">
        <w:rPr>
          <w:rFonts w:ascii="Times New Roman" w:eastAsia="Cambria" w:hAnsi="Times New Roman" w:cs="Times New Roman"/>
          <w:sz w:val="24"/>
          <w:szCs w:val="24"/>
        </w:rPr>
        <w:t>in South Africa.</w:t>
      </w:r>
    </w:p>
    <w:p w14:paraId="1D41B968" w14:textId="77777777" w:rsidR="00037D0F" w:rsidRPr="000C1D84" w:rsidRDefault="00037D0F" w:rsidP="009D5D24">
      <w:pPr>
        <w:numPr>
          <w:ilvl w:val="1"/>
          <w:numId w:val="30"/>
        </w:numPr>
        <w:spacing w:line="360" w:lineRule="auto"/>
        <w:ind w:left="1134" w:hanging="425"/>
        <w:rPr>
          <w:rFonts w:ascii="Times New Roman" w:eastAsia="Cambria" w:hAnsi="Times New Roman" w:cs="Times New Roman"/>
          <w:sz w:val="24"/>
          <w:szCs w:val="24"/>
        </w:rPr>
      </w:pPr>
      <w:r w:rsidRPr="000C1D84">
        <w:rPr>
          <w:rFonts w:ascii="Times New Roman" w:eastAsia="Cambria" w:hAnsi="Times New Roman" w:cs="Times New Roman"/>
          <w:sz w:val="24"/>
          <w:szCs w:val="24"/>
        </w:rPr>
        <w:t xml:space="preserve">In 2014, an approval was issued for the 1.5l </w:t>
      </w:r>
      <w:r w:rsidR="00354F8E" w:rsidRPr="000C1D84">
        <w:rPr>
          <w:rFonts w:ascii="Times New Roman" w:eastAsia="Cambria" w:hAnsi="Times New Roman" w:cs="Times New Roman"/>
          <w:sz w:val="24"/>
          <w:szCs w:val="24"/>
        </w:rPr>
        <w:t xml:space="preserve">Ford </w:t>
      </w:r>
      <w:r w:rsidRPr="000C1D84">
        <w:rPr>
          <w:rFonts w:ascii="Times New Roman" w:eastAsia="Cambria" w:hAnsi="Times New Roman" w:cs="Times New Roman"/>
          <w:sz w:val="24"/>
          <w:szCs w:val="24"/>
        </w:rPr>
        <w:t xml:space="preserve">Kuga model and subsequently, the 1.6l Eco boost model was no longer available </w:t>
      </w:r>
      <w:r w:rsidR="00354F8E" w:rsidRPr="000C1D84">
        <w:rPr>
          <w:rFonts w:ascii="Times New Roman" w:eastAsia="Cambria" w:hAnsi="Times New Roman" w:cs="Times New Roman"/>
          <w:sz w:val="24"/>
          <w:szCs w:val="24"/>
        </w:rPr>
        <w:t xml:space="preserve">in the </w:t>
      </w:r>
      <w:r w:rsidRPr="000C1D84">
        <w:rPr>
          <w:rFonts w:ascii="Times New Roman" w:eastAsia="Cambria" w:hAnsi="Times New Roman" w:cs="Times New Roman"/>
          <w:sz w:val="24"/>
          <w:szCs w:val="24"/>
        </w:rPr>
        <w:t>South African market</w:t>
      </w:r>
      <w:r w:rsidR="00B97677" w:rsidRPr="000C1D84">
        <w:rPr>
          <w:rFonts w:ascii="Times New Roman" w:eastAsia="Cambria" w:hAnsi="Times New Roman" w:cs="Times New Roman"/>
          <w:sz w:val="24"/>
          <w:szCs w:val="24"/>
        </w:rPr>
        <w:t>.</w:t>
      </w:r>
    </w:p>
    <w:p w14:paraId="7D727A95" w14:textId="77777777" w:rsidR="00037D0F" w:rsidRPr="000C1D84" w:rsidRDefault="00354F8E" w:rsidP="009D5D24">
      <w:pPr>
        <w:numPr>
          <w:ilvl w:val="1"/>
          <w:numId w:val="30"/>
        </w:numPr>
        <w:spacing w:line="360" w:lineRule="auto"/>
        <w:ind w:left="1134" w:hanging="425"/>
        <w:rPr>
          <w:rFonts w:ascii="Times New Roman" w:eastAsia="Cambria" w:hAnsi="Times New Roman" w:cs="Times New Roman"/>
          <w:sz w:val="24"/>
          <w:szCs w:val="24"/>
        </w:rPr>
      </w:pPr>
      <w:r w:rsidRPr="000C1D84">
        <w:rPr>
          <w:rFonts w:ascii="Times New Roman" w:eastAsia="Cambria" w:hAnsi="Times New Roman" w:cs="Times New Roman"/>
          <w:sz w:val="24"/>
          <w:szCs w:val="24"/>
        </w:rPr>
        <w:t xml:space="preserve">The </w:t>
      </w:r>
      <w:r w:rsidR="00037D0F" w:rsidRPr="000C1D84">
        <w:rPr>
          <w:rFonts w:ascii="Times New Roman" w:eastAsia="Cambria" w:hAnsi="Times New Roman" w:cs="Times New Roman"/>
          <w:sz w:val="24"/>
          <w:szCs w:val="24"/>
        </w:rPr>
        <w:t xml:space="preserve">FMCSA investigation revealed that all vehicles examined after the engine fires were found to have cracked engine cylinder heads and </w:t>
      </w:r>
      <w:r w:rsidR="00B97677" w:rsidRPr="000C1D84">
        <w:rPr>
          <w:rFonts w:ascii="Times New Roman" w:eastAsia="Cambria" w:hAnsi="Times New Roman" w:cs="Times New Roman"/>
          <w:sz w:val="24"/>
          <w:szCs w:val="24"/>
        </w:rPr>
        <w:t>the FMCSA was of the view</w:t>
      </w:r>
      <w:r w:rsidR="00037D0F" w:rsidRPr="000C1D84">
        <w:rPr>
          <w:rFonts w:ascii="Times New Roman" w:eastAsia="Cambria" w:hAnsi="Times New Roman" w:cs="Times New Roman"/>
          <w:sz w:val="24"/>
          <w:szCs w:val="24"/>
        </w:rPr>
        <w:t xml:space="preserve"> that the oil could have escaped through the cracks and f</w:t>
      </w:r>
      <w:r w:rsidRPr="000C1D84">
        <w:rPr>
          <w:rFonts w:ascii="Times New Roman" w:eastAsia="Cambria" w:hAnsi="Times New Roman" w:cs="Times New Roman"/>
          <w:sz w:val="24"/>
          <w:szCs w:val="24"/>
        </w:rPr>
        <w:t>allen</w:t>
      </w:r>
      <w:r w:rsidR="00037D0F" w:rsidRPr="000C1D84">
        <w:rPr>
          <w:rFonts w:ascii="Times New Roman" w:eastAsia="Cambria" w:hAnsi="Times New Roman" w:cs="Times New Roman"/>
          <w:sz w:val="24"/>
          <w:szCs w:val="24"/>
        </w:rPr>
        <w:t xml:space="preserve"> onto the engine exhaust system where the vehicle would catch alight. The coolant reservoir and carrier pipes were found to be unable to resist high temperature</w:t>
      </w:r>
      <w:r w:rsidRPr="000C1D84">
        <w:rPr>
          <w:rFonts w:ascii="Times New Roman" w:eastAsia="Cambria" w:hAnsi="Times New Roman" w:cs="Times New Roman"/>
          <w:sz w:val="24"/>
          <w:szCs w:val="24"/>
        </w:rPr>
        <w:t>s</w:t>
      </w:r>
      <w:r w:rsidR="00037D0F" w:rsidRPr="000C1D84">
        <w:rPr>
          <w:rFonts w:ascii="Times New Roman" w:eastAsia="Cambria" w:hAnsi="Times New Roman" w:cs="Times New Roman"/>
          <w:sz w:val="24"/>
          <w:szCs w:val="24"/>
        </w:rPr>
        <w:t xml:space="preserve"> causing cracks after being in use for some time. Such cracked pipes and coolant reservoirs resulted in the leaking of coolant from the system and therefore not providing sufficient coolant to the engine. </w:t>
      </w:r>
    </w:p>
    <w:p w14:paraId="2BD5A1FD" w14:textId="77777777" w:rsidR="00037D0F" w:rsidRPr="000C1D84" w:rsidRDefault="00037D0F" w:rsidP="009D5D24">
      <w:pPr>
        <w:numPr>
          <w:ilvl w:val="1"/>
          <w:numId w:val="30"/>
        </w:numPr>
        <w:spacing w:line="360" w:lineRule="auto"/>
        <w:ind w:left="1134" w:hanging="425"/>
        <w:rPr>
          <w:rFonts w:ascii="Times New Roman" w:eastAsia="Cambria" w:hAnsi="Times New Roman" w:cs="Times New Roman"/>
          <w:sz w:val="24"/>
          <w:szCs w:val="24"/>
        </w:rPr>
      </w:pPr>
      <w:r w:rsidRPr="000C1D84">
        <w:rPr>
          <w:rFonts w:ascii="Times New Roman" w:eastAsia="Cambria" w:hAnsi="Times New Roman" w:cs="Times New Roman"/>
          <w:sz w:val="24"/>
          <w:szCs w:val="24"/>
        </w:rPr>
        <w:t>FMCSA was to recall affected vehicles for the following procedures:</w:t>
      </w:r>
      <w:r w:rsidR="00354F8E" w:rsidRPr="000C1D84">
        <w:rPr>
          <w:rFonts w:ascii="Times New Roman" w:eastAsia="Cambria" w:hAnsi="Times New Roman" w:cs="Times New Roman"/>
          <w:sz w:val="24"/>
          <w:szCs w:val="24"/>
        </w:rPr>
        <w:t xml:space="preserve"> (i) c</w:t>
      </w:r>
      <w:r w:rsidRPr="000C1D84">
        <w:rPr>
          <w:rFonts w:ascii="Times New Roman" w:eastAsia="Cambria" w:hAnsi="Times New Roman" w:cs="Times New Roman"/>
          <w:sz w:val="24"/>
          <w:szCs w:val="24"/>
        </w:rPr>
        <w:t>hecking the concentration of coolant,</w:t>
      </w:r>
      <w:r w:rsidR="00354F8E" w:rsidRPr="000C1D84">
        <w:rPr>
          <w:rFonts w:ascii="Times New Roman" w:eastAsia="Cambria" w:hAnsi="Times New Roman" w:cs="Times New Roman"/>
          <w:sz w:val="24"/>
          <w:szCs w:val="24"/>
        </w:rPr>
        <w:t xml:space="preserve"> (ii) c</w:t>
      </w:r>
      <w:r w:rsidRPr="000C1D84">
        <w:rPr>
          <w:rFonts w:ascii="Times New Roman" w:eastAsia="Cambria" w:hAnsi="Times New Roman" w:cs="Times New Roman"/>
          <w:sz w:val="24"/>
          <w:szCs w:val="24"/>
        </w:rPr>
        <w:t>hecking cooling system for leaks and damage,</w:t>
      </w:r>
      <w:r w:rsidR="00354F8E" w:rsidRPr="000C1D84">
        <w:rPr>
          <w:rFonts w:ascii="Times New Roman" w:eastAsia="Cambria" w:hAnsi="Times New Roman" w:cs="Times New Roman"/>
          <w:sz w:val="24"/>
          <w:szCs w:val="24"/>
        </w:rPr>
        <w:t xml:space="preserve"> (iii) c</w:t>
      </w:r>
      <w:r w:rsidRPr="000C1D84">
        <w:rPr>
          <w:rFonts w:ascii="Times New Roman" w:eastAsia="Cambria" w:hAnsi="Times New Roman" w:cs="Times New Roman"/>
          <w:sz w:val="24"/>
          <w:szCs w:val="24"/>
        </w:rPr>
        <w:t>onduct</w:t>
      </w:r>
      <w:r w:rsidR="00354F8E" w:rsidRPr="000C1D84">
        <w:rPr>
          <w:rFonts w:ascii="Times New Roman" w:eastAsia="Cambria" w:hAnsi="Times New Roman" w:cs="Times New Roman"/>
          <w:sz w:val="24"/>
          <w:szCs w:val="24"/>
        </w:rPr>
        <w:t>ing</w:t>
      </w:r>
      <w:r w:rsidRPr="000C1D84">
        <w:rPr>
          <w:rFonts w:ascii="Times New Roman" w:eastAsia="Cambria" w:hAnsi="Times New Roman" w:cs="Times New Roman"/>
          <w:sz w:val="24"/>
          <w:szCs w:val="24"/>
        </w:rPr>
        <w:t xml:space="preserve"> static and dynamic cooling system pressure test,</w:t>
      </w:r>
      <w:r w:rsidR="00354F8E" w:rsidRPr="000C1D84">
        <w:rPr>
          <w:rFonts w:ascii="Times New Roman" w:eastAsia="Cambria" w:hAnsi="Times New Roman" w:cs="Times New Roman"/>
          <w:sz w:val="24"/>
          <w:szCs w:val="24"/>
        </w:rPr>
        <w:t xml:space="preserve"> (iv) c</w:t>
      </w:r>
      <w:r w:rsidRPr="000C1D84">
        <w:rPr>
          <w:rFonts w:ascii="Times New Roman" w:eastAsia="Cambria" w:hAnsi="Times New Roman" w:cs="Times New Roman"/>
          <w:sz w:val="24"/>
          <w:szCs w:val="24"/>
        </w:rPr>
        <w:t>hanging the coolant carrier pipes and re-routing the returning pipe from the turbo charger and connect</w:t>
      </w:r>
      <w:r w:rsidR="00354F8E" w:rsidRPr="000C1D84">
        <w:rPr>
          <w:rFonts w:ascii="Times New Roman" w:eastAsia="Cambria" w:hAnsi="Times New Roman" w:cs="Times New Roman"/>
          <w:sz w:val="24"/>
          <w:szCs w:val="24"/>
        </w:rPr>
        <w:t>ing</w:t>
      </w:r>
      <w:r w:rsidRPr="000C1D84">
        <w:rPr>
          <w:rFonts w:ascii="Times New Roman" w:eastAsia="Cambria" w:hAnsi="Times New Roman" w:cs="Times New Roman"/>
          <w:sz w:val="24"/>
          <w:szCs w:val="24"/>
        </w:rPr>
        <w:t xml:space="preserve"> it to the outlet pipe from the reservoir leading to the radiator, and</w:t>
      </w:r>
      <w:r w:rsidR="00354F8E" w:rsidRPr="000C1D84">
        <w:rPr>
          <w:rFonts w:ascii="Times New Roman" w:eastAsia="Cambria" w:hAnsi="Times New Roman" w:cs="Times New Roman"/>
          <w:sz w:val="24"/>
          <w:szCs w:val="24"/>
        </w:rPr>
        <w:t xml:space="preserve"> (v) implementing a </w:t>
      </w:r>
      <w:r w:rsidRPr="000C1D84">
        <w:rPr>
          <w:rFonts w:ascii="Times New Roman" w:eastAsia="Cambria" w:hAnsi="Times New Roman" w:cs="Times New Roman"/>
          <w:sz w:val="24"/>
          <w:szCs w:val="24"/>
        </w:rPr>
        <w:t>stage 2 recall as a means of ensuring that there are no further failures of the system and improvement of the cooling system.</w:t>
      </w:r>
    </w:p>
    <w:p w14:paraId="3DB42421" w14:textId="77777777" w:rsidR="004909C3" w:rsidRPr="000C1D84" w:rsidRDefault="004909C3" w:rsidP="00354F8E">
      <w:pPr>
        <w:pStyle w:val="ListParagraph"/>
        <w:spacing w:line="360" w:lineRule="auto"/>
        <w:ind w:left="360"/>
        <w:rPr>
          <w:rFonts w:ascii="Times New Roman" w:eastAsia="Cambria" w:hAnsi="Times New Roman" w:cs="Times New Roman"/>
          <w:sz w:val="24"/>
          <w:szCs w:val="24"/>
        </w:rPr>
      </w:pPr>
    </w:p>
    <w:p w14:paraId="42DAC8D3" w14:textId="77777777" w:rsidR="00037D0F" w:rsidRPr="000C1D84" w:rsidRDefault="00037D0F" w:rsidP="000C1D84">
      <w:pPr>
        <w:pStyle w:val="ListParagraph"/>
        <w:spacing w:line="360" w:lineRule="auto"/>
        <w:ind w:left="709"/>
        <w:rPr>
          <w:rFonts w:ascii="Times New Roman" w:eastAsia="Cambria" w:hAnsi="Times New Roman" w:cs="Times New Roman"/>
          <w:sz w:val="24"/>
          <w:szCs w:val="24"/>
        </w:rPr>
      </w:pPr>
      <w:r w:rsidRPr="000C1D84">
        <w:rPr>
          <w:rFonts w:ascii="Times New Roman" w:eastAsia="Cambria" w:hAnsi="Times New Roman" w:cs="Times New Roman"/>
          <w:sz w:val="24"/>
          <w:szCs w:val="24"/>
        </w:rPr>
        <w:t>The NRCS, based on the above rational</w:t>
      </w:r>
      <w:r w:rsidR="00354F8E" w:rsidRPr="000C1D84">
        <w:rPr>
          <w:rFonts w:ascii="Times New Roman" w:eastAsia="Cambria" w:hAnsi="Times New Roman" w:cs="Times New Roman"/>
          <w:sz w:val="24"/>
          <w:szCs w:val="24"/>
        </w:rPr>
        <w:t>e</w:t>
      </w:r>
      <w:r w:rsidRPr="000C1D84">
        <w:rPr>
          <w:rFonts w:ascii="Times New Roman" w:eastAsia="Cambria" w:hAnsi="Times New Roman" w:cs="Times New Roman"/>
          <w:sz w:val="24"/>
          <w:szCs w:val="24"/>
        </w:rPr>
        <w:t xml:space="preserve">, concluded that the relevant compulsory specification does not specify requirements which relate to the cause of the fires. It </w:t>
      </w:r>
      <w:r w:rsidR="00354F8E" w:rsidRPr="000C1D84">
        <w:rPr>
          <w:rFonts w:ascii="Times New Roman" w:eastAsia="Cambria" w:hAnsi="Times New Roman" w:cs="Times New Roman"/>
          <w:sz w:val="24"/>
          <w:szCs w:val="24"/>
        </w:rPr>
        <w:t>h</w:t>
      </w:r>
      <w:r w:rsidRPr="000C1D84">
        <w:rPr>
          <w:rFonts w:ascii="Times New Roman" w:eastAsia="Cambria" w:hAnsi="Times New Roman" w:cs="Times New Roman"/>
          <w:sz w:val="24"/>
          <w:szCs w:val="24"/>
        </w:rPr>
        <w:t xml:space="preserve">as however requested that </w:t>
      </w:r>
      <w:r w:rsidR="00B97677" w:rsidRPr="000C1D84">
        <w:rPr>
          <w:rFonts w:ascii="Times New Roman" w:eastAsia="Cambria" w:hAnsi="Times New Roman" w:cs="Times New Roman"/>
          <w:sz w:val="24"/>
          <w:szCs w:val="24"/>
        </w:rPr>
        <w:t xml:space="preserve">the </w:t>
      </w:r>
      <w:r w:rsidRPr="000C1D84">
        <w:rPr>
          <w:rFonts w:ascii="Times New Roman" w:eastAsia="Cambria" w:hAnsi="Times New Roman" w:cs="Times New Roman"/>
          <w:sz w:val="24"/>
          <w:szCs w:val="24"/>
        </w:rPr>
        <w:t xml:space="preserve">FMCSA should keep </w:t>
      </w:r>
      <w:r w:rsidR="00354F8E" w:rsidRPr="000C1D84">
        <w:rPr>
          <w:rFonts w:ascii="Times New Roman" w:eastAsia="Cambria" w:hAnsi="Times New Roman" w:cs="Times New Roman"/>
          <w:sz w:val="24"/>
          <w:szCs w:val="24"/>
        </w:rPr>
        <w:t xml:space="preserve">it </w:t>
      </w:r>
      <w:r w:rsidRPr="000C1D84">
        <w:rPr>
          <w:rFonts w:ascii="Times New Roman" w:eastAsia="Cambria" w:hAnsi="Times New Roman" w:cs="Times New Roman"/>
          <w:sz w:val="24"/>
          <w:szCs w:val="24"/>
        </w:rPr>
        <w:t xml:space="preserve">updated </w:t>
      </w:r>
      <w:r w:rsidR="00354F8E" w:rsidRPr="000C1D84">
        <w:rPr>
          <w:rFonts w:ascii="Times New Roman" w:eastAsia="Cambria" w:hAnsi="Times New Roman" w:cs="Times New Roman"/>
          <w:sz w:val="24"/>
          <w:szCs w:val="24"/>
        </w:rPr>
        <w:t xml:space="preserve">on </w:t>
      </w:r>
      <w:r w:rsidRPr="000C1D84">
        <w:rPr>
          <w:rFonts w:ascii="Times New Roman" w:eastAsia="Cambria" w:hAnsi="Times New Roman" w:cs="Times New Roman"/>
          <w:sz w:val="24"/>
          <w:szCs w:val="24"/>
        </w:rPr>
        <w:t>any development</w:t>
      </w:r>
      <w:r w:rsidR="00354F8E" w:rsidRPr="000C1D84">
        <w:rPr>
          <w:rFonts w:ascii="Times New Roman" w:eastAsia="Cambria" w:hAnsi="Times New Roman" w:cs="Times New Roman"/>
          <w:sz w:val="24"/>
          <w:szCs w:val="24"/>
        </w:rPr>
        <w:t>s</w:t>
      </w:r>
      <w:r w:rsidRPr="000C1D84">
        <w:rPr>
          <w:rFonts w:ascii="Times New Roman" w:eastAsia="Cambria" w:hAnsi="Times New Roman" w:cs="Times New Roman"/>
          <w:sz w:val="24"/>
          <w:szCs w:val="24"/>
        </w:rPr>
        <w:t xml:space="preserve"> on the matter. After implementation of the recall, only one case </w:t>
      </w:r>
      <w:r w:rsidR="00B97677" w:rsidRPr="000C1D84">
        <w:rPr>
          <w:rFonts w:ascii="Times New Roman" w:eastAsia="Cambria" w:hAnsi="Times New Roman" w:cs="Times New Roman"/>
          <w:sz w:val="24"/>
          <w:szCs w:val="24"/>
        </w:rPr>
        <w:t xml:space="preserve">had been </w:t>
      </w:r>
      <w:r w:rsidRPr="000C1D84">
        <w:rPr>
          <w:rFonts w:ascii="Times New Roman" w:eastAsia="Cambria" w:hAnsi="Times New Roman" w:cs="Times New Roman"/>
          <w:sz w:val="24"/>
          <w:szCs w:val="24"/>
        </w:rPr>
        <w:t xml:space="preserve">reported in August 2017. </w:t>
      </w:r>
      <w:r w:rsidR="00354F8E" w:rsidRPr="000C1D84">
        <w:rPr>
          <w:rFonts w:ascii="Times New Roman" w:eastAsia="Cambria" w:hAnsi="Times New Roman" w:cs="Times New Roman"/>
          <w:sz w:val="24"/>
          <w:szCs w:val="24"/>
        </w:rPr>
        <w:t xml:space="preserve">During the arranged meeting between the NRCS and FMCSA on 28 September 2017, it </w:t>
      </w:r>
      <w:r w:rsidR="00B97677" w:rsidRPr="000C1D84">
        <w:rPr>
          <w:rFonts w:ascii="Times New Roman" w:eastAsia="Cambria" w:hAnsi="Times New Roman" w:cs="Times New Roman"/>
          <w:sz w:val="24"/>
          <w:szCs w:val="24"/>
        </w:rPr>
        <w:t>was reported that</w:t>
      </w:r>
      <w:r w:rsidR="00354F8E" w:rsidRPr="000C1D84">
        <w:rPr>
          <w:rFonts w:ascii="Times New Roman" w:eastAsia="Cambria" w:hAnsi="Times New Roman" w:cs="Times New Roman"/>
          <w:sz w:val="24"/>
          <w:szCs w:val="24"/>
        </w:rPr>
        <w:t xml:space="preserve"> </w:t>
      </w:r>
      <w:r w:rsidR="00B97677" w:rsidRPr="000C1D84">
        <w:rPr>
          <w:rFonts w:ascii="Times New Roman" w:eastAsia="Cambria" w:hAnsi="Times New Roman" w:cs="Times New Roman"/>
          <w:sz w:val="24"/>
          <w:szCs w:val="24"/>
        </w:rPr>
        <w:t xml:space="preserve">the </w:t>
      </w:r>
      <w:r w:rsidR="00354F8E" w:rsidRPr="000C1D84">
        <w:rPr>
          <w:rFonts w:ascii="Times New Roman" w:eastAsia="Cambria" w:hAnsi="Times New Roman" w:cs="Times New Roman"/>
          <w:sz w:val="24"/>
          <w:szCs w:val="24"/>
        </w:rPr>
        <w:t xml:space="preserve">stage 1 recall was at 94% completion whilst stage 2 was at 67% completion. </w:t>
      </w:r>
      <w:r w:rsidR="00B97677" w:rsidRPr="000C1D84">
        <w:rPr>
          <w:rFonts w:ascii="Times New Roman" w:eastAsia="Cambria" w:hAnsi="Times New Roman" w:cs="Times New Roman"/>
          <w:sz w:val="24"/>
          <w:szCs w:val="24"/>
        </w:rPr>
        <w:t xml:space="preserve">The </w:t>
      </w:r>
      <w:r w:rsidR="00354F8E" w:rsidRPr="000C1D84">
        <w:rPr>
          <w:rFonts w:ascii="Times New Roman" w:eastAsia="Cambria" w:hAnsi="Times New Roman" w:cs="Times New Roman"/>
          <w:sz w:val="24"/>
          <w:szCs w:val="24"/>
        </w:rPr>
        <w:t xml:space="preserve">FMCSA officially stated that there </w:t>
      </w:r>
      <w:r w:rsidR="00B97677" w:rsidRPr="000C1D84">
        <w:rPr>
          <w:rFonts w:ascii="Times New Roman" w:eastAsia="Cambria" w:hAnsi="Times New Roman" w:cs="Times New Roman"/>
          <w:sz w:val="24"/>
          <w:szCs w:val="24"/>
        </w:rPr>
        <w:t>had been six</w:t>
      </w:r>
      <w:r w:rsidR="00354F8E" w:rsidRPr="000C1D84">
        <w:rPr>
          <w:rFonts w:ascii="Times New Roman" w:eastAsia="Cambria" w:hAnsi="Times New Roman" w:cs="Times New Roman"/>
          <w:sz w:val="24"/>
          <w:szCs w:val="24"/>
        </w:rPr>
        <w:t xml:space="preserve"> fire incidences reported for vehicles after stage 1 recall. The NRCS </w:t>
      </w:r>
      <w:r w:rsidR="00B97677" w:rsidRPr="000C1D84">
        <w:rPr>
          <w:rFonts w:ascii="Times New Roman" w:eastAsia="Cambria" w:hAnsi="Times New Roman" w:cs="Times New Roman"/>
          <w:sz w:val="24"/>
          <w:szCs w:val="24"/>
        </w:rPr>
        <w:t xml:space="preserve">would </w:t>
      </w:r>
      <w:r w:rsidR="00354F8E" w:rsidRPr="000C1D84">
        <w:rPr>
          <w:rFonts w:ascii="Times New Roman" w:eastAsia="Cambria" w:hAnsi="Times New Roman" w:cs="Times New Roman"/>
          <w:sz w:val="24"/>
          <w:szCs w:val="24"/>
        </w:rPr>
        <w:t xml:space="preserve">continue to engage with </w:t>
      </w:r>
      <w:r w:rsidR="00B97677" w:rsidRPr="000C1D84">
        <w:rPr>
          <w:rFonts w:ascii="Times New Roman" w:eastAsia="Cambria" w:hAnsi="Times New Roman" w:cs="Times New Roman"/>
          <w:sz w:val="24"/>
          <w:szCs w:val="24"/>
        </w:rPr>
        <w:t xml:space="preserve">the </w:t>
      </w:r>
      <w:r w:rsidR="00354F8E" w:rsidRPr="000C1D84">
        <w:rPr>
          <w:rFonts w:ascii="Times New Roman" w:eastAsia="Cambria" w:hAnsi="Times New Roman" w:cs="Times New Roman"/>
          <w:sz w:val="24"/>
          <w:szCs w:val="24"/>
        </w:rPr>
        <w:t>FMCSA to conduct its own investigation into this matter.</w:t>
      </w:r>
    </w:p>
    <w:p w14:paraId="5E572164" w14:textId="77777777" w:rsidR="004909C3" w:rsidRPr="000C1D84" w:rsidRDefault="004909C3" w:rsidP="00354F8E">
      <w:pPr>
        <w:pStyle w:val="ListParagraph"/>
        <w:spacing w:line="360" w:lineRule="auto"/>
        <w:ind w:left="360"/>
        <w:rPr>
          <w:rFonts w:ascii="Times New Roman" w:eastAsia="Cambria" w:hAnsi="Times New Roman" w:cs="Times New Roman"/>
          <w:sz w:val="24"/>
          <w:szCs w:val="24"/>
          <w:highlight w:val="yellow"/>
        </w:rPr>
      </w:pPr>
    </w:p>
    <w:p w14:paraId="4FA8D1E5" w14:textId="77777777" w:rsidR="006434E3" w:rsidRPr="008F0038" w:rsidRDefault="00037D0F" w:rsidP="008F0038">
      <w:pPr>
        <w:pStyle w:val="ListParagraph"/>
        <w:numPr>
          <w:ilvl w:val="2"/>
          <w:numId w:val="36"/>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Status of regulations on vehicle system</w:t>
      </w:r>
      <w:r w:rsidR="00B97677" w:rsidRPr="000C1D84">
        <w:rPr>
          <w:rFonts w:ascii="Times New Roman" w:hAnsi="Times New Roman" w:cs="Times New Roman"/>
          <w:b/>
          <w:i/>
          <w:sz w:val="24"/>
          <w:szCs w:val="24"/>
        </w:rPr>
        <w:t>s</w:t>
      </w:r>
      <w:r w:rsidRPr="000C1D84">
        <w:rPr>
          <w:rFonts w:ascii="Times New Roman" w:hAnsi="Times New Roman" w:cs="Times New Roman"/>
          <w:b/>
          <w:i/>
          <w:sz w:val="24"/>
          <w:szCs w:val="24"/>
        </w:rPr>
        <w:t xml:space="preserve"> technolog</w:t>
      </w:r>
      <w:r w:rsidR="006434E3" w:rsidRPr="000C1D84">
        <w:rPr>
          <w:rFonts w:ascii="Times New Roman" w:hAnsi="Times New Roman" w:cs="Times New Roman"/>
          <w:b/>
          <w:i/>
          <w:sz w:val="24"/>
          <w:szCs w:val="24"/>
        </w:rPr>
        <w:t>ies</w:t>
      </w:r>
      <w:r w:rsidRPr="000C1D84">
        <w:rPr>
          <w:rFonts w:ascii="Times New Roman" w:hAnsi="Times New Roman" w:cs="Times New Roman"/>
          <w:b/>
          <w:i/>
          <w:sz w:val="24"/>
          <w:szCs w:val="24"/>
        </w:rPr>
        <w:t xml:space="preserve">: </w:t>
      </w:r>
      <w:r w:rsidRPr="008F0038">
        <w:rPr>
          <w:rFonts w:ascii="Times New Roman" w:hAnsi="Times New Roman" w:cs="Times New Roman"/>
          <w:sz w:val="24"/>
          <w:szCs w:val="24"/>
        </w:rPr>
        <w:t>The Committee enquired whether the NRCS had any standards for electronic components or computers within vehicles. The NRCS informed the Committee that vehicle safety and environmental protection are amongst others, the driving factors in the improvement of technology within the automotive industry. The recent vehicle systems technolog</w:t>
      </w:r>
      <w:r w:rsidR="006434E3" w:rsidRPr="008F0038">
        <w:rPr>
          <w:rFonts w:ascii="Times New Roman" w:hAnsi="Times New Roman" w:cs="Times New Roman"/>
          <w:sz w:val="24"/>
          <w:szCs w:val="24"/>
        </w:rPr>
        <w:t>ies</w:t>
      </w:r>
      <w:r w:rsidRPr="008F0038">
        <w:rPr>
          <w:rFonts w:ascii="Times New Roman" w:hAnsi="Times New Roman" w:cs="Times New Roman"/>
          <w:sz w:val="24"/>
          <w:szCs w:val="24"/>
        </w:rPr>
        <w:t xml:space="preserve"> seek to take control of the vehicle </w:t>
      </w:r>
      <w:r w:rsidR="006434E3" w:rsidRPr="008F0038">
        <w:rPr>
          <w:rFonts w:ascii="Times New Roman" w:hAnsi="Times New Roman" w:cs="Times New Roman"/>
          <w:sz w:val="24"/>
          <w:szCs w:val="24"/>
        </w:rPr>
        <w:t>in the event of an</w:t>
      </w:r>
      <w:r w:rsidR="00B97677" w:rsidRPr="008F0038">
        <w:rPr>
          <w:rFonts w:ascii="Times New Roman" w:hAnsi="Times New Roman" w:cs="Times New Roman"/>
          <w:sz w:val="24"/>
          <w:szCs w:val="24"/>
        </w:rPr>
        <w:t xml:space="preserve"> emergency, </w:t>
      </w:r>
      <w:r w:rsidRPr="008F0038">
        <w:rPr>
          <w:rFonts w:ascii="Times New Roman" w:hAnsi="Times New Roman" w:cs="Times New Roman"/>
          <w:sz w:val="24"/>
          <w:szCs w:val="24"/>
        </w:rPr>
        <w:t xml:space="preserve">as it has been established that most road accidents are caused by the inability of the driver to control the vehicle </w:t>
      </w:r>
      <w:r w:rsidR="006434E3" w:rsidRPr="008F0038">
        <w:rPr>
          <w:rFonts w:ascii="Times New Roman" w:hAnsi="Times New Roman" w:cs="Times New Roman"/>
          <w:sz w:val="24"/>
          <w:szCs w:val="24"/>
        </w:rPr>
        <w:t>under these</w:t>
      </w:r>
      <w:r w:rsidRPr="008F0038">
        <w:rPr>
          <w:rFonts w:ascii="Times New Roman" w:hAnsi="Times New Roman" w:cs="Times New Roman"/>
          <w:sz w:val="24"/>
          <w:szCs w:val="24"/>
        </w:rPr>
        <w:t xml:space="preserve"> </w:t>
      </w:r>
      <w:r w:rsidR="006434E3" w:rsidRPr="008F0038">
        <w:rPr>
          <w:rFonts w:ascii="Times New Roman" w:hAnsi="Times New Roman" w:cs="Times New Roman"/>
          <w:sz w:val="24"/>
          <w:szCs w:val="24"/>
        </w:rPr>
        <w:t>circumstances</w:t>
      </w:r>
      <w:r w:rsidRPr="008F0038">
        <w:rPr>
          <w:rFonts w:ascii="Times New Roman" w:hAnsi="Times New Roman" w:cs="Times New Roman"/>
          <w:sz w:val="24"/>
          <w:szCs w:val="24"/>
        </w:rPr>
        <w:t xml:space="preserve">. The United Nations European Commission for Europe World Forum for Harmonization of Vehicle Regulations (UNECE WP 29) provides for administration of international </w:t>
      </w:r>
      <w:r w:rsidR="006434E3" w:rsidRPr="008F0038">
        <w:rPr>
          <w:rFonts w:ascii="Times New Roman" w:hAnsi="Times New Roman" w:cs="Times New Roman"/>
          <w:sz w:val="24"/>
          <w:szCs w:val="24"/>
        </w:rPr>
        <w:t xml:space="preserve">vehicle </w:t>
      </w:r>
      <w:r w:rsidRPr="008F0038">
        <w:rPr>
          <w:rFonts w:ascii="Times New Roman" w:hAnsi="Times New Roman" w:cs="Times New Roman"/>
          <w:sz w:val="24"/>
          <w:szCs w:val="24"/>
        </w:rPr>
        <w:t xml:space="preserve">regulations which can be adopted by any of the contracting parties under the designated agreements. One of the biggest topics on this forum lies in the field of </w:t>
      </w:r>
      <w:r w:rsidR="00354F8E" w:rsidRPr="008F0038">
        <w:rPr>
          <w:rFonts w:ascii="Times New Roman" w:hAnsi="Times New Roman" w:cs="Times New Roman"/>
          <w:sz w:val="24"/>
          <w:szCs w:val="24"/>
        </w:rPr>
        <w:t>self-drive/</w:t>
      </w:r>
      <w:r w:rsidRPr="008F0038">
        <w:rPr>
          <w:rFonts w:ascii="Times New Roman" w:hAnsi="Times New Roman" w:cs="Times New Roman"/>
          <w:sz w:val="24"/>
          <w:szCs w:val="24"/>
        </w:rPr>
        <w:t xml:space="preserve">autonomous vehicles where a regulatory framework to support the introduction of these emerging technologies must be established. Although the </w:t>
      </w:r>
      <w:r w:rsidR="00354F8E" w:rsidRPr="008F0038">
        <w:rPr>
          <w:rFonts w:ascii="Times New Roman" w:hAnsi="Times New Roman" w:cs="Times New Roman"/>
          <w:sz w:val="24"/>
          <w:szCs w:val="24"/>
        </w:rPr>
        <w:t xml:space="preserve">self-drive </w:t>
      </w:r>
      <w:r w:rsidRPr="008F0038">
        <w:rPr>
          <w:rFonts w:ascii="Times New Roman" w:hAnsi="Times New Roman" w:cs="Times New Roman"/>
          <w:sz w:val="24"/>
          <w:szCs w:val="24"/>
        </w:rPr>
        <w:t xml:space="preserve">technology is already available, there are no vehicle regulations or rules which support this technology. </w:t>
      </w:r>
    </w:p>
    <w:p w14:paraId="1A890C7E" w14:textId="77777777" w:rsidR="006434E3" w:rsidRPr="000C1D84" w:rsidRDefault="006434E3" w:rsidP="000C1D84">
      <w:pPr>
        <w:pStyle w:val="ListParagraph"/>
        <w:spacing w:line="360" w:lineRule="auto"/>
        <w:rPr>
          <w:rFonts w:ascii="Times New Roman" w:hAnsi="Times New Roman" w:cs="Times New Roman"/>
          <w:b/>
          <w:i/>
          <w:sz w:val="24"/>
          <w:szCs w:val="24"/>
        </w:rPr>
      </w:pPr>
    </w:p>
    <w:p w14:paraId="16B1107F" w14:textId="77777777" w:rsidR="006434E3" w:rsidRDefault="00037D0F" w:rsidP="000C1D84">
      <w:pPr>
        <w:pStyle w:val="ListParagraph"/>
        <w:spacing w:line="360" w:lineRule="auto"/>
        <w:rPr>
          <w:rFonts w:ascii="Times New Roman" w:hAnsi="Times New Roman" w:cs="Times New Roman"/>
          <w:sz w:val="24"/>
          <w:szCs w:val="24"/>
        </w:rPr>
      </w:pPr>
      <w:r w:rsidRPr="000C1D84">
        <w:rPr>
          <w:rFonts w:ascii="Times New Roman" w:hAnsi="Times New Roman" w:cs="Times New Roman"/>
          <w:sz w:val="24"/>
          <w:szCs w:val="24"/>
        </w:rPr>
        <w:t>Currently, autonomous</w:t>
      </w:r>
      <w:r w:rsidR="00354F8E" w:rsidRPr="000C1D84">
        <w:rPr>
          <w:rFonts w:ascii="Times New Roman" w:hAnsi="Times New Roman" w:cs="Times New Roman"/>
          <w:sz w:val="24"/>
          <w:szCs w:val="24"/>
        </w:rPr>
        <w:t>ly</w:t>
      </w:r>
      <w:r w:rsidRPr="000C1D84">
        <w:rPr>
          <w:rFonts w:ascii="Times New Roman" w:hAnsi="Times New Roman" w:cs="Times New Roman"/>
          <w:sz w:val="24"/>
          <w:szCs w:val="24"/>
        </w:rPr>
        <w:t xml:space="preserve"> driven vehicles are being manufactured and developed taking into consideration the UNECE Regulations that address safety. One regulation that is required to be amended is the vehicle steering requirements</w:t>
      </w:r>
      <w:r w:rsidR="006434E3" w:rsidRPr="000C1D84">
        <w:rPr>
          <w:rFonts w:ascii="Times New Roman" w:hAnsi="Times New Roman" w:cs="Times New Roman"/>
          <w:sz w:val="24"/>
          <w:szCs w:val="24"/>
        </w:rPr>
        <w:t>, as</w:t>
      </w:r>
      <w:r w:rsidRPr="000C1D84">
        <w:rPr>
          <w:rFonts w:ascii="Times New Roman" w:hAnsi="Times New Roman" w:cs="Times New Roman"/>
          <w:sz w:val="24"/>
          <w:szCs w:val="24"/>
        </w:rPr>
        <w:t xml:space="preserve"> such vehicles are not dependent on the steering wheel for directional control. Article 8 of the Vienna </w:t>
      </w:r>
      <w:r w:rsidR="00354F8E" w:rsidRPr="000C1D84">
        <w:rPr>
          <w:rFonts w:ascii="Times New Roman" w:hAnsi="Times New Roman" w:cs="Times New Roman"/>
          <w:sz w:val="24"/>
          <w:szCs w:val="24"/>
        </w:rPr>
        <w:t xml:space="preserve">Convention </w:t>
      </w:r>
      <w:r w:rsidRPr="000C1D84">
        <w:rPr>
          <w:rFonts w:ascii="Times New Roman" w:hAnsi="Times New Roman" w:cs="Times New Roman"/>
          <w:sz w:val="24"/>
          <w:szCs w:val="24"/>
        </w:rPr>
        <w:t xml:space="preserve">on Road traffic rules deals with the fact that the driver must be in control of the vehicle, it is thus this </w:t>
      </w:r>
      <w:r w:rsidR="006434E3" w:rsidRPr="000C1D84">
        <w:rPr>
          <w:rFonts w:ascii="Times New Roman" w:hAnsi="Times New Roman" w:cs="Times New Roman"/>
          <w:sz w:val="24"/>
          <w:szCs w:val="24"/>
        </w:rPr>
        <w:t xml:space="preserve">agreement </w:t>
      </w:r>
      <w:r w:rsidR="00091948" w:rsidRPr="000C1D84">
        <w:rPr>
          <w:rFonts w:ascii="Times New Roman" w:hAnsi="Times New Roman" w:cs="Times New Roman"/>
          <w:sz w:val="24"/>
          <w:szCs w:val="24"/>
        </w:rPr>
        <w:t xml:space="preserve">that </w:t>
      </w:r>
      <w:r w:rsidR="006434E3" w:rsidRPr="000C1D84">
        <w:rPr>
          <w:rFonts w:ascii="Times New Roman" w:hAnsi="Times New Roman" w:cs="Times New Roman"/>
          <w:sz w:val="24"/>
          <w:szCs w:val="24"/>
        </w:rPr>
        <w:t xml:space="preserve">also </w:t>
      </w:r>
      <w:r w:rsidRPr="000C1D84">
        <w:rPr>
          <w:rFonts w:ascii="Times New Roman" w:hAnsi="Times New Roman" w:cs="Times New Roman"/>
          <w:sz w:val="24"/>
          <w:szCs w:val="24"/>
        </w:rPr>
        <w:t xml:space="preserve">has to </w:t>
      </w:r>
      <w:r w:rsidR="00091948" w:rsidRPr="000C1D84">
        <w:rPr>
          <w:rFonts w:ascii="Times New Roman" w:hAnsi="Times New Roman" w:cs="Times New Roman"/>
          <w:sz w:val="24"/>
          <w:szCs w:val="24"/>
        </w:rPr>
        <w:t>be amended</w:t>
      </w:r>
      <w:r w:rsidRPr="000C1D84">
        <w:rPr>
          <w:rFonts w:ascii="Times New Roman" w:hAnsi="Times New Roman" w:cs="Times New Roman"/>
          <w:sz w:val="24"/>
          <w:szCs w:val="24"/>
        </w:rPr>
        <w:t xml:space="preserve">. </w:t>
      </w:r>
      <w:r w:rsidR="00091948" w:rsidRPr="000C1D84">
        <w:rPr>
          <w:rFonts w:ascii="Times New Roman" w:hAnsi="Times New Roman" w:cs="Times New Roman"/>
          <w:sz w:val="24"/>
          <w:szCs w:val="24"/>
        </w:rPr>
        <w:t xml:space="preserve">The </w:t>
      </w:r>
      <w:r w:rsidR="006434E3" w:rsidRPr="000C1D84">
        <w:rPr>
          <w:rFonts w:ascii="Times New Roman" w:hAnsi="Times New Roman" w:cs="Times New Roman"/>
          <w:sz w:val="24"/>
          <w:szCs w:val="24"/>
        </w:rPr>
        <w:t xml:space="preserve">Convention </w:t>
      </w:r>
      <w:r w:rsidR="00091948" w:rsidRPr="000C1D84">
        <w:rPr>
          <w:rFonts w:ascii="Times New Roman" w:hAnsi="Times New Roman" w:cs="Times New Roman"/>
          <w:sz w:val="24"/>
          <w:szCs w:val="24"/>
        </w:rPr>
        <w:t xml:space="preserve">is about road operational requirements which covers amongst others, </w:t>
      </w:r>
      <w:r w:rsidR="006434E3" w:rsidRPr="000C1D84">
        <w:rPr>
          <w:rFonts w:ascii="Times New Roman" w:hAnsi="Times New Roman" w:cs="Times New Roman"/>
          <w:sz w:val="24"/>
          <w:szCs w:val="24"/>
        </w:rPr>
        <w:t xml:space="preserve">vehicle </w:t>
      </w:r>
      <w:r w:rsidR="00091948" w:rsidRPr="000C1D84">
        <w:rPr>
          <w:rFonts w:ascii="Times New Roman" w:hAnsi="Times New Roman" w:cs="Times New Roman"/>
          <w:sz w:val="24"/>
          <w:szCs w:val="24"/>
        </w:rPr>
        <w:t xml:space="preserve">safety, </w:t>
      </w:r>
      <w:r w:rsidR="006434E3" w:rsidRPr="000C1D84">
        <w:rPr>
          <w:rFonts w:ascii="Times New Roman" w:hAnsi="Times New Roman" w:cs="Times New Roman"/>
          <w:sz w:val="24"/>
          <w:szCs w:val="24"/>
        </w:rPr>
        <w:t xml:space="preserve">driver </w:t>
      </w:r>
      <w:r w:rsidR="00091948" w:rsidRPr="000C1D84">
        <w:rPr>
          <w:rFonts w:ascii="Times New Roman" w:hAnsi="Times New Roman" w:cs="Times New Roman"/>
          <w:sz w:val="24"/>
          <w:szCs w:val="24"/>
        </w:rPr>
        <w:t xml:space="preserve">requirements, </w:t>
      </w:r>
      <w:r w:rsidR="006434E3" w:rsidRPr="000C1D84">
        <w:rPr>
          <w:rFonts w:ascii="Times New Roman" w:hAnsi="Times New Roman" w:cs="Times New Roman"/>
          <w:sz w:val="24"/>
          <w:szCs w:val="24"/>
        </w:rPr>
        <w:t xml:space="preserve">registration </w:t>
      </w:r>
      <w:r w:rsidR="00091948" w:rsidRPr="000C1D84">
        <w:rPr>
          <w:rFonts w:ascii="Times New Roman" w:hAnsi="Times New Roman" w:cs="Times New Roman"/>
          <w:sz w:val="24"/>
          <w:szCs w:val="24"/>
        </w:rPr>
        <w:t>plates,</w:t>
      </w:r>
      <w:r w:rsidR="006434E3" w:rsidRPr="000C1D84">
        <w:rPr>
          <w:rFonts w:ascii="Times New Roman" w:hAnsi="Times New Roman" w:cs="Times New Roman"/>
          <w:sz w:val="24"/>
          <w:szCs w:val="24"/>
        </w:rPr>
        <w:t xml:space="preserve"> and</w:t>
      </w:r>
      <w:r w:rsidR="00091948" w:rsidRPr="000C1D84">
        <w:rPr>
          <w:rFonts w:ascii="Times New Roman" w:hAnsi="Times New Roman" w:cs="Times New Roman"/>
          <w:sz w:val="24"/>
          <w:szCs w:val="24"/>
        </w:rPr>
        <w:t xml:space="preserve"> </w:t>
      </w:r>
      <w:r w:rsidR="006434E3" w:rsidRPr="000C1D84">
        <w:rPr>
          <w:rFonts w:ascii="Times New Roman" w:hAnsi="Times New Roman" w:cs="Times New Roman"/>
          <w:sz w:val="24"/>
          <w:szCs w:val="24"/>
        </w:rPr>
        <w:t xml:space="preserve">drivers’ </w:t>
      </w:r>
      <w:r w:rsidR="00091948" w:rsidRPr="000C1D84">
        <w:rPr>
          <w:rFonts w:ascii="Times New Roman" w:hAnsi="Times New Roman" w:cs="Times New Roman"/>
          <w:sz w:val="24"/>
          <w:szCs w:val="24"/>
        </w:rPr>
        <w:t>licen</w:t>
      </w:r>
      <w:r w:rsidR="006434E3" w:rsidRPr="000C1D84">
        <w:rPr>
          <w:rFonts w:ascii="Times New Roman" w:hAnsi="Times New Roman" w:cs="Times New Roman"/>
          <w:sz w:val="24"/>
          <w:szCs w:val="24"/>
        </w:rPr>
        <w:t>c</w:t>
      </w:r>
      <w:r w:rsidR="00091948" w:rsidRPr="000C1D84">
        <w:rPr>
          <w:rFonts w:ascii="Times New Roman" w:hAnsi="Times New Roman" w:cs="Times New Roman"/>
          <w:sz w:val="24"/>
          <w:szCs w:val="24"/>
        </w:rPr>
        <w:t>e</w:t>
      </w:r>
      <w:r w:rsidR="006434E3" w:rsidRPr="000C1D84">
        <w:rPr>
          <w:rFonts w:ascii="Times New Roman" w:hAnsi="Times New Roman" w:cs="Times New Roman"/>
          <w:sz w:val="24"/>
          <w:szCs w:val="24"/>
        </w:rPr>
        <w:t>s</w:t>
      </w:r>
      <w:r w:rsidR="00091948" w:rsidRPr="000C1D84">
        <w:rPr>
          <w:rFonts w:ascii="Times New Roman" w:hAnsi="Times New Roman" w:cs="Times New Roman"/>
          <w:sz w:val="24"/>
          <w:szCs w:val="24"/>
        </w:rPr>
        <w:t xml:space="preserve">. Noting the developments, UNECE WP29 is very </w:t>
      </w:r>
      <w:r w:rsidR="006434E3" w:rsidRPr="000C1D84">
        <w:rPr>
          <w:rFonts w:ascii="Times New Roman" w:hAnsi="Times New Roman" w:cs="Times New Roman"/>
          <w:sz w:val="24"/>
          <w:szCs w:val="24"/>
        </w:rPr>
        <w:t>interested in</w:t>
      </w:r>
      <w:r w:rsidR="00091948" w:rsidRPr="000C1D84">
        <w:rPr>
          <w:rFonts w:ascii="Times New Roman" w:hAnsi="Times New Roman" w:cs="Times New Roman"/>
          <w:sz w:val="24"/>
          <w:szCs w:val="24"/>
        </w:rPr>
        <w:t xml:space="preserve"> the subject of autonomous driving vehicles</w:t>
      </w:r>
      <w:r w:rsidR="006434E3" w:rsidRPr="000C1D84">
        <w:rPr>
          <w:rFonts w:ascii="Times New Roman" w:hAnsi="Times New Roman" w:cs="Times New Roman"/>
          <w:sz w:val="24"/>
          <w:szCs w:val="24"/>
        </w:rPr>
        <w:t xml:space="preserve"> and</w:t>
      </w:r>
      <w:r w:rsidR="00091948" w:rsidRPr="000C1D84">
        <w:rPr>
          <w:rFonts w:ascii="Times New Roman" w:hAnsi="Times New Roman" w:cs="Times New Roman"/>
          <w:sz w:val="24"/>
          <w:szCs w:val="24"/>
        </w:rPr>
        <w:t xml:space="preserve"> the project to amend </w:t>
      </w:r>
      <w:r w:rsidR="006434E3" w:rsidRPr="000C1D84">
        <w:rPr>
          <w:rFonts w:ascii="Times New Roman" w:hAnsi="Times New Roman" w:cs="Times New Roman"/>
          <w:sz w:val="24"/>
          <w:szCs w:val="24"/>
        </w:rPr>
        <w:t xml:space="preserve">Article </w:t>
      </w:r>
      <w:r w:rsidR="00091948" w:rsidRPr="000C1D84">
        <w:rPr>
          <w:rFonts w:ascii="Times New Roman" w:hAnsi="Times New Roman" w:cs="Times New Roman"/>
          <w:sz w:val="24"/>
          <w:szCs w:val="24"/>
        </w:rPr>
        <w:t xml:space="preserve">8 of the Vienna </w:t>
      </w:r>
      <w:r w:rsidR="006434E3" w:rsidRPr="000C1D84">
        <w:rPr>
          <w:rFonts w:ascii="Times New Roman" w:hAnsi="Times New Roman" w:cs="Times New Roman"/>
          <w:sz w:val="24"/>
          <w:szCs w:val="24"/>
        </w:rPr>
        <w:t xml:space="preserve">Convention </w:t>
      </w:r>
      <w:r w:rsidR="00091948" w:rsidRPr="000C1D84">
        <w:rPr>
          <w:rFonts w:ascii="Times New Roman" w:hAnsi="Times New Roman" w:cs="Times New Roman"/>
          <w:sz w:val="24"/>
          <w:szCs w:val="24"/>
        </w:rPr>
        <w:t>is underway. The challenge faced by regulators around the world is that technology is ahead of the</w:t>
      </w:r>
      <w:r w:rsidR="006434E3" w:rsidRPr="000C1D84">
        <w:rPr>
          <w:rFonts w:ascii="Times New Roman" w:hAnsi="Times New Roman" w:cs="Times New Roman"/>
          <w:sz w:val="24"/>
          <w:szCs w:val="24"/>
        </w:rPr>
        <w:t>se</w:t>
      </w:r>
      <w:r w:rsidR="00091948" w:rsidRPr="000C1D84">
        <w:rPr>
          <w:rFonts w:ascii="Times New Roman" w:hAnsi="Times New Roman" w:cs="Times New Roman"/>
          <w:sz w:val="24"/>
          <w:szCs w:val="24"/>
        </w:rPr>
        <w:t xml:space="preserve"> </w:t>
      </w:r>
      <w:r w:rsidR="006434E3" w:rsidRPr="000C1D84">
        <w:rPr>
          <w:rFonts w:ascii="Times New Roman" w:hAnsi="Times New Roman" w:cs="Times New Roman"/>
          <w:sz w:val="24"/>
          <w:szCs w:val="24"/>
        </w:rPr>
        <w:t>technical regulations</w:t>
      </w:r>
      <w:r w:rsidR="00091948" w:rsidRPr="000C1D84">
        <w:rPr>
          <w:rFonts w:ascii="Times New Roman" w:hAnsi="Times New Roman" w:cs="Times New Roman"/>
          <w:sz w:val="24"/>
          <w:szCs w:val="24"/>
        </w:rPr>
        <w:t xml:space="preserve">. In other words, manufacturers of vehicles conduct an extensive research on the improvement of safety, most of which do not negatively impact on current </w:t>
      </w:r>
      <w:r w:rsidR="006434E3" w:rsidRPr="000C1D84">
        <w:rPr>
          <w:rFonts w:ascii="Times New Roman" w:hAnsi="Times New Roman" w:cs="Times New Roman"/>
          <w:sz w:val="24"/>
          <w:szCs w:val="24"/>
        </w:rPr>
        <w:t>technical regulations</w:t>
      </w:r>
      <w:r w:rsidR="00091948" w:rsidRPr="000C1D84">
        <w:rPr>
          <w:rFonts w:ascii="Times New Roman" w:hAnsi="Times New Roman" w:cs="Times New Roman"/>
          <w:sz w:val="24"/>
          <w:szCs w:val="24"/>
        </w:rPr>
        <w:t xml:space="preserve">. However, these improvements make it necessary to </w:t>
      </w:r>
      <w:r w:rsidR="006434E3" w:rsidRPr="000C1D84">
        <w:rPr>
          <w:rFonts w:ascii="Times New Roman" w:hAnsi="Times New Roman" w:cs="Times New Roman"/>
          <w:sz w:val="24"/>
          <w:szCs w:val="24"/>
        </w:rPr>
        <w:t xml:space="preserve">consistently </w:t>
      </w:r>
      <w:r w:rsidR="00091948" w:rsidRPr="000C1D84">
        <w:rPr>
          <w:rFonts w:ascii="Times New Roman" w:hAnsi="Times New Roman" w:cs="Times New Roman"/>
          <w:sz w:val="24"/>
          <w:szCs w:val="24"/>
        </w:rPr>
        <w:t xml:space="preserve">develop new </w:t>
      </w:r>
      <w:r w:rsidR="006434E3" w:rsidRPr="000C1D84">
        <w:rPr>
          <w:rFonts w:ascii="Times New Roman" w:hAnsi="Times New Roman" w:cs="Times New Roman"/>
          <w:sz w:val="24"/>
          <w:szCs w:val="24"/>
        </w:rPr>
        <w:t xml:space="preserve">technical regulations </w:t>
      </w:r>
      <w:r w:rsidR="00091948" w:rsidRPr="000C1D84">
        <w:rPr>
          <w:rFonts w:ascii="Times New Roman" w:hAnsi="Times New Roman" w:cs="Times New Roman"/>
          <w:sz w:val="24"/>
          <w:szCs w:val="24"/>
        </w:rPr>
        <w:t xml:space="preserve">or amend existing ones. Technologies such as </w:t>
      </w:r>
      <w:r w:rsidR="006434E3" w:rsidRPr="000C1D84">
        <w:rPr>
          <w:rFonts w:ascii="Times New Roman" w:hAnsi="Times New Roman" w:cs="Times New Roman"/>
          <w:sz w:val="24"/>
          <w:szCs w:val="24"/>
        </w:rPr>
        <w:t xml:space="preserve">the antilock braking </w:t>
      </w:r>
      <w:r w:rsidR="00091948" w:rsidRPr="000C1D84">
        <w:rPr>
          <w:rFonts w:ascii="Times New Roman" w:hAnsi="Times New Roman" w:cs="Times New Roman"/>
          <w:sz w:val="24"/>
          <w:szCs w:val="24"/>
        </w:rPr>
        <w:t xml:space="preserve">system (ABS), </w:t>
      </w:r>
      <w:r w:rsidR="006434E3" w:rsidRPr="000C1D84">
        <w:rPr>
          <w:rFonts w:ascii="Times New Roman" w:hAnsi="Times New Roman" w:cs="Times New Roman"/>
          <w:sz w:val="24"/>
          <w:szCs w:val="24"/>
        </w:rPr>
        <w:t xml:space="preserve">electronic </w:t>
      </w:r>
      <w:r w:rsidR="00091948" w:rsidRPr="000C1D84">
        <w:rPr>
          <w:rFonts w:ascii="Times New Roman" w:hAnsi="Times New Roman" w:cs="Times New Roman"/>
          <w:sz w:val="24"/>
          <w:szCs w:val="24"/>
        </w:rPr>
        <w:t xml:space="preserve">stability programme (ESP), and </w:t>
      </w:r>
      <w:r w:rsidR="006434E3" w:rsidRPr="000C1D84">
        <w:rPr>
          <w:rFonts w:ascii="Times New Roman" w:hAnsi="Times New Roman" w:cs="Times New Roman"/>
          <w:sz w:val="24"/>
          <w:szCs w:val="24"/>
        </w:rPr>
        <w:t xml:space="preserve">pedestrian </w:t>
      </w:r>
      <w:r w:rsidR="00091948" w:rsidRPr="000C1D84">
        <w:rPr>
          <w:rFonts w:ascii="Times New Roman" w:hAnsi="Times New Roman" w:cs="Times New Roman"/>
          <w:sz w:val="24"/>
          <w:szCs w:val="24"/>
        </w:rPr>
        <w:t xml:space="preserve">safety all preceded the relevant </w:t>
      </w:r>
      <w:r w:rsidR="006434E3" w:rsidRPr="000C1D84">
        <w:rPr>
          <w:rFonts w:ascii="Times New Roman" w:hAnsi="Times New Roman" w:cs="Times New Roman"/>
          <w:sz w:val="24"/>
          <w:szCs w:val="24"/>
        </w:rPr>
        <w:t>technical regulations</w:t>
      </w:r>
      <w:r w:rsidR="00091948" w:rsidRPr="000C1D84">
        <w:rPr>
          <w:rFonts w:ascii="Times New Roman" w:hAnsi="Times New Roman" w:cs="Times New Roman"/>
          <w:sz w:val="24"/>
          <w:szCs w:val="24"/>
        </w:rPr>
        <w:t xml:space="preserve">. Some of these technologies are yet to be specified in the </w:t>
      </w:r>
      <w:r w:rsidR="006434E3" w:rsidRPr="000C1D84">
        <w:rPr>
          <w:rFonts w:ascii="Times New Roman" w:hAnsi="Times New Roman" w:cs="Times New Roman"/>
          <w:sz w:val="24"/>
          <w:szCs w:val="24"/>
        </w:rPr>
        <w:t xml:space="preserve">compulsory specifications </w:t>
      </w:r>
      <w:r w:rsidR="00091948" w:rsidRPr="000C1D84">
        <w:rPr>
          <w:rFonts w:ascii="Times New Roman" w:hAnsi="Times New Roman" w:cs="Times New Roman"/>
          <w:sz w:val="24"/>
          <w:szCs w:val="24"/>
        </w:rPr>
        <w:t xml:space="preserve">in South Africa. </w:t>
      </w:r>
    </w:p>
    <w:p w14:paraId="21D29FFF" w14:textId="77777777" w:rsidR="006434E3" w:rsidRPr="000C1D84" w:rsidRDefault="006434E3" w:rsidP="000C1D84">
      <w:pPr>
        <w:pStyle w:val="ListParagraph"/>
        <w:spacing w:line="360" w:lineRule="auto"/>
        <w:rPr>
          <w:rFonts w:ascii="Times New Roman" w:hAnsi="Times New Roman" w:cs="Times New Roman"/>
          <w:sz w:val="24"/>
          <w:szCs w:val="24"/>
        </w:rPr>
      </w:pPr>
    </w:p>
    <w:p w14:paraId="2850B488" w14:textId="77777777" w:rsidR="00037D0F" w:rsidRPr="000C1D84" w:rsidRDefault="00091948" w:rsidP="000C1D84">
      <w:pPr>
        <w:pStyle w:val="ListParagraph"/>
        <w:spacing w:line="360" w:lineRule="auto"/>
        <w:rPr>
          <w:rFonts w:ascii="Times New Roman" w:hAnsi="Times New Roman" w:cs="Times New Roman"/>
          <w:b/>
          <w:i/>
          <w:sz w:val="24"/>
          <w:szCs w:val="24"/>
        </w:rPr>
      </w:pPr>
      <w:r w:rsidRPr="000C1D84">
        <w:rPr>
          <w:rFonts w:ascii="Times New Roman" w:hAnsi="Times New Roman" w:cs="Times New Roman"/>
          <w:sz w:val="24"/>
          <w:szCs w:val="24"/>
        </w:rPr>
        <w:t xml:space="preserve">When regulations are introduced, they need to be based on scientific research and actual performance data so that the test methods in the regulation can address safety critical items of the system </w:t>
      </w:r>
      <w:r w:rsidR="006434E3" w:rsidRPr="000C1D84">
        <w:rPr>
          <w:rFonts w:ascii="Times New Roman" w:hAnsi="Times New Roman" w:cs="Times New Roman"/>
          <w:sz w:val="24"/>
          <w:szCs w:val="24"/>
        </w:rPr>
        <w:t xml:space="preserve">to ensure </w:t>
      </w:r>
      <w:r w:rsidRPr="000C1D84">
        <w:rPr>
          <w:rFonts w:ascii="Times New Roman" w:hAnsi="Times New Roman" w:cs="Times New Roman"/>
          <w:sz w:val="24"/>
          <w:szCs w:val="24"/>
        </w:rPr>
        <w:t>that the system function</w:t>
      </w:r>
      <w:r w:rsidR="006434E3" w:rsidRPr="000C1D84">
        <w:rPr>
          <w:rFonts w:ascii="Times New Roman" w:hAnsi="Times New Roman" w:cs="Times New Roman"/>
          <w:sz w:val="24"/>
          <w:szCs w:val="24"/>
        </w:rPr>
        <w:t>s</w:t>
      </w:r>
      <w:r w:rsidRPr="000C1D84">
        <w:rPr>
          <w:rFonts w:ascii="Times New Roman" w:hAnsi="Times New Roman" w:cs="Times New Roman"/>
          <w:sz w:val="24"/>
          <w:szCs w:val="24"/>
        </w:rPr>
        <w:t xml:space="preserve"> </w:t>
      </w:r>
      <w:r w:rsidR="006434E3" w:rsidRPr="000C1D84">
        <w:rPr>
          <w:rFonts w:ascii="Times New Roman" w:hAnsi="Times New Roman" w:cs="Times New Roman"/>
          <w:sz w:val="24"/>
          <w:szCs w:val="24"/>
        </w:rPr>
        <w:t>effectively</w:t>
      </w:r>
      <w:r w:rsidRPr="000C1D84">
        <w:rPr>
          <w:rFonts w:ascii="Times New Roman" w:hAnsi="Times New Roman" w:cs="Times New Roman"/>
          <w:sz w:val="24"/>
          <w:szCs w:val="24"/>
        </w:rPr>
        <w:t>. Most vehicle technical regulations are not design prescriptive in that they do not specify how the system should be designed</w:t>
      </w:r>
      <w:r w:rsidR="006434E3" w:rsidRPr="000C1D84">
        <w:rPr>
          <w:rFonts w:ascii="Times New Roman" w:hAnsi="Times New Roman" w:cs="Times New Roman"/>
          <w:sz w:val="24"/>
          <w:szCs w:val="24"/>
        </w:rPr>
        <w:t>;</w:t>
      </w:r>
      <w:r w:rsidRPr="000C1D84">
        <w:rPr>
          <w:rFonts w:ascii="Times New Roman" w:hAnsi="Times New Roman" w:cs="Times New Roman"/>
          <w:sz w:val="24"/>
          <w:szCs w:val="24"/>
        </w:rPr>
        <w:t xml:space="preserve"> however</w:t>
      </w:r>
      <w:r w:rsidR="006434E3" w:rsidRPr="000C1D84">
        <w:rPr>
          <w:rFonts w:ascii="Times New Roman" w:hAnsi="Times New Roman" w:cs="Times New Roman"/>
          <w:sz w:val="24"/>
          <w:szCs w:val="24"/>
        </w:rPr>
        <w:t>,</w:t>
      </w:r>
      <w:r w:rsidRPr="000C1D84">
        <w:rPr>
          <w:rFonts w:ascii="Times New Roman" w:hAnsi="Times New Roman" w:cs="Times New Roman"/>
          <w:sz w:val="24"/>
          <w:szCs w:val="24"/>
        </w:rPr>
        <w:t xml:space="preserve"> they specify how the system should perform. Except for </w:t>
      </w:r>
      <w:r w:rsidR="006434E3" w:rsidRPr="000C1D84">
        <w:rPr>
          <w:rFonts w:ascii="Times New Roman" w:hAnsi="Times New Roman" w:cs="Times New Roman"/>
          <w:sz w:val="24"/>
          <w:szCs w:val="24"/>
        </w:rPr>
        <w:t xml:space="preserve">electromagnetic </w:t>
      </w:r>
      <w:r w:rsidRPr="000C1D84">
        <w:rPr>
          <w:rFonts w:ascii="Times New Roman" w:hAnsi="Times New Roman" w:cs="Times New Roman"/>
          <w:sz w:val="24"/>
          <w:szCs w:val="24"/>
        </w:rPr>
        <w:t xml:space="preserve">interference checks which ensure compliance with the Electronics Communications Act, the </w:t>
      </w:r>
      <w:r w:rsidR="00B35C32" w:rsidRPr="000C1D84">
        <w:rPr>
          <w:rFonts w:ascii="Times New Roman" w:hAnsi="Times New Roman" w:cs="Times New Roman"/>
          <w:sz w:val="24"/>
          <w:szCs w:val="24"/>
        </w:rPr>
        <w:t xml:space="preserve">South African </w:t>
      </w:r>
      <w:r w:rsidR="006434E3" w:rsidRPr="000C1D84">
        <w:rPr>
          <w:rFonts w:ascii="Times New Roman" w:hAnsi="Times New Roman" w:cs="Times New Roman"/>
          <w:sz w:val="24"/>
          <w:szCs w:val="24"/>
        </w:rPr>
        <w:t xml:space="preserve">compulsory </w:t>
      </w:r>
      <w:r w:rsidRPr="000C1D84">
        <w:rPr>
          <w:rFonts w:ascii="Times New Roman" w:hAnsi="Times New Roman" w:cs="Times New Roman"/>
          <w:sz w:val="24"/>
          <w:szCs w:val="24"/>
        </w:rPr>
        <w:t>specifications do not specify any requirements for vehicle electronics or vehicle computer box</w:t>
      </w:r>
      <w:r w:rsidR="00053FA5" w:rsidRPr="000C1D84">
        <w:rPr>
          <w:rFonts w:ascii="Times New Roman" w:hAnsi="Times New Roman" w:cs="Times New Roman"/>
          <w:sz w:val="24"/>
          <w:szCs w:val="24"/>
        </w:rPr>
        <w:t>es</w:t>
      </w:r>
      <w:r w:rsidRPr="000C1D84">
        <w:rPr>
          <w:rFonts w:ascii="Times New Roman" w:hAnsi="Times New Roman" w:cs="Times New Roman"/>
          <w:sz w:val="24"/>
          <w:szCs w:val="24"/>
        </w:rPr>
        <w:t xml:space="preserve">. </w:t>
      </w:r>
      <w:r w:rsidR="00037D0F" w:rsidRPr="000C1D84">
        <w:rPr>
          <w:rFonts w:ascii="Times New Roman" w:hAnsi="Times New Roman" w:cs="Times New Roman"/>
          <w:sz w:val="24"/>
          <w:szCs w:val="24"/>
        </w:rPr>
        <w:t xml:space="preserve"> </w:t>
      </w:r>
    </w:p>
    <w:p w14:paraId="3B2A9668" w14:textId="77777777" w:rsidR="004909C3" w:rsidRPr="000C1D84" w:rsidRDefault="004909C3" w:rsidP="000C1D84">
      <w:pPr>
        <w:pStyle w:val="ListParagraph"/>
        <w:spacing w:line="360" w:lineRule="auto"/>
        <w:rPr>
          <w:rFonts w:ascii="Times New Roman" w:hAnsi="Times New Roman" w:cs="Times New Roman"/>
          <w:b/>
          <w:i/>
          <w:sz w:val="24"/>
          <w:szCs w:val="24"/>
          <w:highlight w:val="yellow"/>
        </w:rPr>
      </w:pPr>
    </w:p>
    <w:p w14:paraId="6BD8D4D1" w14:textId="77777777" w:rsidR="00B35C32" w:rsidRPr="008F0038" w:rsidRDefault="00037D0F" w:rsidP="008F0038">
      <w:pPr>
        <w:pStyle w:val="ListParagraph"/>
        <w:numPr>
          <w:ilvl w:val="2"/>
          <w:numId w:val="36"/>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 xml:space="preserve">Interim requirements for </w:t>
      </w:r>
      <w:r w:rsidR="00053FA5" w:rsidRPr="000C1D84">
        <w:rPr>
          <w:rFonts w:ascii="Times New Roman" w:hAnsi="Times New Roman" w:cs="Times New Roman"/>
          <w:b/>
          <w:i/>
          <w:sz w:val="24"/>
          <w:szCs w:val="24"/>
        </w:rPr>
        <w:t>e-</w:t>
      </w:r>
      <w:r w:rsidRPr="000C1D84">
        <w:rPr>
          <w:rFonts w:ascii="Times New Roman" w:hAnsi="Times New Roman" w:cs="Times New Roman"/>
          <w:b/>
          <w:i/>
          <w:sz w:val="24"/>
          <w:szCs w:val="24"/>
        </w:rPr>
        <w:t xml:space="preserve">tolling: </w:t>
      </w:r>
      <w:r w:rsidRPr="008F0038">
        <w:rPr>
          <w:rFonts w:ascii="Times New Roman" w:hAnsi="Times New Roman" w:cs="Times New Roman"/>
          <w:sz w:val="24"/>
          <w:szCs w:val="24"/>
        </w:rPr>
        <w:t xml:space="preserve">The Committee enquired whether </w:t>
      </w:r>
      <w:r w:rsidR="00B35C32" w:rsidRPr="008F0038">
        <w:rPr>
          <w:rFonts w:ascii="Times New Roman" w:hAnsi="Times New Roman" w:cs="Times New Roman"/>
          <w:sz w:val="24"/>
          <w:szCs w:val="24"/>
        </w:rPr>
        <w:t xml:space="preserve">legal metrology </w:t>
      </w:r>
      <w:r w:rsidRPr="008F0038">
        <w:rPr>
          <w:rFonts w:ascii="Times New Roman" w:hAnsi="Times New Roman" w:cs="Times New Roman"/>
          <w:sz w:val="24"/>
          <w:szCs w:val="24"/>
        </w:rPr>
        <w:t>specifications for an electronic tolling system had been developed and if the</w:t>
      </w:r>
      <w:r w:rsidR="00B35C32" w:rsidRPr="008F0038">
        <w:rPr>
          <w:rFonts w:ascii="Times New Roman" w:hAnsi="Times New Roman" w:cs="Times New Roman"/>
          <w:sz w:val="24"/>
          <w:szCs w:val="24"/>
        </w:rPr>
        <w:t xml:space="preserve"> existing system</w:t>
      </w:r>
      <w:r w:rsidRPr="008F0038">
        <w:rPr>
          <w:rFonts w:ascii="Times New Roman" w:hAnsi="Times New Roman" w:cs="Times New Roman"/>
          <w:sz w:val="24"/>
          <w:szCs w:val="24"/>
        </w:rPr>
        <w:t xml:space="preserve"> complied with the necessary standards.  The NRCS informed the Committee that the Legal Metrology interim requirements for electronic open road tolling points were approved by the NRCS</w:t>
      </w:r>
      <w:r w:rsidR="00B35C32" w:rsidRPr="008F0038">
        <w:rPr>
          <w:rFonts w:ascii="Times New Roman" w:hAnsi="Times New Roman" w:cs="Times New Roman"/>
          <w:sz w:val="24"/>
          <w:szCs w:val="24"/>
        </w:rPr>
        <w:t>’s acting</w:t>
      </w:r>
      <w:r w:rsidRPr="008F0038">
        <w:rPr>
          <w:rFonts w:ascii="Times New Roman" w:hAnsi="Times New Roman" w:cs="Times New Roman"/>
          <w:sz w:val="24"/>
          <w:szCs w:val="24"/>
        </w:rPr>
        <w:t xml:space="preserve"> CEO in terms of section 22(2)(c)</w:t>
      </w:r>
      <w:r w:rsidR="00B35C32" w:rsidRPr="008F0038">
        <w:rPr>
          <w:rFonts w:ascii="Times New Roman" w:hAnsi="Times New Roman" w:cs="Times New Roman"/>
          <w:sz w:val="24"/>
          <w:szCs w:val="24"/>
        </w:rPr>
        <w:t xml:space="preserve"> </w:t>
      </w:r>
      <w:r w:rsidRPr="008F0038">
        <w:rPr>
          <w:rFonts w:ascii="Times New Roman" w:hAnsi="Times New Roman" w:cs="Times New Roman"/>
          <w:sz w:val="24"/>
          <w:szCs w:val="24"/>
        </w:rPr>
        <w:t>of the Legal Metrology Act</w:t>
      </w:r>
      <w:r w:rsidR="00B35C32" w:rsidRPr="008F0038">
        <w:rPr>
          <w:rFonts w:ascii="Times New Roman" w:hAnsi="Times New Roman" w:cs="Times New Roman"/>
          <w:sz w:val="24"/>
          <w:szCs w:val="24"/>
        </w:rPr>
        <w:t xml:space="preserve"> (No. 9 of </w:t>
      </w:r>
      <w:r w:rsidRPr="008F0038">
        <w:rPr>
          <w:rFonts w:ascii="Times New Roman" w:hAnsi="Times New Roman" w:cs="Times New Roman"/>
          <w:sz w:val="24"/>
          <w:szCs w:val="24"/>
        </w:rPr>
        <w:t>2014</w:t>
      </w:r>
      <w:r w:rsidR="00B35C32" w:rsidRPr="008F0038">
        <w:rPr>
          <w:rFonts w:ascii="Times New Roman" w:hAnsi="Times New Roman" w:cs="Times New Roman"/>
          <w:sz w:val="24"/>
          <w:szCs w:val="24"/>
        </w:rPr>
        <w:t>)</w:t>
      </w:r>
      <w:r w:rsidRPr="008F0038">
        <w:rPr>
          <w:rFonts w:ascii="Times New Roman" w:hAnsi="Times New Roman" w:cs="Times New Roman"/>
          <w:sz w:val="24"/>
          <w:szCs w:val="24"/>
        </w:rPr>
        <w:t xml:space="preserve"> by signing the L</w:t>
      </w:r>
      <w:r w:rsidR="00B35C32" w:rsidRPr="008F0038">
        <w:rPr>
          <w:rFonts w:ascii="Times New Roman" w:hAnsi="Times New Roman" w:cs="Times New Roman"/>
          <w:sz w:val="24"/>
          <w:szCs w:val="24"/>
        </w:rPr>
        <w:t xml:space="preserve">egal </w:t>
      </w:r>
      <w:r w:rsidRPr="008F0038">
        <w:rPr>
          <w:rFonts w:ascii="Times New Roman" w:hAnsi="Times New Roman" w:cs="Times New Roman"/>
          <w:sz w:val="24"/>
          <w:szCs w:val="24"/>
        </w:rPr>
        <w:t>M</w:t>
      </w:r>
      <w:r w:rsidR="00B35C32" w:rsidRPr="008F0038">
        <w:rPr>
          <w:rFonts w:ascii="Times New Roman" w:hAnsi="Times New Roman" w:cs="Times New Roman"/>
          <w:sz w:val="24"/>
          <w:szCs w:val="24"/>
        </w:rPr>
        <w:t>etrology</w:t>
      </w:r>
      <w:r w:rsidRPr="008F0038">
        <w:rPr>
          <w:rFonts w:ascii="Times New Roman" w:hAnsi="Times New Roman" w:cs="Times New Roman"/>
          <w:sz w:val="24"/>
          <w:szCs w:val="24"/>
        </w:rPr>
        <w:t xml:space="preserve"> Policy which g</w:t>
      </w:r>
      <w:r w:rsidR="00B35C32" w:rsidRPr="008F0038">
        <w:rPr>
          <w:rFonts w:ascii="Times New Roman" w:hAnsi="Times New Roman" w:cs="Times New Roman"/>
          <w:sz w:val="24"/>
          <w:szCs w:val="24"/>
        </w:rPr>
        <w:t>a</w:t>
      </w:r>
      <w:r w:rsidRPr="008F0038">
        <w:rPr>
          <w:rFonts w:ascii="Times New Roman" w:hAnsi="Times New Roman" w:cs="Times New Roman"/>
          <w:sz w:val="24"/>
          <w:szCs w:val="24"/>
        </w:rPr>
        <w:t>ve effect to the interim requirements. The Legal Metrology document</w:t>
      </w:r>
      <w:r w:rsidR="00B35C32" w:rsidRPr="008F0038">
        <w:rPr>
          <w:rFonts w:ascii="Times New Roman" w:hAnsi="Times New Roman" w:cs="Times New Roman"/>
          <w:sz w:val="24"/>
          <w:szCs w:val="24"/>
        </w:rPr>
        <w:t xml:space="preserve"> </w:t>
      </w:r>
      <w:r w:rsidRPr="008F0038">
        <w:rPr>
          <w:rFonts w:ascii="Times New Roman" w:hAnsi="Times New Roman" w:cs="Times New Roman"/>
          <w:sz w:val="24"/>
          <w:szCs w:val="24"/>
        </w:rPr>
        <w:t xml:space="preserve">that specifies the evaluation requirements for the classification of vehicles at open road, electronic tolling points </w:t>
      </w:r>
      <w:r w:rsidR="00B35C32" w:rsidRPr="008F0038">
        <w:rPr>
          <w:rFonts w:ascii="Times New Roman" w:hAnsi="Times New Roman" w:cs="Times New Roman"/>
          <w:sz w:val="24"/>
          <w:szCs w:val="24"/>
        </w:rPr>
        <w:t xml:space="preserve">has been </w:t>
      </w:r>
      <w:r w:rsidRPr="008F0038">
        <w:rPr>
          <w:rFonts w:ascii="Times New Roman" w:hAnsi="Times New Roman" w:cs="Times New Roman"/>
          <w:sz w:val="24"/>
          <w:szCs w:val="24"/>
        </w:rPr>
        <w:t xml:space="preserve">effective since 1 August 2016. </w:t>
      </w:r>
      <w:r w:rsidR="00B35C32" w:rsidRPr="008F0038">
        <w:rPr>
          <w:rFonts w:ascii="Times New Roman" w:hAnsi="Times New Roman" w:cs="Times New Roman"/>
          <w:sz w:val="24"/>
          <w:szCs w:val="24"/>
        </w:rPr>
        <w:t xml:space="preserve">Currently, there </w:t>
      </w:r>
      <w:r w:rsidRPr="008F0038">
        <w:rPr>
          <w:rFonts w:ascii="Times New Roman" w:hAnsi="Times New Roman" w:cs="Times New Roman"/>
          <w:sz w:val="24"/>
          <w:szCs w:val="24"/>
        </w:rPr>
        <w:t xml:space="preserve">are no </w:t>
      </w:r>
      <w:r w:rsidR="00B35C32" w:rsidRPr="008F0038">
        <w:rPr>
          <w:rFonts w:ascii="Times New Roman" w:hAnsi="Times New Roman" w:cs="Times New Roman"/>
          <w:sz w:val="24"/>
          <w:szCs w:val="24"/>
        </w:rPr>
        <w:t xml:space="preserve">legal metrology </w:t>
      </w:r>
      <w:r w:rsidRPr="008F0038">
        <w:rPr>
          <w:rFonts w:ascii="Times New Roman" w:hAnsi="Times New Roman" w:cs="Times New Roman"/>
          <w:sz w:val="24"/>
          <w:szCs w:val="24"/>
        </w:rPr>
        <w:t xml:space="preserve">requirements in the world for this type of system. </w:t>
      </w:r>
      <w:r w:rsidR="00B35C32" w:rsidRPr="008F0038">
        <w:rPr>
          <w:rFonts w:ascii="Times New Roman" w:hAnsi="Times New Roman" w:cs="Times New Roman"/>
          <w:sz w:val="24"/>
          <w:szCs w:val="24"/>
        </w:rPr>
        <w:t xml:space="preserve">Therefore, upon finalisation of the Type Approval process, the legal metrology interim requirements will be submitted to the SABS’s standards division to develop a South African National Standard (SANS) document in this regard. </w:t>
      </w:r>
      <w:r w:rsidRPr="008F0038">
        <w:rPr>
          <w:rFonts w:ascii="Times New Roman" w:hAnsi="Times New Roman" w:cs="Times New Roman"/>
          <w:sz w:val="24"/>
          <w:szCs w:val="24"/>
        </w:rPr>
        <w:t xml:space="preserve">The type evaluation process </w:t>
      </w:r>
      <w:r w:rsidR="00B35C32" w:rsidRPr="008F0038">
        <w:rPr>
          <w:rFonts w:ascii="Times New Roman" w:hAnsi="Times New Roman" w:cs="Times New Roman"/>
          <w:sz w:val="24"/>
          <w:szCs w:val="24"/>
        </w:rPr>
        <w:t xml:space="preserve">would </w:t>
      </w:r>
      <w:r w:rsidRPr="008F0038">
        <w:rPr>
          <w:rFonts w:ascii="Times New Roman" w:hAnsi="Times New Roman" w:cs="Times New Roman"/>
          <w:sz w:val="24"/>
          <w:szCs w:val="24"/>
        </w:rPr>
        <w:t xml:space="preserve">be used to practically test the interim requirements and rectify any malalignment within the requirements. </w:t>
      </w:r>
    </w:p>
    <w:p w14:paraId="7869493D" w14:textId="77777777" w:rsidR="00B35C32" w:rsidRPr="000C1D84" w:rsidRDefault="00B35C32" w:rsidP="000C1D84">
      <w:pPr>
        <w:pStyle w:val="ListParagraph"/>
        <w:spacing w:line="360" w:lineRule="auto"/>
        <w:rPr>
          <w:rFonts w:ascii="Times New Roman" w:hAnsi="Times New Roman" w:cs="Times New Roman"/>
          <w:b/>
          <w:i/>
          <w:sz w:val="24"/>
          <w:szCs w:val="24"/>
        </w:rPr>
      </w:pPr>
    </w:p>
    <w:p w14:paraId="7A2B97FA" w14:textId="77777777" w:rsidR="00037D0F" w:rsidRPr="000C1D84" w:rsidRDefault="00037D0F" w:rsidP="000C1D84">
      <w:pPr>
        <w:pStyle w:val="ListParagraph"/>
        <w:spacing w:line="360" w:lineRule="auto"/>
        <w:rPr>
          <w:rFonts w:ascii="Times New Roman" w:hAnsi="Times New Roman" w:cs="Times New Roman"/>
          <w:b/>
          <w:i/>
          <w:sz w:val="24"/>
          <w:szCs w:val="24"/>
          <w:highlight w:val="yellow"/>
        </w:rPr>
      </w:pPr>
      <w:r w:rsidRPr="000C1D84">
        <w:rPr>
          <w:rFonts w:ascii="Times New Roman" w:hAnsi="Times New Roman" w:cs="Times New Roman"/>
          <w:sz w:val="24"/>
          <w:szCs w:val="24"/>
        </w:rPr>
        <w:t xml:space="preserve">The NRCS informed the Committee that the suppliers of the equipment/systems </w:t>
      </w:r>
      <w:r w:rsidR="00B35C32" w:rsidRPr="000C1D84">
        <w:rPr>
          <w:rFonts w:ascii="Times New Roman" w:hAnsi="Times New Roman" w:cs="Times New Roman"/>
          <w:sz w:val="24"/>
          <w:szCs w:val="24"/>
        </w:rPr>
        <w:t xml:space="preserve">had </w:t>
      </w:r>
      <w:r w:rsidRPr="000C1D84">
        <w:rPr>
          <w:rFonts w:ascii="Times New Roman" w:hAnsi="Times New Roman" w:cs="Times New Roman"/>
          <w:sz w:val="24"/>
          <w:szCs w:val="24"/>
        </w:rPr>
        <w:t xml:space="preserve">submitted a type approval application for the type evaluation of the electronic open road tolling points and the project was registered with </w:t>
      </w:r>
      <w:r w:rsidR="00B35C32" w:rsidRPr="000C1D84">
        <w:rPr>
          <w:rFonts w:ascii="Times New Roman" w:hAnsi="Times New Roman" w:cs="Times New Roman"/>
          <w:sz w:val="24"/>
          <w:szCs w:val="24"/>
        </w:rPr>
        <w:t xml:space="preserve">the </w:t>
      </w:r>
      <w:r w:rsidRPr="000C1D84">
        <w:rPr>
          <w:rFonts w:ascii="Times New Roman" w:hAnsi="Times New Roman" w:cs="Times New Roman"/>
          <w:sz w:val="24"/>
          <w:szCs w:val="24"/>
        </w:rPr>
        <w:t>NRCS</w:t>
      </w:r>
      <w:r w:rsidR="00B35C32" w:rsidRPr="000C1D84">
        <w:rPr>
          <w:rFonts w:ascii="Times New Roman" w:hAnsi="Times New Roman" w:cs="Times New Roman"/>
          <w:sz w:val="24"/>
          <w:szCs w:val="24"/>
        </w:rPr>
        <w:t>’s</w:t>
      </w:r>
      <w:r w:rsidRPr="000C1D84">
        <w:rPr>
          <w:rFonts w:ascii="Times New Roman" w:hAnsi="Times New Roman" w:cs="Times New Roman"/>
          <w:sz w:val="24"/>
          <w:szCs w:val="24"/>
        </w:rPr>
        <w:t xml:space="preserve"> Legal Metrology-Type Approval on 30 August 2017. The turn-around time for the Type Approval process is 120 </w:t>
      </w:r>
      <w:r w:rsidR="00B35C32" w:rsidRPr="000C1D84">
        <w:rPr>
          <w:rFonts w:ascii="Times New Roman" w:hAnsi="Times New Roman" w:cs="Times New Roman"/>
          <w:sz w:val="24"/>
          <w:szCs w:val="24"/>
        </w:rPr>
        <w:t xml:space="preserve">calendar </w:t>
      </w:r>
      <w:r w:rsidRPr="000C1D84">
        <w:rPr>
          <w:rFonts w:ascii="Times New Roman" w:hAnsi="Times New Roman" w:cs="Times New Roman"/>
          <w:sz w:val="24"/>
          <w:szCs w:val="24"/>
        </w:rPr>
        <w:t xml:space="preserve">days. The supplier </w:t>
      </w:r>
      <w:r w:rsidR="00B35C32" w:rsidRPr="000C1D84">
        <w:rPr>
          <w:rFonts w:ascii="Times New Roman" w:hAnsi="Times New Roman" w:cs="Times New Roman"/>
          <w:sz w:val="24"/>
          <w:szCs w:val="24"/>
        </w:rPr>
        <w:t xml:space="preserve">would </w:t>
      </w:r>
      <w:r w:rsidRPr="000C1D84">
        <w:rPr>
          <w:rFonts w:ascii="Times New Roman" w:hAnsi="Times New Roman" w:cs="Times New Roman"/>
          <w:sz w:val="24"/>
          <w:szCs w:val="24"/>
        </w:rPr>
        <w:t xml:space="preserve">also be responsible for the verification of the systems and they have applied to </w:t>
      </w:r>
      <w:r w:rsidR="00B35C32" w:rsidRPr="000C1D84">
        <w:rPr>
          <w:rFonts w:ascii="Times New Roman" w:hAnsi="Times New Roman" w:cs="Times New Roman"/>
          <w:sz w:val="24"/>
          <w:szCs w:val="24"/>
        </w:rPr>
        <w:t xml:space="preserve">the </w:t>
      </w:r>
      <w:r w:rsidRPr="000C1D84">
        <w:rPr>
          <w:rFonts w:ascii="Times New Roman" w:hAnsi="Times New Roman" w:cs="Times New Roman"/>
          <w:sz w:val="24"/>
          <w:szCs w:val="24"/>
        </w:rPr>
        <w:t xml:space="preserve">SANAS to become a </w:t>
      </w:r>
      <w:r w:rsidR="00B35C32" w:rsidRPr="000C1D84">
        <w:rPr>
          <w:rFonts w:ascii="Times New Roman" w:hAnsi="Times New Roman" w:cs="Times New Roman"/>
          <w:sz w:val="24"/>
          <w:szCs w:val="24"/>
        </w:rPr>
        <w:t xml:space="preserve">verification body </w:t>
      </w:r>
      <w:r w:rsidRPr="000C1D84">
        <w:rPr>
          <w:rFonts w:ascii="Times New Roman" w:hAnsi="Times New Roman" w:cs="Times New Roman"/>
          <w:sz w:val="24"/>
          <w:szCs w:val="24"/>
        </w:rPr>
        <w:t>in terms of SANS10378 for the verification of these systems. The supplier is in the process of developing their own management system and ensuring that their respective verification officers are qualified as part of compliance to SANS10378. The verification body will be designated by</w:t>
      </w:r>
      <w:r w:rsidR="00B35C32" w:rsidRPr="000C1D84">
        <w:rPr>
          <w:rFonts w:ascii="Times New Roman" w:hAnsi="Times New Roman" w:cs="Times New Roman"/>
          <w:sz w:val="24"/>
          <w:szCs w:val="24"/>
        </w:rPr>
        <w:t xml:space="preserve"> the</w:t>
      </w:r>
      <w:r w:rsidRPr="000C1D84">
        <w:rPr>
          <w:rFonts w:ascii="Times New Roman" w:hAnsi="Times New Roman" w:cs="Times New Roman"/>
          <w:sz w:val="24"/>
          <w:szCs w:val="24"/>
        </w:rPr>
        <w:t xml:space="preserve"> NRCS to perform </w:t>
      </w:r>
      <w:r w:rsidR="00B35C32" w:rsidRPr="000C1D84">
        <w:rPr>
          <w:rFonts w:ascii="Times New Roman" w:hAnsi="Times New Roman" w:cs="Times New Roman"/>
          <w:sz w:val="24"/>
          <w:szCs w:val="24"/>
        </w:rPr>
        <w:t xml:space="preserve">legal metrology </w:t>
      </w:r>
      <w:r w:rsidRPr="000C1D84">
        <w:rPr>
          <w:rFonts w:ascii="Times New Roman" w:hAnsi="Times New Roman" w:cs="Times New Roman"/>
          <w:sz w:val="24"/>
          <w:szCs w:val="24"/>
        </w:rPr>
        <w:t>verifications in terms of the Legal Metrology Act</w:t>
      </w:r>
      <w:r w:rsidR="00B35C32" w:rsidRPr="000C1D84">
        <w:rPr>
          <w:rFonts w:ascii="Times New Roman" w:hAnsi="Times New Roman" w:cs="Times New Roman"/>
          <w:sz w:val="24"/>
          <w:szCs w:val="24"/>
        </w:rPr>
        <w:t xml:space="preserve"> </w:t>
      </w:r>
      <w:r w:rsidRPr="000C1D84">
        <w:rPr>
          <w:rFonts w:ascii="Times New Roman" w:hAnsi="Times New Roman" w:cs="Times New Roman"/>
          <w:sz w:val="24"/>
          <w:szCs w:val="24"/>
        </w:rPr>
        <w:t xml:space="preserve">once accreditation is in place. Verifications on each </w:t>
      </w:r>
      <w:r w:rsidR="00091948" w:rsidRPr="000C1D84">
        <w:rPr>
          <w:rFonts w:ascii="Times New Roman" w:hAnsi="Times New Roman" w:cs="Times New Roman"/>
          <w:sz w:val="24"/>
          <w:szCs w:val="24"/>
        </w:rPr>
        <w:t>e-</w:t>
      </w:r>
      <w:r w:rsidRPr="000C1D84">
        <w:rPr>
          <w:rFonts w:ascii="Times New Roman" w:hAnsi="Times New Roman" w:cs="Times New Roman"/>
          <w:sz w:val="24"/>
          <w:szCs w:val="24"/>
        </w:rPr>
        <w:t xml:space="preserve">tolling point </w:t>
      </w:r>
      <w:r w:rsidR="00B35C32" w:rsidRPr="000C1D84">
        <w:rPr>
          <w:rFonts w:ascii="Times New Roman" w:hAnsi="Times New Roman" w:cs="Times New Roman"/>
          <w:sz w:val="24"/>
          <w:szCs w:val="24"/>
        </w:rPr>
        <w:t xml:space="preserve">should then </w:t>
      </w:r>
      <w:r w:rsidRPr="000C1D84">
        <w:rPr>
          <w:rFonts w:ascii="Times New Roman" w:hAnsi="Times New Roman" w:cs="Times New Roman"/>
          <w:sz w:val="24"/>
          <w:szCs w:val="24"/>
        </w:rPr>
        <w:t>take place at intervals not exceeding 12 months.</w:t>
      </w:r>
    </w:p>
    <w:p w14:paraId="75724488" w14:textId="77777777" w:rsidR="004909C3" w:rsidRPr="00E44ACB" w:rsidRDefault="004909C3" w:rsidP="000C1D84">
      <w:pPr>
        <w:pStyle w:val="ListParagraph"/>
        <w:spacing w:line="360" w:lineRule="auto"/>
        <w:rPr>
          <w:rFonts w:ascii="Times New Roman" w:hAnsi="Times New Roman" w:cs="Times New Roman"/>
          <w:sz w:val="24"/>
          <w:szCs w:val="24"/>
        </w:rPr>
      </w:pPr>
    </w:p>
    <w:p w14:paraId="3BBC1935" w14:textId="77777777" w:rsidR="008F0038" w:rsidRDefault="00037D0F" w:rsidP="008F0038">
      <w:pPr>
        <w:pStyle w:val="ListParagraph"/>
        <w:numPr>
          <w:ilvl w:val="2"/>
          <w:numId w:val="36"/>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 xml:space="preserve">Status of the electro-technical LOA backlog: </w:t>
      </w:r>
      <w:r w:rsidRPr="008F0038">
        <w:rPr>
          <w:rFonts w:ascii="Times New Roman" w:hAnsi="Times New Roman" w:cs="Times New Roman"/>
          <w:sz w:val="24"/>
          <w:szCs w:val="24"/>
        </w:rPr>
        <w:t>The Committee welcomed the progress made by the NRCS but was concern</w:t>
      </w:r>
      <w:r w:rsidR="00C1382B" w:rsidRPr="008F0038">
        <w:rPr>
          <w:rFonts w:ascii="Times New Roman" w:hAnsi="Times New Roman" w:cs="Times New Roman"/>
          <w:sz w:val="24"/>
          <w:szCs w:val="24"/>
        </w:rPr>
        <w:t>ed</w:t>
      </w:r>
      <w:r w:rsidRPr="008F0038">
        <w:rPr>
          <w:rFonts w:ascii="Times New Roman" w:hAnsi="Times New Roman" w:cs="Times New Roman"/>
          <w:sz w:val="24"/>
          <w:szCs w:val="24"/>
        </w:rPr>
        <w:t xml:space="preserve"> about the </w:t>
      </w:r>
      <w:r w:rsidR="00C1382B" w:rsidRPr="008F0038">
        <w:rPr>
          <w:rFonts w:ascii="Times New Roman" w:hAnsi="Times New Roman" w:cs="Times New Roman"/>
          <w:sz w:val="24"/>
          <w:szCs w:val="24"/>
        </w:rPr>
        <w:t xml:space="preserve">remaining </w:t>
      </w:r>
      <w:r w:rsidRPr="008F0038">
        <w:rPr>
          <w:rFonts w:ascii="Times New Roman" w:hAnsi="Times New Roman" w:cs="Times New Roman"/>
          <w:sz w:val="24"/>
          <w:szCs w:val="24"/>
        </w:rPr>
        <w:t xml:space="preserve">backlogs. The Committee enquired to the current status of the backlogs. The NRCS informed the Committee that as at the end of </w:t>
      </w:r>
      <w:r w:rsidR="00C1382B" w:rsidRPr="008F0038">
        <w:rPr>
          <w:rFonts w:ascii="Times New Roman" w:hAnsi="Times New Roman" w:cs="Times New Roman"/>
          <w:sz w:val="24"/>
          <w:szCs w:val="24"/>
        </w:rPr>
        <w:t xml:space="preserve">the </w:t>
      </w:r>
      <w:r w:rsidRPr="008F0038">
        <w:rPr>
          <w:rFonts w:ascii="Times New Roman" w:hAnsi="Times New Roman" w:cs="Times New Roman"/>
          <w:sz w:val="24"/>
          <w:szCs w:val="24"/>
        </w:rPr>
        <w:t>2016/17</w:t>
      </w:r>
      <w:r w:rsidR="00C1382B" w:rsidRPr="008F0038">
        <w:rPr>
          <w:rFonts w:ascii="Times New Roman" w:hAnsi="Times New Roman" w:cs="Times New Roman"/>
          <w:sz w:val="24"/>
          <w:szCs w:val="24"/>
        </w:rPr>
        <w:t xml:space="preserve"> financial year</w:t>
      </w:r>
      <w:r w:rsidRPr="008F0038">
        <w:rPr>
          <w:rFonts w:ascii="Times New Roman" w:hAnsi="Times New Roman" w:cs="Times New Roman"/>
          <w:sz w:val="24"/>
          <w:szCs w:val="24"/>
        </w:rPr>
        <w:t xml:space="preserve">, </w:t>
      </w:r>
      <w:r w:rsidR="00C1382B" w:rsidRPr="008F0038">
        <w:rPr>
          <w:rFonts w:ascii="Times New Roman" w:hAnsi="Times New Roman" w:cs="Times New Roman"/>
          <w:sz w:val="24"/>
          <w:szCs w:val="24"/>
        </w:rPr>
        <w:t xml:space="preserve">the </w:t>
      </w:r>
      <w:r w:rsidRPr="008F0038">
        <w:rPr>
          <w:rFonts w:ascii="Times New Roman" w:hAnsi="Times New Roman" w:cs="Times New Roman"/>
          <w:sz w:val="24"/>
          <w:szCs w:val="24"/>
        </w:rPr>
        <w:t xml:space="preserve">Electro-technical Business Unit </w:t>
      </w:r>
      <w:r w:rsidR="00C1382B" w:rsidRPr="008F0038">
        <w:rPr>
          <w:rFonts w:ascii="Times New Roman" w:hAnsi="Times New Roman" w:cs="Times New Roman"/>
          <w:sz w:val="24"/>
          <w:szCs w:val="24"/>
        </w:rPr>
        <w:t xml:space="preserve">had </w:t>
      </w:r>
      <w:r w:rsidRPr="008F0038">
        <w:rPr>
          <w:rFonts w:ascii="Times New Roman" w:hAnsi="Times New Roman" w:cs="Times New Roman"/>
          <w:sz w:val="24"/>
          <w:szCs w:val="24"/>
        </w:rPr>
        <w:t>carried over 2</w:t>
      </w:r>
      <w:r w:rsidR="00C1382B" w:rsidRPr="008F0038">
        <w:rPr>
          <w:rFonts w:ascii="Times New Roman" w:hAnsi="Times New Roman" w:cs="Times New Roman"/>
          <w:sz w:val="24"/>
          <w:szCs w:val="24"/>
        </w:rPr>
        <w:t> </w:t>
      </w:r>
      <w:r w:rsidRPr="008F0038">
        <w:rPr>
          <w:rFonts w:ascii="Times New Roman" w:hAnsi="Times New Roman" w:cs="Times New Roman"/>
          <w:sz w:val="24"/>
          <w:szCs w:val="24"/>
        </w:rPr>
        <w:t>955 application</w:t>
      </w:r>
      <w:r w:rsidR="00C1382B" w:rsidRPr="008F0038">
        <w:rPr>
          <w:rFonts w:ascii="Times New Roman" w:hAnsi="Times New Roman" w:cs="Times New Roman"/>
          <w:sz w:val="24"/>
          <w:szCs w:val="24"/>
        </w:rPr>
        <w:t>s</w:t>
      </w:r>
      <w:r w:rsidRPr="008F0038">
        <w:rPr>
          <w:rFonts w:ascii="Times New Roman" w:hAnsi="Times New Roman" w:cs="Times New Roman"/>
          <w:sz w:val="24"/>
          <w:szCs w:val="24"/>
        </w:rPr>
        <w:t xml:space="preserve"> to the </w:t>
      </w:r>
      <w:r w:rsidR="00C1382B" w:rsidRPr="008F0038">
        <w:rPr>
          <w:rFonts w:ascii="Times New Roman" w:hAnsi="Times New Roman" w:cs="Times New Roman"/>
          <w:sz w:val="24"/>
          <w:szCs w:val="24"/>
        </w:rPr>
        <w:t>fir</w:t>
      </w:r>
      <w:r w:rsidRPr="008F0038">
        <w:rPr>
          <w:rFonts w:ascii="Times New Roman" w:hAnsi="Times New Roman" w:cs="Times New Roman"/>
          <w:sz w:val="24"/>
          <w:szCs w:val="24"/>
        </w:rPr>
        <w:t xml:space="preserve">st quarter of </w:t>
      </w:r>
      <w:r w:rsidR="00C1382B" w:rsidRPr="008F0038">
        <w:rPr>
          <w:rFonts w:ascii="Times New Roman" w:hAnsi="Times New Roman" w:cs="Times New Roman"/>
          <w:sz w:val="24"/>
          <w:szCs w:val="24"/>
        </w:rPr>
        <w:t xml:space="preserve">the </w:t>
      </w:r>
      <w:r w:rsidRPr="008F0038">
        <w:rPr>
          <w:rFonts w:ascii="Times New Roman" w:hAnsi="Times New Roman" w:cs="Times New Roman"/>
          <w:sz w:val="24"/>
          <w:szCs w:val="24"/>
        </w:rPr>
        <w:t>2017/18</w:t>
      </w:r>
      <w:r w:rsidR="00C1382B" w:rsidRPr="008F0038">
        <w:rPr>
          <w:rFonts w:ascii="Times New Roman" w:hAnsi="Times New Roman" w:cs="Times New Roman"/>
          <w:sz w:val="24"/>
          <w:szCs w:val="24"/>
        </w:rPr>
        <w:t xml:space="preserve"> financial year</w:t>
      </w:r>
      <w:r w:rsidRPr="008F0038">
        <w:rPr>
          <w:rFonts w:ascii="Times New Roman" w:hAnsi="Times New Roman" w:cs="Times New Roman"/>
          <w:sz w:val="24"/>
          <w:szCs w:val="24"/>
        </w:rPr>
        <w:t xml:space="preserve">.  During </w:t>
      </w:r>
      <w:r w:rsidR="00C1382B" w:rsidRPr="008F0038">
        <w:rPr>
          <w:rFonts w:ascii="Times New Roman" w:hAnsi="Times New Roman" w:cs="Times New Roman"/>
          <w:sz w:val="24"/>
          <w:szCs w:val="24"/>
        </w:rPr>
        <w:t>the fir</w:t>
      </w:r>
      <w:r w:rsidRPr="008F0038">
        <w:rPr>
          <w:rFonts w:ascii="Times New Roman" w:hAnsi="Times New Roman" w:cs="Times New Roman"/>
          <w:sz w:val="24"/>
          <w:szCs w:val="24"/>
        </w:rPr>
        <w:t>st quarter, 3</w:t>
      </w:r>
      <w:r w:rsidR="00C1382B" w:rsidRPr="008F0038">
        <w:rPr>
          <w:rFonts w:ascii="Times New Roman" w:hAnsi="Times New Roman" w:cs="Times New Roman"/>
          <w:sz w:val="24"/>
          <w:szCs w:val="24"/>
        </w:rPr>
        <w:t> </w:t>
      </w:r>
      <w:r w:rsidRPr="008F0038">
        <w:rPr>
          <w:rFonts w:ascii="Times New Roman" w:hAnsi="Times New Roman" w:cs="Times New Roman"/>
          <w:sz w:val="24"/>
          <w:szCs w:val="24"/>
        </w:rPr>
        <w:t xml:space="preserve">545 </w:t>
      </w:r>
      <w:r w:rsidR="00C1382B" w:rsidRPr="008F0038">
        <w:rPr>
          <w:rFonts w:ascii="Times New Roman" w:hAnsi="Times New Roman" w:cs="Times New Roman"/>
          <w:sz w:val="24"/>
          <w:szCs w:val="24"/>
        </w:rPr>
        <w:t xml:space="preserve">new </w:t>
      </w:r>
      <w:r w:rsidRPr="008F0038">
        <w:rPr>
          <w:rFonts w:ascii="Times New Roman" w:hAnsi="Times New Roman" w:cs="Times New Roman"/>
          <w:sz w:val="24"/>
          <w:szCs w:val="24"/>
        </w:rPr>
        <w:t xml:space="preserve">applications </w:t>
      </w:r>
      <w:r w:rsidR="00C1382B" w:rsidRPr="008F0038">
        <w:rPr>
          <w:rFonts w:ascii="Times New Roman" w:hAnsi="Times New Roman" w:cs="Times New Roman"/>
          <w:sz w:val="24"/>
          <w:szCs w:val="24"/>
        </w:rPr>
        <w:t xml:space="preserve">had been </w:t>
      </w:r>
      <w:r w:rsidRPr="008F0038">
        <w:rPr>
          <w:rFonts w:ascii="Times New Roman" w:hAnsi="Times New Roman" w:cs="Times New Roman"/>
          <w:sz w:val="24"/>
          <w:szCs w:val="24"/>
        </w:rPr>
        <w:t>received</w:t>
      </w:r>
      <w:r w:rsidR="00C1382B" w:rsidRPr="008F0038">
        <w:rPr>
          <w:rFonts w:ascii="Times New Roman" w:hAnsi="Times New Roman" w:cs="Times New Roman"/>
          <w:sz w:val="24"/>
          <w:szCs w:val="24"/>
        </w:rPr>
        <w:t>,</w:t>
      </w:r>
      <w:r w:rsidRPr="008F0038">
        <w:rPr>
          <w:rFonts w:ascii="Times New Roman" w:hAnsi="Times New Roman" w:cs="Times New Roman"/>
          <w:sz w:val="24"/>
          <w:szCs w:val="24"/>
        </w:rPr>
        <w:t xml:space="preserve"> </w:t>
      </w:r>
      <w:r w:rsidR="00C1382B" w:rsidRPr="008F0038">
        <w:rPr>
          <w:rFonts w:ascii="Times New Roman" w:hAnsi="Times New Roman" w:cs="Times New Roman"/>
          <w:sz w:val="24"/>
          <w:szCs w:val="24"/>
        </w:rPr>
        <w:t xml:space="preserve">creating a </w:t>
      </w:r>
      <w:r w:rsidRPr="008F0038">
        <w:rPr>
          <w:rFonts w:ascii="Times New Roman" w:hAnsi="Times New Roman" w:cs="Times New Roman"/>
          <w:sz w:val="24"/>
          <w:szCs w:val="24"/>
        </w:rPr>
        <w:t xml:space="preserve">total workload </w:t>
      </w:r>
      <w:r w:rsidR="00C1382B" w:rsidRPr="008F0038">
        <w:rPr>
          <w:rFonts w:ascii="Times New Roman" w:hAnsi="Times New Roman" w:cs="Times New Roman"/>
          <w:sz w:val="24"/>
          <w:szCs w:val="24"/>
        </w:rPr>
        <w:t xml:space="preserve">of </w:t>
      </w:r>
      <w:r w:rsidRPr="008F0038">
        <w:rPr>
          <w:rFonts w:ascii="Times New Roman" w:hAnsi="Times New Roman" w:cs="Times New Roman"/>
          <w:sz w:val="24"/>
          <w:szCs w:val="24"/>
        </w:rPr>
        <w:t>6</w:t>
      </w:r>
      <w:r w:rsidR="00C1382B" w:rsidRPr="008F0038">
        <w:rPr>
          <w:rFonts w:ascii="Times New Roman" w:hAnsi="Times New Roman" w:cs="Times New Roman"/>
          <w:sz w:val="24"/>
          <w:szCs w:val="24"/>
        </w:rPr>
        <w:t> </w:t>
      </w:r>
      <w:r w:rsidRPr="008F0038">
        <w:rPr>
          <w:rFonts w:ascii="Times New Roman" w:hAnsi="Times New Roman" w:cs="Times New Roman"/>
          <w:sz w:val="24"/>
          <w:szCs w:val="24"/>
        </w:rPr>
        <w:t>500</w:t>
      </w:r>
      <w:r w:rsidR="00C1382B" w:rsidRPr="008F0038">
        <w:rPr>
          <w:rFonts w:ascii="Times New Roman" w:hAnsi="Times New Roman" w:cs="Times New Roman"/>
          <w:sz w:val="24"/>
          <w:szCs w:val="24"/>
        </w:rPr>
        <w:t xml:space="preserve"> applications</w:t>
      </w:r>
      <w:r w:rsidRPr="008F0038">
        <w:rPr>
          <w:rFonts w:ascii="Times New Roman" w:hAnsi="Times New Roman" w:cs="Times New Roman"/>
          <w:sz w:val="24"/>
          <w:szCs w:val="24"/>
        </w:rPr>
        <w:t xml:space="preserve">.  During the </w:t>
      </w:r>
      <w:r w:rsidR="00C1382B" w:rsidRPr="008F0038">
        <w:rPr>
          <w:rFonts w:ascii="Times New Roman" w:hAnsi="Times New Roman" w:cs="Times New Roman"/>
          <w:sz w:val="24"/>
          <w:szCs w:val="24"/>
        </w:rPr>
        <w:t>fir</w:t>
      </w:r>
      <w:r w:rsidRPr="008F0038">
        <w:rPr>
          <w:rFonts w:ascii="Times New Roman" w:hAnsi="Times New Roman" w:cs="Times New Roman"/>
          <w:sz w:val="24"/>
          <w:szCs w:val="24"/>
        </w:rPr>
        <w:t xml:space="preserve">st </w:t>
      </w:r>
      <w:r w:rsidR="00C1382B" w:rsidRPr="008F0038">
        <w:rPr>
          <w:rFonts w:ascii="Times New Roman" w:hAnsi="Times New Roman" w:cs="Times New Roman"/>
          <w:sz w:val="24"/>
          <w:szCs w:val="24"/>
        </w:rPr>
        <w:t>quarter</w:t>
      </w:r>
      <w:r w:rsidRPr="008F0038">
        <w:rPr>
          <w:rFonts w:ascii="Times New Roman" w:hAnsi="Times New Roman" w:cs="Times New Roman"/>
          <w:sz w:val="24"/>
          <w:szCs w:val="24"/>
        </w:rPr>
        <w:t>, 1</w:t>
      </w:r>
      <w:r w:rsidR="00C1382B" w:rsidRPr="008F0038">
        <w:rPr>
          <w:rFonts w:ascii="Times New Roman" w:hAnsi="Times New Roman" w:cs="Times New Roman"/>
          <w:sz w:val="24"/>
          <w:szCs w:val="24"/>
        </w:rPr>
        <w:t> </w:t>
      </w:r>
      <w:r w:rsidRPr="008F0038">
        <w:rPr>
          <w:rFonts w:ascii="Times New Roman" w:hAnsi="Times New Roman" w:cs="Times New Roman"/>
          <w:sz w:val="24"/>
          <w:szCs w:val="24"/>
        </w:rPr>
        <w:t>942 applications were approved and 1</w:t>
      </w:r>
      <w:r w:rsidR="00C1382B" w:rsidRPr="008F0038">
        <w:rPr>
          <w:rFonts w:ascii="Times New Roman" w:hAnsi="Times New Roman" w:cs="Times New Roman"/>
          <w:sz w:val="24"/>
          <w:szCs w:val="24"/>
        </w:rPr>
        <w:t> </w:t>
      </w:r>
      <w:r w:rsidRPr="008F0038">
        <w:rPr>
          <w:rFonts w:ascii="Times New Roman" w:hAnsi="Times New Roman" w:cs="Times New Roman"/>
          <w:sz w:val="24"/>
          <w:szCs w:val="24"/>
        </w:rPr>
        <w:t>076</w:t>
      </w:r>
      <w:r w:rsidR="00C1382B" w:rsidRPr="008F0038">
        <w:rPr>
          <w:rFonts w:ascii="Times New Roman" w:hAnsi="Times New Roman" w:cs="Times New Roman"/>
          <w:sz w:val="24"/>
          <w:szCs w:val="24"/>
        </w:rPr>
        <w:t xml:space="preserve"> applications</w:t>
      </w:r>
      <w:r w:rsidRPr="008F0038">
        <w:rPr>
          <w:rFonts w:ascii="Times New Roman" w:hAnsi="Times New Roman" w:cs="Times New Roman"/>
          <w:sz w:val="24"/>
          <w:szCs w:val="24"/>
        </w:rPr>
        <w:t xml:space="preserve"> were rejected or cancelled resulting </w:t>
      </w:r>
      <w:r w:rsidR="009F7880" w:rsidRPr="008F0038">
        <w:rPr>
          <w:rFonts w:ascii="Times New Roman" w:hAnsi="Times New Roman" w:cs="Times New Roman"/>
          <w:sz w:val="24"/>
          <w:szCs w:val="24"/>
        </w:rPr>
        <w:t xml:space="preserve">in </w:t>
      </w:r>
      <w:r w:rsidRPr="008F0038">
        <w:rPr>
          <w:rFonts w:ascii="Times New Roman" w:hAnsi="Times New Roman" w:cs="Times New Roman"/>
          <w:sz w:val="24"/>
          <w:szCs w:val="24"/>
        </w:rPr>
        <w:t>3</w:t>
      </w:r>
      <w:r w:rsidR="009F7880" w:rsidRPr="008F0038">
        <w:rPr>
          <w:rFonts w:ascii="Times New Roman" w:hAnsi="Times New Roman" w:cs="Times New Roman"/>
          <w:sz w:val="24"/>
          <w:szCs w:val="24"/>
        </w:rPr>
        <w:t> </w:t>
      </w:r>
      <w:r w:rsidRPr="008F0038">
        <w:rPr>
          <w:rFonts w:ascii="Times New Roman" w:hAnsi="Times New Roman" w:cs="Times New Roman"/>
          <w:sz w:val="24"/>
          <w:szCs w:val="24"/>
        </w:rPr>
        <w:t xml:space="preserve">482 </w:t>
      </w:r>
      <w:r w:rsidR="009F7880" w:rsidRPr="008F0038">
        <w:rPr>
          <w:rFonts w:ascii="Times New Roman" w:hAnsi="Times New Roman" w:cs="Times New Roman"/>
          <w:sz w:val="24"/>
          <w:szCs w:val="24"/>
        </w:rPr>
        <w:t xml:space="preserve">applications being </w:t>
      </w:r>
      <w:r w:rsidRPr="008F0038">
        <w:rPr>
          <w:rFonts w:ascii="Times New Roman" w:hAnsi="Times New Roman" w:cs="Times New Roman"/>
          <w:sz w:val="24"/>
          <w:szCs w:val="24"/>
        </w:rPr>
        <w:t xml:space="preserve">carried over to the </w:t>
      </w:r>
      <w:r w:rsidR="009F7880" w:rsidRPr="008F0038">
        <w:rPr>
          <w:rFonts w:ascii="Times New Roman" w:hAnsi="Times New Roman" w:cs="Times New Roman"/>
          <w:sz w:val="24"/>
          <w:szCs w:val="24"/>
        </w:rPr>
        <w:t>seco</w:t>
      </w:r>
      <w:r w:rsidRPr="008F0038">
        <w:rPr>
          <w:rFonts w:ascii="Times New Roman" w:hAnsi="Times New Roman" w:cs="Times New Roman"/>
          <w:sz w:val="24"/>
          <w:szCs w:val="24"/>
        </w:rPr>
        <w:t>nd quarter.  Out of the approved applications, 1 269 of the 1</w:t>
      </w:r>
      <w:r w:rsidR="009F7880" w:rsidRPr="008F0038">
        <w:rPr>
          <w:rFonts w:ascii="Times New Roman" w:hAnsi="Times New Roman" w:cs="Times New Roman"/>
          <w:sz w:val="24"/>
          <w:szCs w:val="24"/>
        </w:rPr>
        <w:t> </w:t>
      </w:r>
      <w:r w:rsidRPr="008F0038">
        <w:rPr>
          <w:rFonts w:ascii="Times New Roman" w:hAnsi="Times New Roman" w:cs="Times New Roman"/>
          <w:sz w:val="24"/>
          <w:szCs w:val="24"/>
        </w:rPr>
        <w:t>942</w:t>
      </w:r>
      <w:r w:rsidR="009F7880" w:rsidRPr="008F0038">
        <w:rPr>
          <w:rFonts w:ascii="Times New Roman" w:hAnsi="Times New Roman" w:cs="Times New Roman"/>
          <w:sz w:val="24"/>
          <w:szCs w:val="24"/>
        </w:rPr>
        <w:t xml:space="preserve"> applications</w:t>
      </w:r>
      <w:r w:rsidRPr="008F0038">
        <w:rPr>
          <w:rFonts w:ascii="Times New Roman" w:hAnsi="Times New Roman" w:cs="Times New Roman"/>
          <w:sz w:val="24"/>
          <w:szCs w:val="24"/>
        </w:rPr>
        <w:t xml:space="preserve">, </w:t>
      </w:r>
      <w:r w:rsidR="009F7880" w:rsidRPr="008F0038">
        <w:rPr>
          <w:rFonts w:ascii="Times New Roman" w:hAnsi="Times New Roman" w:cs="Times New Roman"/>
          <w:sz w:val="24"/>
          <w:szCs w:val="24"/>
        </w:rPr>
        <w:t xml:space="preserve">had been </w:t>
      </w:r>
      <w:r w:rsidRPr="008F0038">
        <w:rPr>
          <w:rFonts w:ascii="Times New Roman" w:hAnsi="Times New Roman" w:cs="Times New Roman"/>
          <w:sz w:val="24"/>
          <w:szCs w:val="24"/>
        </w:rPr>
        <w:t>approved within 120 calendar days. From the carried over applications</w:t>
      </w:r>
      <w:r w:rsidR="009F7880" w:rsidRPr="008F0038">
        <w:rPr>
          <w:rFonts w:ascii="Times New Roman" w:hAnsi="Times New Roman" w:cs="Times New Roman"/>
          <w:sz w:val="24"/>
          <w:szCs w:val="24"/>
        </w:rPr>
        <w:t>,</w:t>
      </w:r>
      <w:r w:rsidRPr="008F0038">
        <w:rPr>
          <w:rFonts w:ascii="Times New Roman" w:hAnsi="Times New Roman" w:cs="Times New Roman"/>
          <w:sz w:val="24"/>
          <w:szCs w:val="24"/>
        </w:rPr>
        <w:t xml:space="preserve"> 229 out of 3</w:t>
      </w:r>
      <w:r w:rsidR="009F7880" w:rsidRPr="008F0038">
        <w:rPr>
          <w:rFonts w:ascii="Times New Roman" w:hAnsi="Times New Roman" w:cs="Times New Roman"/>
          <w:sz w:val="24"/>
          <w:szCs w:val="24"/>
        </w:rPr>
        <w:t> </w:t>
      </w:r>
      <w:r w:rsidRPr="008F0038">
        <w:rPr>
          <w:rFonts w:ascii="Times New Roman" w:hAnsi="Times New Roman" w:cs="Times New Roman"/>
          <w:sz w:val="24"/>
          <w:szCs w:val="24"/>
        </w:rPr>
        <w:t xml:space="preserve">482 applications were </w:t>
      </w:r>
      <w:r w:rsidR="009F7880" w:rsidRPr="008F0038">
        <w:rPr>
          <w:rFonts w:ascii="Times New Roman" w:hAnsi="Times New Roman" w:cs="Times New Roman"/>
          <w:sz w:val="24"/>
          <w:szCs w:val="24"/>
        </w:rPr>
        <w:t xml:space="preserve">over the </w:t>
      </w:r>
      <w:r w:rsidRPr="008F0038">
        <w:rPr>
          <w:rFonts w:ascii="Times New Roman" w:hAnsi="Times New Roman" w:cs="Times New Roman"/>
          <w:sz w:val="24"/>
          <w:szCs w:val="24"/>
        </w:rPr>
        <w:t xml:space="preserve">120 calendar days. Furthermore, the NRCS appointed </w:t>
      </w:r>
      <w:r w:rsidR="009F7880" w:rsidRPr="008F0038">
        <w:rPr>
          <w:rFonts w:ascii="Times New Roman" w:hAnsi="Times New Roman" w:cs="Times New Roman"/>
          <w:sz w:val="24"/>
          <w:szCs w:val="24"/>
        </w:rPr>
        <w:t>six</w:t>
      </w:r>
      <w:r w:rsidRPr="008F0038">
        <w:rPr>
          <w:rFonts w:ascii="Times New Roman" w:hAnsi="Times New Roman" w:cs="Times New Roman"/>
          <w:sz w:val="24"/>
          <w:szCs w:val="24"/>
        </w:rPr>
        <w:t xml:space="preserve"> candidate inspectors who </w:t>
      </w:r>
      <w:r w:rsidR="009F7880" w:rsidRPr="008F0038">
        <w:rPr>
          <w:rFonts w:ascii="Times New Roman" w:hAnsi="Times New Roman" w:cs="Times New Roman"/>
          <w:sz w:val="24"/>
          <w:szCs w:val="24"/>
        </w:rPr>
        <w:t xml:space="preserve">were </w:t>
      </w:r>
      <w:r w:rsidRPr="008F0038">
        <w:rPr>
          <w:rFonts w:ascii="Times New Roman" w:hAnsi="Times New Roman" w:cs="Times New Roman"/>
          <w:sz w:val="24"/>
          <w:szCs w:val="24"/>
        </w:rPr>
        <w:t xml:space="preserve">undergoing an accelerated training program. On completion of specific modules, candidate inspectors </w:t>
      </w:r>
      <w:r w:rsidR="009F7880" w:rsidRPr="008F0038">
        <w:rPr>
          <w:rFonts w:ascii="Times New Roman" w:hAnsi="Times New Roman" w:cs="Times New Roman"/>
          <w:sz w:val="24"/>
          <w:szCs w:val="24"/>
        </w:rPr>
        <w:t xml:space="preserve">would </w:t>
      </w:r>
      <w:r w:rsidRPr="008F0038">
        <w:rPr>
          <w:rFonts w:ascii="Times New Roman" w:hAnsi="Times New Roman" w:cs="Times New Roman"/>
          <w:sz w:val="24"/>
          <w:szCs w:val="24"/>
        </w:rPr>
        <w:t xml:space="preserve">be able to evaluate applications.   The </w:t>
      </w:r>
      <w:r w:rsidR="009F7880" w:rsidRPr="008F0038">
        <w:rPr>
          <w:rFonts w:ascii="Times New Roman" w:hAnsi="Times New Roman" w:cs="Times New Roman"/>
          <w:sz w:val="24"/>
          <w:szCs w:val="24"/>
        </w:rPr>
        <w:t xml:space="preserve">risk based approach was being </w:t>
      </w:r>
      <w:r w:rsidRPr="008F0038">
        <w:rPr>
          <w:rFonts w:ascii="Times New Roman" w:hAnsi="Times New Roman" w:cs="Times New Roman"/>
          <w:sz w:val="24"/>
          <w:szCs w:val="24"/>
        </w:rPr>
        <w:t>full</w:t>
      </w:r>
      <w:r w:rsidR="009F7880" w:rsidRPr="008F0038">
        <w:rPr>
          <w:rFonts w:ascii="Times New Roman" w:hAnsi="Times New Roman" w:cs="Times New Roman"/>
          <w:sz w:val="24"/>
          <w:szCs w:val="24"/>
        </w:rPr>
        <w:t>y implemented</w:t>
      </w:r>
      <w:r w:rsidRPr="008F0038">
        <w:rPr>
          <w:rFonts w:ascii="Times New Roman" w:hAnsi="Times New Roman" w:cs="Times New Roman"/>
          <w:sz w:val="24"/>
          <w:szCs w:val="24"/>
        </w:rPr>
        <w:t xml:space="preserve"> manual</w:t>
      </w:r>
      <w:r w:rsidR="009F7880" w:rsidRPr="008F0038">
        <w:rPr>
          <w:rFonts w:ascii="Times New Roman" w:hAnsi="Times New Roman" w:cs="Times New Roman"/>
          <w:sz w:val="24"/>
          <w:szCs w:val="24"/>
        </w:rPr>
        <w:t>ly</w:t>
      </w:r>
      <w:r w:rsidRPr="008F0038">
        <w:rPr>
          <w:rFonts w:ascii="Times New Roman" w:hAnsi="Times New Roman" w:cs="Times New Roman"/>
          <w:sz w:val="24"/>
          <w:szCs w:val="24"/>
        </w:rPr>
        <w:t xml:space="preserve"> using “checklists” to evaluate applications. Furthermore, </w:t>
      </w:r>
      <w:r w:rsidR="009F7880" w:rsidRPr="008F0038">
        <w:rPr>
          <w:rFonts w:ascii="Times New Roman" w:hAnsi="Times New Roman" w:cs="Times New Roman"/>
          <w:sz w:val="24"/>
          <w:szCs w:val="24"/>
        </w:rPr>
        <w:t xml:space="preserve">this approach </w:t>
      </w:r>
      <w:r w:rsidRPr="008F0038">
        <w:rPr>
          <w:rFonts w:ascii="Times New Roman" w:hAnsi="Times New Roman" w:cs="Times New Roman"/>
          <w:sz w:val="24"/>
          <w:szCs w:val="24"/>
        </w:rPr>
        <w:t xml:space="preserve">has been intensified to include </w:t>
      </w:r>
      <w:r w:rsidR="009F7880" w:rsidRPr="008F0038">
        <w:rPr>
          <w:rFonts w:ascii="Times New Roman" w:hAnsi="Times New Roman" w:cs="Times New Roman"/>
          <w:sz w:val="24"/>
          <w:szCs w:val="24"/>
        </w:rPr>
        <w:t xml:space="preserve">low risk </w:t>
      </w:r>
      <w:r w:rsidRPr="008F0038">
        <w:rPr>
          <w:rFonts w:ascii="Times New Roman" w:hAnsi="Times New Roman" w:cs="Times New Roman"/>
          <w:sz w:val="24"/>
          <w:szCs w:val="24"/>
        </w:rPr>
        <w:t xml:space="preserve">and </w:t>
      </w:r>
      <w:r w:rsidR="009F7880" w:rsidRPr="008F0038">
        <w:rPr>
          <w:rFonts w:ascii="Times New Roman" w:hAnsi="Times New Roman" w:cs="Times New Roman"/>
          <w:sz w:val="24"/>
          <w:szCs w:val="24"/>
        </w:rPr>
        <w:t>medium risk applications</w:t>
      </w:r>
      <w:r w:rsidRPr="008F0038">
        <w:rPr>
          <w:rFonts w:ascii="Times New Roman" w:hAnsi="Times New Roman" w:cs="Times New Roman"/>
          <w:sz w:val="24"/>
          <w:szCs w:val="24"/>
        </w:rPr>
        <w:t>.</w:t>
      </w:r>
    </w:p>
    <w:p w14:paraId="3A1FCD36" w14:textId="77777777" w:rsidR="008F0038" w:rsidRDefault="008F0038" w:rsidP="008F0038">
      <w:pPr>
        <w:pStyle w:val="ListParagraph"/>
        <w:spacing w:line="360" w:lineRule="auto"/>
        <w:rPr>
          <w:rFonts w:ascii="Times New Roman" w:hAnsi="Times New Roman" w:cs="Times New Roman"/>
          <w:sz w:val="24"/>
          <w:szCs w:val="24"/>
        </w:rPr>
      </w:pPr>
    </w:p>
    <w:p w14:paraId="71106AFA" w14:textId="77777777" w:rsidR="004C219D" w:rsidRPr="008F0038" w:rsidRDefault="004C219D" w:rsidP="008F0038">
      <w:pPr>
        <w:pStyle w:val="ListParagraph"/>
        <w:numPr>
          <w:ilvl w:val="2"/>
          <w:numId w:val="36"/>
        </w:numPr>
        <w:spacing w:line="360" w:lineRule="auto"/>
        <w:rPr>
          <w:rFonts w:ascii="Times New Roman" w:hAnsi="Times New Roman" w:cs="Times New Roman"/>
          <w:sz w:val="24"/>
          <w:szCs w:val="24"/>
        </w:rPr>
      </w:pPr>
      <w:r w:rsidRPr="008F0038">
        <w:rPr>
          <w:rFonts w:ascii="Times New Roman" w:hAnsi="Times New Roman" w:cs="Times New Roman"/>
          <w:b/>
          <w:i/>
          <w:sz w:val="24"/>
          <w:szCs w:val="24"/>
        </w:rPr>
        <w:t xml:space="preserve">Implementation of the Information and Communication Technology (ICT) system: </w:t>
      </w:r>
      <w:r w:rsidRPr="008F0038">
        <w:rPr>
          <w:rFonts w:ascii="Times New Roman" w:hAnsi="Times New Roman" w:cs="Times New Roman"/>
          <w:sz w:val="24"/>
          <w:szCs w:val="24"/>
        </w:rPr>
        <w:t xml:space="preserve">The Committee raised its concerns around the delay in the implementation of the </w:t>
      </w:r>
      <w:r w:rsidR="00422D1B" w:rsidRPr="008F0038">
        <w:rPr>
          <w:rFonts w:ascii="Times New Roman" w:hAnsi="Times New Roman" w:cs="Times New Roman"/>
          <w:sz w:val="24"/>
          <w:szCs w:val="24"/>
        </w:rPr>
        <w:t xml:space="preserve">upgraded </w:t>
      </w:r>
      <w:r w:rsidRPr="008F0038">
        <w:rPr>
          <w:rFonts w:ascii="Times New Roman" w:hAnsi="Times New Roman" w:cs="Times New Roman"/>
          <w:sz w:val="24"/>
          <w:szCs w:val="24"/>
        </w:rPr>
        <w:t xml:space="preserve">ICT system at the NRCS. Indications </w:t>
      </w:r>
      <w:r w:rsidR="00422D1B" w:rsidRPr="008F0038">
        <w:rPr>
          <w:rFonts w:ascii="Times New Roman" w:hAnsi="Times New Roman" w:cs="Times New Roman"/>
          <w:sz w:val="24"/>
          <w:szCs w:val="24"/>
        </w:rPr>
        <w:t xml:space="preserve">had been </w:t>
      </w:r>
      <w:r w:rsidRPr="008F0038">
        <w:rPr>
          <w:rFonts w:ascii="Times New Roman" w:hAnsi="Times New Roman" w:cs="Times New Roman"/>
          <w:sz w:val="24"/>
          <w:szCs w:val="24"/>
        </w:rPr>
        <w:t>that the ICT</w:t>
      </w:r>
      <w:r w:rsidR="00422D1B" w:rsidRPr="008F0038">
        <w:rPr>
          <w:rFonts w:ascii="Times New Roman" w:hAnsi="Times New Roman" w:cs="Times New Roman"/>
          <w:sz w:val="24"/>
          <w:szCs w:val="24"/>
        </w:rPr>
        <w:t xml:space="preserve"> system</w:t>
      </w:r>
      <w:r w:rsidRPr="008F0038">
        <w:rPr>
          <w:rFonts w:ascii="Times New Roman" w:hAnsi="Times New Roman" w:cs="Times New Roman"/>
          <w:sz w:val="24"/>
          <w:szCs w:val="24"/>
        </w:rPr>
        <w:t xml:space="preserve"> would be implemented by </w:t>
      </w:r>
      <w:r w:rsidR="00422D1B" w:rsidRPr="008F0038">
        <w:rPr>
          <w:rFonts w:ascii="Times New Roman" w:hAnsi="Times New Roman" w:cs="Times New Roman"/>
          <w:sz w:val="24"/>
          <w:szCs w:val="24"/>
        </w:rPr>
        <w:t xml:space="preserve">the beginning </w:t>
      </w:r>
      <w:r w:rsidRPr="008F0038">
        <w:rPr>
          <w:rFonts w:ascii="Times New Roman" w:hAnsi="Times New Roman" w:cs="Times New Roman"/>
          <w:sz w:val="24"/>
          <w:szCs w:val="24"/>
        </w:rPr>
        <w:t xml:space="preserve">of January 2018. The Committee enquired to the status of the ICT system and the reasons for the delay in implementation. The NRCS informed the Committee that the necessary internal skills with respect to </w:t>
      </w:r>
      <w:r w:rsidR="00422D1B" w:rsidRPr="008F0038">
        <w:rPr>
          <w:rFonts w:ascii="Times New Roman" w:hAnsi="Times New Roman" w:cs="Times New Roman"/>
          <w:sz w:val="24"/>
          <w:szCs w:val="24"/>
        </w:rPr>
        <w:t xml:space="preserve">the </w:t>
      </w:r>
      <w:r w:rsidRPr="008F0038">
        <w:rPr>
          <w:rFonts w:ascii="Times New Roman" w:hAnsi="Times New Roman" w:cs="Times New Roman"/>
          <w:sz w:val="24"/>
          <w:szCs w:val="24"/>
        </w:rPr>
        <w:t xml:space="preserve">ICT </w:t>
      </w:r>
      <w:r w:rsidR="00422D1B" w:rsidRPr="008F0038">
        <w:rPr>
          <w:rFonts w:ascii="Times New Roman" w:hAnsi="Times New Roman" w:cs="Times New Roman"/>
          <w:sz w:val="24"/>
          <w:szCs w:val="24"/>
        </w:rPr>
        <w:t xml:space="preserve">system did </w:t>
      </w:r>
      <w:r w:rsidRPr="008F0038">
        <w:rPr>
          <w:rFonts w:ascii="Times New Roman" w:hAnsi="Times New Roman" w:cs="Times New Roman"/>
          <w:sz w:val="24"/>
          <w:szCs w:val="24"/>
        </w:rPr>
        <w:t xml:space="preserve">reside within the organisation. The NRCS had noted the challenges faced by the CIPC during its modernisation process and learnt valuable lessons in this regard. The modernisation project must be led by a dedicated project manager and </w:t>
      </w:r>
      <w:r w:rsidR="00422D1B" w:rsidRPr="008F0038">
        <w:rPr>
          <w:rFonts w:ascii="Times New Roman" w:hAnsi="Times New Roman" w:cs="Times New Roman"/>
          <w:sz w:val="24"/>
          <w:szCs w:val="24"/>
        </w:rPr>
        <w:t xml:space="preserve">it </w:t>
      </w:r>
      <w:r w:rsidRPr="008F0038">
        <w:rPr>
          <w:rFonts w:ascii="Times New Roman" w:hAnsi="Times New Roman" w:cs="Times New Roman"/>
          <w:sz w:val="24"/>
          <w:szCs w:val="24"/>
        </w:rPr>
        <w:t xml:space="preserve">had put the necessary intervention mechanisms in place to ensure the success of this project. </w:t>
      </w:r>
    </w:p>
    <w:p w14:paraId="1DE4FB46" w14:textId="77777777" w:rsidR="00091948" w:rsidRPr="000C1D84" w:rsidRDefault="00091948" w:rsidP="00B9571B">
      <w:pPr>
        <w:pStyle w:val="ListParagraph"/>
        <w:spacing w:line="360" w:lineRule="auto"/>
        <w:ind w:left="360"/>
        <w:rPr>
          <w:rFonts w:ascii="Times New Roman" w:hAnsi="Times New Roman" w:cs="Times New Roman"/>
          <w:sz w:val="24"/>
          <w:szCs w:val="24"/>
        </w:rPr>
      </w:pPr>
    </w:p>
    <w:p w14:paraId="7488690B" w14:textId="77777777" w:rsidR="004C219D" w:rsidRDefault="004C219D" w:rsidP="000C1D84">
      <w:pPr>
        <w:pStyle w:val="BodyText"/>
        <w:spacing w:line="360" w:lineRule="auto"/>
        <w:ind w:left="720"/>
        <w:rPr>
          <w:rFonts w:ascii="Times New Roman" w:hAnsi="Times New Roman"/>
          <w:sz w:val="24"/>
          <w:szCs w:val="24"/>
        </w:rPr>
      </w:pPr>
      <w:r w:rsidRPr="000C1D84">
        <w:rPr>
          <w:rFonts w:ascii="Times New Roman" w:hAnsi="Times New Roman" w:cs="Times New Roman"/>
          <w:sz w:val="24"/>
          <w:szCs w:val="24"/>
        </w:rPr>
        <w:t xml:space="preserve">Other factors that contributed to the delay in implementation </w:t>
      </w:r>
      <w:r w:rsidR="00422D1B" w:rsidRPr="000C1D84">
        <w:rPr>
          <w:rFonts w:ascii="Times New Roman" w:hAnsi="Times New Roman" w:cs="Times New Roman"/>
          <w:sz w:val="24"/>
          <w:szCs w:val="24"/>
        </w:rPr>
        <w:t>were</w:t>
      </w:r>
      <w:r w:rsidRPr="000C1D84">
        <w:rPr>
          <w:rFonts w:ascii="Times New Roman" w:hAnsi="Times New Roman" w:cs="Times New Roman"/>
          <w:sz w:val="24"/>
          <w:szCs w:val="24"/>
        </w:rPr>
        <w:t xml:space="preserve"> the resignations of the project manager and the Chief Financial Officer. Furthermore, the NRCS recognised that change management is critical to ensure successful implementation. </w:t>
      </w:r>
      <w:r w:rsidR="00422D1B" w:rsidRPr="000C1D84">
        <w:rPr>
          <w:rFonts w:ascii="Times New Roman" w:hAnsi="Times New Roman" w:cs="Times New Roman"/>
          <w:sz w:val="24"/>
          <w:szCs w:val="24"/>
        </w:rPr>
        <w:t xml:space="preserve">Change </w:t>
      </w:r>
      <w:r w:rsidRPr="000C1D84">
        <w:rPr>
          <w:rFonts w:ascii="Times New Roman" w:hAnsi="Times New Roman" w:cs="Times New Roman"/>
          <w:sz w:val="24"/>
          <w:szCs w:val="24"/>
        </w:rPr>
        <w:t>management process</w:t>
      </w:r>
      <w:r w:rsidR="00422D1B" w:rsidRPr="000C1D84">
        <w:rPr>
          <w:rFonts w:ascii="Times New Roman" w:hAnsi="Times New Roman" w:cs="Times New Roman"/>
          <w:sz w:val="24"/>
          <w:szCs w:val="24"/>
        </w:rPr>
        <w:t>es</w:t>
      </w:r>
      <w:r w:rsidRPr="000C1D84">
        <w:rPr>
          <w:rFonts w:ascii="Times New Roman" w:hAnsi="Times New Roman" w:cs="Times New Roman"/>
          <w:sz w:val="24"/>
          <w:szCs w:val="24"/>
        </w:rPr>
        <w:t xml:space="preserve"> </w:t>
      </w:r>
      <w:r w:rsidR="00422D1B" w:rsidRPr="000C1D84">
        <w:rPr>
          <w:rFonts w:ascii="Times New Roman" w:hAnsi="Times New Roman" w:cs="Times New Roman"/>
          <w:sz w:val="24"/>
          <w:szCs w:val="24"/>
        </w:rPr>
        <w:t xml:space="preserve">should assist </w:t>
      </w:r>
      <w:r w:rsidRPr="000C1D84">
        <w:rPr>
          <w:rFonts w:ascii="Times New Roman" w:hAnsi="Times New Roman" w:cs="Times New Roman"/>
          <w:sz w:val="24"/>
          <w:szCs w:val="24"/>
        </w:rPr>
        <w:t xml:space="preserve">employees </w:t>
      </w:r>
      <w:r w:rsidR="00422D1B" w:rsidRPr="000C1D84">
        <w:rPr>
          <w:rFonts w:ascii="Times New Roman" w:hAnsi="Times New Roman" w:cs="Times New Roman"/>
          <w:sz w:val="24"/>
          <w:szCs w:val="24"/>
        </w:rPr>
        <w:t xml:space="preserve">to </w:t>
      </w:r>
      <w:r w:rsidRPr="000C1D84">
        <w:rPr>
          <w:rFonts w:ascii="Times New Roman" w:hAnsi="Times New Roman" w:cs="Times New Roman"/>
          <w:sz w:val="24"/>
          <w:szCs w:val="24"/>
        </w:rPr>
        <w:t>understand the rationale for the modernisation</w:t>
      </w:r>
      <w:r w:rsidRPr="000C1D84">
        <w:rPr>
          <w:rFonts w:ascii="Times New Roman" w:hAnsi="Times New Roman"/>
          <w:sz w:val="24"/>
          <w:szCs w:val="24"/>
        </w:rPr>
        <w:t xml:space="preserve">. The NRCS informed the Committee that it was not in </w:t>
      </w:r>
      <w:r w:rsidR="00422D1B" w:rsidRPr="000C1D84">
        <w:rPr>
          <w:rFonts w:ascii="Times New Roman" w:hAnsi="Times New Roman"/>
          <w:sz w:val="24"/>
          <w:szCs w:val="24"/>
        </w:rPr>
        <w:t xml:space="preserve">a </w:t>
      </w:r>
      <w:r w:rsidRPr="000C1D84">
        <w:rPr>
          <w:rFonts w:ascii="Times New Roman" w:hAnsi="Times New Roman"/>
          <w:sz w:val="24"/>
          <w:szCs w:val="24"/>
        </w:rPr>
        <w:t xml:space="preserve">position to definitively indicate when the modernisation project would be implemented </w:t>
      </w:r>
      <w:r w:rsidR="00422D1B" w:rsidRPr="000C1D84">
        <w:rPr>
          <w:rFonts w:ascii="Times New Roman" w:hAnsi="Times New Roman"/>
          <w:sz w:val="24"/>
          <w:szCs w:val="24"/>
        </w:rPr>
        <w:t xml:space="preserve">by January 2018, </w:t>
      </w:r>
      <w:r w:rsidRPr="000C1D84">
        <w:rPr>
          <w:rFonts w:ascii="Times New Roman" w:hAnsi="Times New Roman"/>
          <w:sz w:val="24"/>
          <w:szCs w:val="24"/>
        </w:rPr>
        <w:t xml:space="preserve">as it had not yet appointed a </w:t>
      </w:r>
      <w:r w:rsidR="00422D1B" w:rsidRPr="000C1D84">
        <w:rPr>
          <w:rFonts w:ascii="Times New Roman" w:hAnsi="Times New Roman"/>
          <w:sz w:val="24"/>
          <w:szCs w:val="24"/>
        </w:rPr>
        <w:t xml:space="preserve">chief information officer </w:t>
      </w:r>
      <w:r w:rsidRPr="000C1D84">
        <w:rPr>
          <w:rFonts w:ascii="Times New Roman" w:hAnsi="Times New Roman"/>
          <w:sz w:val="24"/>
          <w:szCs w:val="24"/>
        </w:rPr>
        <w:t xml:space="preserve">and a project manager. </w:t>
      </w:r>
      <w:r w:rsidR="00422D1B" w:rsidRPr="000C1D84">
        <w:rPr>
          <w:rFonts w:ascii="Times New Roman" w:hAnsi="Times New Roman"/>
          <w:sz w:val="24"/>
          <w:szCs w:val="24"/>
        </w:rPr>
        <w:t xml:space="preserve">As these </w:t>
      </w:r>
      <w:r w:rsidRPr="000C1D84">
        <w:rPr>
          <w:rFonts w:ascii="Times New Roman" w:hAnsi="Times New Roman"/>
          <w:sz w:val="24"/>
          <w:szCs w:val="24"/>
        </w:rPr>
        <w:t>positions did not form of part of the structure of the NRCS</w:t>
      </w:r>
      <w:r w:rsidR="00422D1B" w:rsidRPr="000C1D84">
        <w:rPr>
          <w:rFonts w:ascii="Times New Roman" w:hAnsi="Times New Roman"/>
          <w:sz w:val="24"/>
          <w:szCs w:val="24"/>
        </w:rPr>
        <w:t>,</w:t>
      </w:r>
      <w:r w:rsidRPr="000C1D84">
        <w:rPr>
          <w:rFonts w:ascii="Times New Roman" w:hAnsi="Times New Roman"/>
          <w:sz w:val="24"/>
          <w:szCs w:val="24"/>
        </w:rPr>
        <w:t xml:space="preserve"> </w:t>
      </w:r>
      <w:r w:rsidR="00422D1B" w:rsidRPr="000C1D84">
        <w:rPr>
          <w:rFonts w:ascii="Times New Roman" w:hAnsi="Times New Roman"/>
          <w:sz w:val="24"/>
          <w:szCs w:val="24"/>
        </w:rPr>
        <w:t xml:space="preserve">it </w:t>
      </w:r>
      <w:r w:rsidRPr="000C1D84">
        <w:rPr>
          <w:rFonts w:ascii="Times New Roman" w:hAnsi="Times New Roman"/>
          <w:sz w:val="24"/>
          <w:szCs w:val="24"/>
        </w:rPr>
        <w:t>had</w:t>
      </w:r>
      <w:r w:rsidR="00422D1B" w:rsidRPr="000C1D84">
        <w:rPr>
          <w:rFonts w:ascii="Times New Roman" w:hAnsi="Times New Roman"/>
          <w:sz w:val="24"/>
          <w:szCs w:val="24"/>
        </w:rPr>
        <w:t xml:space="preserve"> to</w:t>
      </w:r>
      <w:r w:rsidRPr="000C1D84">
        <w:rPr>
          <w:rFonts w:ascii="Times New Roman" w:hAnsi="Times New Roman"/>
          <w:sz w:val="24"/>
          <w:szCs w:val="24"/>
        </w:rPr>
        <w:t xml:space="preserve"> </w:t>
      </w:r>
      <w:r w:rsidR="00422D1B" w:rsidRPr="000C1D84">
        <w:rPr>
          <w:rFonts w:ascii="Times New Roman" w:hAnsi="Times New Roman"/>
          <w:sz w:val="24"/>
          <w:szCs w:val="24"/>
        </w:rPr>
        <w:t xml:space="preserve">develop these job profiles and had been awaiting </w:t>
      </w:r>
      <w:r w:rsidRPr="000C1D84">
        <w:rPr>
          <w:rFonts w:ascii="Times New Roman" w:hAnsi="Times New Roman"/>
          <w:sz w:val="24"/>
          <w:szCs w:val="24"/>
        </w:rPr>
        <w:t xml:space="preserve">the evaluation </w:t>
      </w:r>
      <w:r w:rsidR="00422D1B" w:rsidRPr="000C1D84">
        <w:rPr>
          <w:rFonts w:ascii="Times New Roman" w:hAnsi="Times New Roman"/>
          <w:sz w:val="24"/>
          <w:szCs w:val="24"/>
        </w:rPr>
        <w:t>result</w:t>
      </w:r>
      <w:r w:rsidRPr="000C1D84">
        <w:rPr>
          <w:rFonts w:ascii="Times New Roman" w:hAnsi="Times New Roman"/>
          <w:sz w:val="24"/>
          <w:szCs w:val="24"/>
        </w:rPr>
        <w:t>.</w:t>
      </w:r>
    </w:p>
    <w:p w14:paraId="3032C92D" w14:textId="77777777" w:rsidR="009247E2" w:rsidRDefault="009247E2" w:rsidP="00B9571B">
      <w:pPr>
        <w:pStyle w:val="BodyText"/>
        <w:spacing w:line="360" w:lineRule="auto"/>
        <w:ind w:left="360"/>
      </w:pPr>
    </w:p>
    <w:p w14:paraId="275C98B1" w14:textId="77777777" w:rsidR="00E44ACB" w:rsidRDefault="00E44ACB" w:rsidP="00B9571B">
      <w:pPr>
        <w:pStyle w:val="BodyText"/>
        <w:spacing w:line="360" w:lineRule="auto"/>
        <w:ind w:left="360"/>
      </w:pPr>
    </w:p>
    <w:p w14:paraId="265A93DF" w14:textId="77777777" w:rsidR="00E44ACB" w:rsidRPr="00091948" w:rsidRDefault="00E44ACB" w:rsidP="00B9571B">
      <w:pPr>
        <w:pStyle w:val="BodyText"/>
        <w:spacing w:line="360" w:lineRule="auto"/>
        <w:ind w:left="360"/>
      </w:pPr>
    </w:p>
    <w:p w14:paraId="7BE7961E" w14:textId="77777777" w:rsidR="00443C0F" w:rsidRPr="00941818" w:rsidRDefault="00443C0F" w:rsidP="009D5D24">
      <w:pPr>
        <w:pStyle w:val="Heading11"/>
        <w:rPr>
          <w:rFonts w:ascii="Times New Roman" w:hAnsi="Times New Roman" w:cs="Times New Roman"/>
        </w:rPr>
      </w:pPr>
      <w:bookmarkStart w:id="15" w:name="_Toc370119617"/>
      <w:r w:rsidRPr="00941818">
        <w:rPr>
          <w:rFonts w:ascii="Times New Roman" w:hAnsi="Times New Roman" w:cs="Times New Roman"/>
        </w:rPr>
        <w:t xml:space="preserve">South African Bureau of Standards </w:t>
      </w:r>
    </w:p>
    <w:p w14:paraId="7E77015E" w14:textId="77777777" w:rsidR="00443C0F" w:rsidRPr="00586CCF" w:rsidRDefault="00443C0F" w:rsidP="00443C0F">
      <w:pPr>
        <w:spacing w:line="360" w:lineRule="auto"/>
        <w:rPr>
          <w:rFonts w:ascii="Times New Roman" w:hAnsi="Times New Roman" w:cs="Times New Roman"/>
          <w:sz w:val="24"/>
          <w:szCs w:val="24"/>
        </w:rPr>
      </w:pPr>
    </w:p>
    <w:p w14:paraId="367C78BF"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eastAsia="Calibri" w:hAnsi="Times New Roman" w:cs="Times New Roman"/>
          <w:sz w:val="24"/>
          <w:szCs w:val="24"/>
        </w:rPr>
        <w:t xml:space="preserve">The </w:t>
      </w:r>
      <w:r>
        <w:rPr>
          <w:rFonts w:ascii="Times New Roman" w:eastAsia="Calibri" w:hAnsi="Times New Roman" w:cs="Times New Roman"/>
          <w:sz w:val="24"/>
          <w:szCs w:val="24"/>
        </w:rPr>
        <w:t>SABS</w:t>
      </w:r>
      <w:r w:rsidRPr="00586CCF">
        <w:rPr>
          <w:rFonts w:ascii="Times New Roman" w:eastAsia="Calibri" w:hAnsi="Times New Roman" w:cs="Times New Roman"/>
          <w:sz w:val="24"/>
          <w:szCs w:val="24"/>
        </w:rPr>
        <w:t xml:space="preserve"> falls under the </w:t>
      </w:r>
      <w:r>
        <w:rPr>
          <w:rFonts w:ascii="Times New Roman" w:eastAsia="Calibri" w:hAnsi="Times New Roman" w:cs="Times New Roman"/>
          <w:sz w:val="24"/>
          <w:szCs w:val="24"/>
        </w:rPr>
        <w:t xml:space="preserve">Industrial Development </w:t>
      </w:r>
      <w:r w:rsidRPr="00586CCF">
        <w:rPr>
          <w:rFonts w:ascii="Times New Roman" w:eastAsia="Calibri" w:hAnsi="Times New Roman" w:cs="Times New Roman"/>
          <w:sz w:val="24"/>
          <w:szCs w:val="24"/>
        </w:rPr>
        <w:t>Division within the</w:t>
      </w:r>
      <w:r>
        <w:rPr>
          <w:rFonts w:ascii="Times New Roman" w:eastAsia="Calibri" w:hAnsi="Times New Roman" w:cs="Times New Roman"/>
          <w:sz w:val="24"/>
          <w:szCs w:val="24"/>
        </w:rPr>
        <w:t xml:space="preserve"> </w:t>
      </w:r>
      <w:r w:rsidRPr="00586CCF">
        <w:rPr>
          <w:rFonts w:ascii="Times New Roman" w:eastAsia="Calibri" w:hAnsi="Times New Roman" w:cs="Times New Roman"/>
          <w:sz w:val="24"/>
          <w:szCs w:val="24"/>
        </w:rPr>
        <w:t>DTI.</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It </w:t>
      </w:r>
      <w:r w:rsidRPr="00586CCF">
        <w:rPr>
          <w:rFonts w:ascii="Times New Roman" w:hAnsi="Times New Roman" w:cs="Times New Roman"/>
          <w:sz w:val="24"/>
          <w:szCs w:val="24"/>
        </w:rPr>
        <w:t xml:space="preserve">is a statutory body that was initially established in terms of the Standards Act (No. 24 of 1945). Subsequently, there have been a number of legislative reforms and </w:t>
      </w:r>
      <w:r>
        <w:rPr>
          <w:rFonts w:ascii="Times New Roman" w:hAnsi="Times New Roman" w:cs="Times New Roman"/>
          <w:sz w:val="24"/>
          <w:szCs w:val="24"/>
        </w:rPr>
        <w:t xml:space="preserve">it </w:t>
      </w:r>
      <w:r w:rsidRPr="00586CCF">
        <w:rPr>
          <w:rFonts w:ascii="Times New Roman" w:hAnsi="Times New Roman" w:cs="Times New Roman"/>
          <w:sz w:val="24"/>
          <w:szCs w:val="24"/>
        </w:rPr>
        <w:t>is now governed by the Standards Act (No. 8 of 2008). The SABS is mandated to:</w:t>
      </w:r>
    </w:p>
    <w:p w14:paraId="60310C21" w14:textId="77777777" w:rsidR="00443C0F" w:rsidRPr="00586CCF" w:rsidRDefault="00443C0F" w:rsidP="00443C0F">
      <w:pPr>
        <w:spacing w:line="360" w:lineRule="auto"/>
        <w:rPr>
          <w:rFonts w:ascii="Times New Roman" w:hAnsi="Times New Roman" w:cs="Times New Roman"/>
          <w:sz w:val="24"/>
          <w:szCs w:val="24"/>
        </w:rPr>
      </w:pPr>
    </w:p>
    <w:p w14:paraId="54AB3889" w14:textId="77777777" w:rsidR="00443C0F" w:rsidRPr="00586CCF" w:rsidRDefault="00443C0F" w:rsidP="009D5D24">
      <w:pPr>
        <w:numPr>
          <w:ilvl w:val="0"/>
          <w:numId w:val="6"/>
        </w:numPr>
        <w:spacing w:line="360" w:lineRule="auto"/>
        <w:ind w:left="426" w:hanging="426"/>
        <w:rPr>
          <w:rFonts w:ascii="Times New Roman" w:hAnsi="Times New Roman" w:cs="Times New Roman"/>
          <w:sz w:val="24"/>
          <w:szCs w:val="24"/>
        </w:rPr>
      </w:pPr>
      <w:r w:rsidRPr="00586CCF">
        <w:rPr>
          <w:rFonts w:ascii="Times New Roman" w:hAnsi="Times New Roman" w:cs="Times New Roman"/>
          <w:sz w:val="24"/>
          <w:szCs w:val="24"/>
        </w:rPr>
        <w:t>Develop, promote and maintain South African National Standards (SANS) to promote access to markets; and advance the socio-economic well-being of South Africa in a global economy.</w:t>
      </w:r>
    </w:p>
    <w:p w14:paraId="47A4C4D9" w14:textId="77777777" w:rsidR="00443C0F" w:rsidRPr="00586CCF" w:rsidRDefault="00443C0F" w:rsidP="009D5D24">
      <w:pPr>
        <w:numPr>
          <w:ilvl w:val="0"/>
          <w:numId w:val="6"/>
        </w:numPr>
        <w:spacing w:line="360" w:lineRule="auto"/>
        <w:ind w:left="426" w:hanging="426"/>
        <w:rPr>
          <w:rFonts w:ascii="Times New Roman" w:hAnsi="Times New Roman" w:cs="Times New Roman"/>
          <w:sz w:val="24"/>
          <w:szCs w:val="24"/>
        </w:rPr>
      </w:pPr>
      <w:r w:rsidRPr="00586CCF">
        <w:rPr>
          <w:rFonts w:ascii="Times New Roman" w:hAnsi="Times New Roman" w:cs="Times New Roman"/>
          <w:sz w:val="24"/>
          <w:szCs w:val="24"/>
        </w:rPr>
        <w:t>Promote quality in connection with commodities, products and services, such as in the localisation of production in support of government’s IPAP and enabling trade.</w:t>
      </w:r>
    </w:p>
    <w:p w14:paraId="172093F3" w14:textId="77777777" w:rsidR="00443C0F" w:rsidRPr="00586CCF" w:rsidRDefault="00443C0F" w:rsidP="009D5D24">
      <w:pPr>
        <w:numPr>
          <w:ilvl w:val="0"/>
          <w:numId w:val="6"/>
        </w:numPr>
        <w:spacing w:line="360" w:lineRule="auto"/>
        <w:ind w:left="426" w:hanging="426"/>
        <w:rPr>
          <w:rFonts w:ascii="Times New Roman" w:hAnsi="Times New Roman" w:cs="Times New Roman"/>
          <w:sz w:val="24"/>
          <w:szCs w:val="24"/>
        </w:rPr>
      </w:pPr>
      <w:r w:rsidRPr="00586CCF">
        <w:rPr>
          <w:rFonts w:ascii="Times New Roman" w:hAnsi="Times New Roman" w:cs="Times New Roman"/>
          <w:sz w:val="24"/>
          <w:szCs w:val="24"/>
        </w:rPr>
        <w:t>Render conformity assessment services and assist in matters connected with facilitating access to markets for South African industries by improving their competitiveness in the global environment.</w:t>
      </w:r>
    </w:p>
    <w:p w14:paraId="57D87FF5" w14:textId="77777777" w:rsidR="00443C0F" w:rsidRPr="00586CCF" w:rsidRDefault="00443C0F" w:rsidP="00443C0F">
      <w:pPr>
        <w:spacing w:line="360" w:lineRule="auto"/>
        <w:rPr>
          <w:rFonts w:ascii="Times New Roman" w:hAnsi="Times New Roman" w:cs="Times New Roman"/>
          <w:sz w:val="24"/>
          <w:szCs w:val="24"/>
        </w:rPr>
      </w:pPr>
    </w:p>
    <w:p w14:paraId="27B1BA10"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w:t>
      </w:r>
      <w:r>
        <w:rPr>
          <w:rFonts w:ascii="Times New Roman" w:hAnsi="Times New Roman" w:cs="Times New Roman"/>
          <w:sz w:val="24"/>
          <w:szCs w:val="24"/>
        </w:rPr>
        <w:t xml:space="preserve">core </w:t>
      </w:r>
      <w:r w:rsidRPr="00586CCF">
        <w:rPr>
          <w:rFonts w:ascii="Times New Roman" w:hAnsi="Times New Roman" w:cs="Times New Roman"/>
          <w:sz w:val="24"/>
          <w:szCs w:val="24"/>
        </w:rPr>
        <w:t>services provided by the SABS include</w:t>
      </w:r>
      <w:r>
        <w:rPr>
          <w:rFonts w:ascii="Times New Roman" w:hAnsi="Times New Roman" w:cs="Times New Roman"/>
          <w:sz w:val="24"/>
          <w:szCs w:val="24"/>
        </w:rPr>
        <w:t xml:space="preserve"> the</w:t>
      </w:r>
      <w:r w:rsidRPr="00586CCF">
        <w:rPr>
          <w:rFonts w:ascii="Times New Roman" w:hAnsi="Times New Roman" w:cs="Times New Roman"/>
          <w:sz w:val="24"/>
          <w:szCs w:val="24"/>
        </w:rPr>
        <w:t>:</w:t>
      </w:r>
    </w:p>
    <w:p w14:paraId="683BCC68" w14:textId="77777777" w:rsidR="00443C0F" w:rsidRPr="00586CCF" w:rsidRDefault="00443C0F" w:rsidP="00443C0F">
      <w:pPr>
        <w:spacing w:line="360" w:lineRule="auto"/>
        <w:rPr>
          <w:rFonts w:ascii="Times New Roman" w:hAnsi="Times New Roman" w:cs="Times New Roman"/>
          <w:sz w:val="24"/>
          <w:szCs w:val="24"/>
        </w:rPr>
      </w:pPr>
    </w:p>
    <w:p w14:paraId="591D8E64" w14:textId="77777777" w:rsidR="00443C0F" w:rsidRPr="00586CCF" w:rsidRDefault="00443C0F" w:rsidP="009D5D24">
      <w:pPr>
        <w:pStyle w:val="ListParagraph"/>
        <w:numPr>
          <w:ilvl w:val="0"/>
          <w:numId w:val="8"/>
        </w:num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Development, maintenance and promotion of standards for commodities;  </w:t>
      </w:r>
    </w:p>
    <w:p w14:paraId="5DEC7FA6" w14:textId="77777777" w:rsidR="00443C0F" w:rsidRPr="00586CCF" w:rsidRDefault="00443C0F" w:rsidP="009D5D24">
      <w:pPr>
        <w:pStyle w:val="ListParagraph"/>
        <w:numPr>
          <w:ilvl w:val="0"/>
          <w:numId w:val="8"/>
        </w:num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Assurance, through management system certification schemes, on the effectiveness and validity of a client's management system(s) in terms of quality, safety and good governance; </w:t>
      </w:r>
    </w:p>
    <w:p w14:paraId="54E9DDAB" w14:textId="77777777" w:rsidR="00443C0F" w:rsidRPr="00586CCF" w:rsidRDefault="00443C0F" w:rsidP="009D5D24">
      <w:pPr>
        <w:pStyle w:val="ListParagraph"/>
        <w:numPr>
          <w:ilvl w:val="0"/>
          <w:numId w:val="8"/>
        </w:numPr>
        <w:spacing w:line="360" w:lineRule="auto"/>
        <w:rPr>
          <w:rFonts w:ascii="Times New Roman" w:hAnsi="Times New Roman" w:cs="Times New Roman"/>
          <w:sz w:val="24"/>
          <w:szCs w:val="24"/>
        </w:rPr>
      </w:pPr>
      <w:r w:rsidRPr="00586CCF">
        <w:rPr>
          <w:rFonts w:ascii="Times New Roman" w:hAnsi="Times New Roman" w:cs="Times New Roman"/>
          <w:sz w:val="24"/>
          <w:szCs w:val="24"/>
        </w:rPr>
        <w:t>Third-party assurance of quality, safety and reliability of products, through product certification schemes, to the consumer</w:t>
      </w:r>
      <w:r>
        <w:rPr>
          <w:rStyle w:val="FootnoteReference"/>
          <w:rFonts w:cs="Times New Roman"/>
          <w:szCs w:val="24"/>
        </w:rPr>
        <w:footnoteReference w:id="12"/>
      </w:r>
      <w:r w:rsidRPr="00586CCF">
        <w:rPr>
          <w:rFonts w:ascii="Times New Roman" w:hAnsi="Times New Roman" w:cs="Times New Roman"/>
          <w:sz w:val="24"/>
          <w:szCs w:val="24"/>
        </w:rPr>
        <w:t>;</w:t>
      </w:r>
    </w:p>
    <w:p w14:paraId="2AE9C536" w14:textId="77777777" w:rsidR="00443C0F" w:rsidRPr="00586CCF" w:rsidRDefault="00443C0F" w:rsidP="009D5D24">
      <w:pPr>
        <w:pStyle w:val="ListParagraph"/>
        <w:numPr>
          <w:ilvl w:val="0"/>
          <w:numId w:val="8"/>
        </w:numPr>
        <w:spacing w:line="360" w:lineRule="auto"/>
        <w:rPr>
          <w:rFonts w:ascii="Times New Roman" w:hAnsi="Times New Roman" w:cs="Times New Roman"/>
          <w:sz w:val="24"/>
          <w:szCs w:val="24"/>
        </w:rPr>
      </w:pPr>
      <w:r w:rsidRPr="00586CCF">
        <w:rPr>
          <w:rFonts w:ascii="Times New Roman" w:hAnsi="Times New Roman" w:cs="Times New Roman"/>
          <w:sz w:val="24"/>
          <w:szCs w:val="24"/>
        </w:rPr>
        <w:t>Testing on a wide spectrum of products across industry sectors and technologies at the SABS’s dedicated test laboratories, situated in Pretoria and at various strategic locations throughout South Africa. These services remain the most comprehensive offered by any single organisation in Southern Africa;</w:t>
      </w:r>
    </w:p>
    <w:p w14:paraId="653F6528" w14:textId="77777777" w:rsidR="00443C0F" w:rsidRPr="00586CCF" w:rsidRDefault="00443C0F" w:rsidP="009D5D24">
      <w:pPr>
        <w:pStyle w:val="ListParagraph"/>
        <w:numPr>
          <w:ilvl w:val="0"/>
          <w:numId w:val="8"/>
        </w:numPr>
        <w:spacing w:line="360" w:lineRule="auto"/>
        <w:rPr>
          <w:rFonts w:ascii="Times New Roman" w:hAnsi="Times New Roman" w:cs="Times New Roman"/>
          <w:sz w:val="24"/>
          <w:szCs w:val="24"/>
        </w:rPr>
      </w:pPr>
      <w:r w:rsidRPr="00586CCF">
        <w:rPr>
          <w:rFonts w:ascii="Times New Roman" w:hAnsi="Times New Roman" w:cs="Times New Roman"/>
          <w:sz w:val="24"/>
          <w:szCs w:val="24"/>
        </w:rPr>
        <w:t>Third-party consignment inspection services to external purchasing bodies</w:t>
      </w:r>
      <w:r>
        <w:rPr>
          <w:rStyle w:val="FootnoteReference"/>
          <w:rFonts w:cs="Times New Roman"/>
          <w:szCs w:val="24"/>
        </w:rPr>
        <w:footnoteReference w:id="13"/>
      </w:r>
      <w:r w:rsidRPr="00586CCF">
        <w:rPr>
          <w:rFonts w:ascii="Times New Roman" w:hAnsi="Times New Roman" w:cs="Times New Roman"/>
          <w:sz w:val="24"/>
          <w:szCs w:val="24"/>
        </w:rPr>
        <w:t>; and</w:t>
      </w:r>
    </w:p>
    <w:p w14:paraId="4C18A6BE" w14:textId="77777777" w:rsidR="00443C0F" w:rsidRPr="00586CCF" w:rsidRDefault="00443C0F" w:rsidP="009D5D24">
      <w:pPr>
        <w:pStyle w:val="ListParagraph"/>
        <w:numPr>
          <w:ilvl w:val="0"/>
          <w:numId w:val="8"/>
        </w:numPr>
        <w:spacing w:line="360" w:lineRule="auto"/>
        <w:rPr>
          <w:rFonts w:ascii="Times New Roman" w:hAnsi="Times New Roman" w:cs="Times New Roman"/>
          <w:sz w:val="24"/>
          <w:szCs w:val="24"/>
        </w:rPr>
      </w:pPr>
      <w:r w:rsidRPr="00586CCF">
        <w:rPr>
          <w:rFonts w:ascii="Times New Roman" w:hAnsi="Times New Roman" w:cs="Times New Roman"/>
          <w:sz w:val="24"/>
          <w:szCs w:val="24"/>
        </w:rPr>
        <w:t>Developing and offering structured training courses for Standards and Specifications.</w:t>
      </w:r>
    </w:p>
    <w:p w14:paraId="68C1A07C" w14:textId="77777777" w:rsidR="00443C0F" w:rsidRDefault="00443C0F" w:rsidP="00443C0F">
      <w:pPr>
        <w:spacing w:line="360" w:lineRule="auto"/>
        <w:rPr>
          <w:rFonts w:ascii="Times New Roman" w:hAnsi="Times New Roman" w:cs="Times New Roman"/>
          <w:sz w:val="24"/>
          <w:szCs w:val="24"/>
        </w:rPr>
      </w:pPr>
    </w:p>
    <w:p w14:paraId="6736B09A" w14:textId="77777777" w:rsidR="00443C0F" w:rsidRPr="00586CCF" w:rsidRDefault="00443C0F" w:rsidP="00443C0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6D18C5">
        <w:rPr>
          <w:rFonts w:ascii="Times New Roman" w:hAnsi="Times New Roman" w:cs="Times New Roman"/>
          <w:sz w:val="24"/>
          <w:szCs w:val="24"/>
        </w:rPr>
        <w:t xml:space="preserve">SABS </w:t>
      </w:r>
      <w:r>
        <w:rPr>
          <w:rFonts w:ascii="Times New Roman" w:hAnsi="Times New Roman" w:cs="Times New Roman"/>
          <w:sz w:val="24"/>
          <w:szCs w:val="24"/>
        </w:rPr>
        <w:t xml:space="preserve">also </w:t>
      </w:r>
      <w:r w:rsidRPr="006D18C5">
        <w:rPr>
          <w:rFonts w:ascii="Times New Roman" w:hAnsi="Times New Roman" w:cs="Times New Roman"/>
          <w:sz w:val="24"/>
          <w:szCs w:val="24"/>
        </w:rPr>
        <w:t>support</w:t>
      </w:r>
      <w:r>
        <w:rPr>
          <w:rFonts w:ascii="Times New Roman" w:hAnsi="Times New Roman" w:cs="Times New Roman"/>
          <w:sz w:val="24"/>
          <w:szCs w:val="24"/>
        </w:rPr>
        <w:t>s</w:t>
      </w:r>
      <w:r w:rsidRPr="006D18C5">
        <w:rPr>
          <w:rFonts w:ascii="Times New Roman" w:hAnsi="Times New Roman" w:cs="Times New Roman"/>
          <w:sz w:val="24"/>
          <w:szCs w:val="24"/>
        </w:rPr>
        <w:t xml:space="preserve"> socio-economic growth </w:t>
      </w:r>
      <w:r>
        <w:rPr>
          <w:rFonts w:ascii="Times New Roman" w:hAnsi="Times New Roman" w:cs="Times New Roman"/>
          <w:sz w:val="24"/>
          <w:szCs w:val="24"/>
        </w:rPr>
        <w:t xml:space="preserve">by (i) </w:t>
      </w:r>
      <w:r w:rsidRPr="00586CCF">
        <w:rPr>
          <w:rFonts w:ascii="Times New Roman" w:hAnsi="Times New Roman" w:cs="Times New Roman"/>
          <w:sz w:val="24"/>
          <w:szCs w:val="24"/>
        </w:rPr>
        <w:t>promoti</w:t>
      </w:r>
      <w:r>
        <w:rPr>
          <w:rFonts w:ascii="Times New Roman" w:hAnsi="Times New Roman" w:cs="Times New Roman"/>
          <w:sz w:val="24"/>
          <w:szCs w:val="24"/>
        </w:rPr>
        <w:t>ng</w:t>
      </w:r>
      <w:r w:rsidRPr="00586CCF">
        <w:rPr>
          <w:rFonts w:ascii="Times New Roman" w:hAnsi="Times New Roman" w:cs="Times New Roman"/>
          <w:sz w:val="24"/>
          <w:szCs w:val="24"/>
        </w:rPr>
        <w:t xml:space="preserve"> </w:t>
      </w:r>
      <w:r>
        <w:rPr>
          <w:rFonts w:ascii="Times New Roman" w:hAnsi="Times New Roman" w:cs="Times New Roman"/>
          <w:sz w:val="24"/>
          <w:szCs w:val="24"/>
        </w:rPr>
        <w:t xml:space="preserve">and supporting </w:t>
      </w:r>
      <w:r w:rsidRPr="00586CCF">
        <w:rPr>
          <w:rFonts w:ascii="Times New Roman" w:hAnsi="Times New Roman" w:cs="Times New Roman"/>
          <w:sz w:val="24"/>
          <w:szCs w:val="24"/>
        </w:rPr>
        <w:t xml:space="preserve">design and innovation </w:t>
      </w:r>
      <w:r>
        <w:rPr>
          <w:rFonts w:ascii="Times New Roman" w:hAnsi="Times New Roman" w:cs="Times New Roman"/>
          <w:sz w:val="24"/>
          <w:szCs w:val="24"/>
        </w:rPr>
        <w:t xml:space="preserve">for </w:t>
      </w:r>
      <w:r w:rsidRPr="00586CCF">
        <w:rPr>
          <w:rFonts w:ascii="Times New Roman" w:hAnsi="Times New Roman" w:cs="Times New Roman"/>
          <w:sz w:val="24"/>
          <w:szCs w:val="24"/>
        </w:rPr>
        <w:t xml:space="preserve">the </w:t>
      </w:r>
      <w:r>
        <w:rPr>
          <w:rFonts w:ascii="Times New Roman" w:hAnsi="Times New Roman" w:cs="Times New Roman"/>
          <w:sz w:val="24"/>
          <w:szCs w:val="24"/>
        </w:rPr>
        <w:t>small, medium and micro enterprise (</w:t>
      </w:r>
      <w:r w:rsidRPr="00586CCF">
        <w:rPr>
          <w:rFonts w:ascii="Times New Roman" w:hAnsi="Times New Roman" w:cs="Times New Roman"/>
          <w:sz w:val="24"/>
          <w:szCs w:val="24"/>
        </w:rPr>
        <w:t>SMME</w:t>
      </w:r>
      <w:r>
        <w:rPr>
          <w:rFonts w:ascii="Times New Roman" w:hAnsi="Times New Roman" w:cs="Times New Roman"/>
          <w:sz w:val="24"/>
          <w:szCs w:val="24"/>
        </w:rPr>
        <w:t>)</w:t>
      </w:r>
      <w:r w:rsidRPr="00586CCF">
        <w:rPr>
          <w:rFonts w:ascii="Times New Roman" w:hAnsi="Times New Roman" w:cs="Times New Roman"/>
          <w:sz w:val="24"/>
          <w:szCs w:val="24"/>
        </w:rPr>
        <w:t xml:space="preserve"> sector and youth entrepreneurs; and</w:t>
      </w:r>
      <w:r>
        <w:rPr>
          <w:rFonts w:ascii="Times New Roman" w:hAnsi="Times New Roman" w:cs="Times New Roman"/>
          <w:sz w:val="24"/>
          <w:szCs w:val="24"/>
        </w:rPr>
        <w:t xml:space="preserve"> conducting </w:t>
      </w:r>
      <w:r w:rsidRPr="00586CCF">
        <w:rPr>
          <w:rFonts w:ascii="Times New Roman" w:hAnsi="Times New Roman" w:cs="Times New Roman"/>
          <w:sz w:val="24"/>
          <w:szCs w:val="24"/>
        </w:rPr>
        <w:t xml:space="preserve">local content verification services in accordance with Preferential Procurement Policy Framework Act (PPPFA) regulations. </w:t>
      </w:r>
    </w:p>
    <w:p w14:paraId="3821F1F1" w14:textId="77777777" w:rsidR="00443C0F" w:rsidRPr="00586CCF" w:rsidRDefault="00443C0F" w:rsidP="00443C0F">
      <w:pPr>
        <w:spacing w:line="360" w:lineRule="auto"/>
        <w:jc w:val="left"/>
        <w:rPr>
          <w:rFonts w:ascii="Times New Roman" w:eastAsia="Times New Roman" w:hAnsi="Times New Roman" w:cs="Times New Roman"/>
          <w:b/>
          <w:color w:val="000000"/>
          <w:spacing w:val="6"/>
          <w:sz w:val="24"/>
          <w:szCs w:val="24"/>
          <w:lang w:val="en-GB" w:eastAsia="en-GB"/>
        </w:rPr>
      </w:pPr>
    </w:p>
    <w:p w14:paraId="094B76E8" w14:textId="77777777" w:rsidR="00443C0F" w:rsidRPr="000C1D84" w:rsidRDefault="00443C0F" w:rsidP="00EF0C57">
      <w:pPr>
        <w:pStyle w:val="Heading22"/>
        <w:numPr>
          <w:ilvl w:val="1"/>
          <w:numId w:val="31"/>
        </w:numPr>
      </w:pPr>
      <w:r w:rsidRPr="000C1D84">
        <w:t>Performance for the 2016/17 financial year</w:t>
      </w:r>
      <w:r w:rsidR="00E44ACB">
        <w:rPr>
          <w:rStyle w:val="FootnoteReference"/>
        </w:rPr>
        <w:footnoteReference w:id="14"/>
      </w:r>
    </w:p>
    <w:p w14:paraId="2F1D5948" w14:textId="77777777" w:rsidR="00443C0F" w:rsidRPr="004349D4" w:rsidRDefault="00443C0F" w:rsidP="00EF0C57">
      <w:pPr>
        <w:pStyle w:val="Heading22"/>
        <w:numPr>
          <w:ilvl w:val="0"/>
          <w:numId w:val="0"/>
        </w:numPr>
      </w:pPr>
    </w:p>
    <w:p w14:paraId="13F6DF13" w14:textId="77777777" w:rsidR="00443C0F" w:rsidRPr="004265FC" w:rsidRDefault="00443C0F"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 xml:space="preserve">Non-financial performance </w:t>
      </w:r>
    </w:p>
    <w:p w14:paraId="00D88D0F" w14:textId="77777777" w:rsidR="00443C0F" w:rsidRPr="00586CCF" w:rsidRDefault="00443C0F" w:rsidP="00EF0C57">
      <w:pPr>
        <w:pStyle w:val="Heading22"/>
        <w:numPr>
          <w:ilvl w:val="0"/>
          <w:numId w:val="0"/>
        </w:numPr>
        <w:ind w:left="720"/>
      </w:pPr>
    </w:p>
    <w:p w14:paraId="0EA831EC"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For the 2016/17</w:t>
      </w:r>
      <w:r>
        <w:rPr>
          <w:rFonts w:ascii="Times New Roman" w:hAnsi="Times New Roman" w:cs="Times New Roman"/>
          <w:sz w:val="24"/>
          <w:szCs w:val="24"/>
        </w:rPr>
        <w:t xml:space="preserve"> </w:t>
      </w:r>
      <w:r w:rsidRPr="00586CCF">
        <w:rPr>
          <w:rFonts w:ascii="Times New Roman" w:hAnsi="Times New Roman" w:cs="Times New Roman"/>
          <w:sz w:val="24"/>
          <w:szCs w:val="24"/>
        </w:rPr>
        <w:t xml:space="preserve">financial year, the SABS had 12 performance targets as indicated in </w:t>
      </w:r>
      <w:r>
        <w:rPr>
          <w:rFonts w:ascii="Times New Roman" w:hAnsi="Times New Roman" w:cs="Times New Roman"/>
          <w:sz w:val="24"/>
          <w:szCs w:val="24"/>
        </w:rPr>
        <w:t>its</w:t>
      </w:r>
      <w:r w:rsidRPr="00586CCF">
        <w:rPr>
          <w:rFonts w:ascii="Times New Roman" w:hAnsi="Times New Roman" w:cs="Times New Roman"/>
          <w:sz w:val="24"/>
          <w:szCs w:val="24"/>
        </w:rPr>
        <w:t xml:space="preserve"> APP. The Annual Report </w:t>
      </w:r>
      <w:r>
        <w:rPr>
          <w:rFonts w:ascii="Times New Roman" w:hAnsi="Times New Roman" w:cs="Times New Roman"/>
          <w:sz w:val="24"/>
          <w:szCs w:val="24"/>
        </w:rPr>
        <w:t>indicated that ten of these</w:t>
      </w:r>
      <w:r w:rsidRPr="00586CCF">
        <w:rPr>
          <w:rFonts w:ascii="Times New Roman" w:hAnsi="Times New Roman" w:cs="Times New Roman"/>
          <w:sz w:val="24"/>
          <w:szCs w:val="24"/>
        </w:rPr>
        <w:t xml:space="preserve"> were achieved.</w:t>
      </w:r>
    </w:p>
    <w:p w14:paraId="658FEA6C" w14:textId="77777777" w:rsidR="00443C0F" w:rsidRPr="00586CCF" w:rsidRDefault="00443C0F" w:rsidP="00443C0F">
      <w:pPr>
        <w:spacing w:line="360" w:lineRule="auto"/>
        <w:rPr>
          <w:rFonts w:ascii="Times New Roman" w:hAnsi="Times New Roman" w:cs="Times New Roman"/>
          <w:b/>
          <w:sz w:val="24"/>
          <w:szCs w:val="24"/>
        </w:rPr>
      </w:pPr>
    </w:p>
    <w:p w14:paraId="5D2125B5" w14:textId="77777777" w:rsidR="00443C0F" w:rsidRPr="00586CCF" w:rsidRDefault="00443C0F" w:rsidP="00443C0F">
      <w:pPr>
        <w:rPr>
          <w:rFonts w:ascii="Times New Roman" w:hAnsi="Times New Roman" w:cs="Times New Roman"/>
          <w:b/>
          <w:sz w:val="24"/>
          <w:szCs w:val="24"/>
        </w:rPr>
      </w:pPr>
      <w:r w:rsidRPr="00586CCF">
        <w:rPr>
          <w:rFonts w:ascii="Times New Roman" w:hAnsi="Times New Roman" w:cs="Times New Roman"/>
          <w:b/>
          <w:sz w:val="24"/>
          <w:szCs w:val="24"/>
        </w:rPr>
        <w:t xml:space="preserve">Table </w:t>
      </w:r>
      <w:r w:rsidR="004909C3">
        <w:rPr>
          <w:rFonts w:ascii="Times New Roman" w:hAnsi="Times New Roman" w:cs="Times New Roman"/>
          <w:b/>
          <w:sz w:val="24"/>
          <w:szCs w:val="24"/>
        </w:rPr>
        <w:t>1</w:t>
      </w:r>
      <w:r w:rsidR="00510A07">
        <w:rPr>
          <w:rFonts w:ascii="Times New Roman" w:hAnsi="Times New Roman" w:cs="Times New Roman"/>
          <w:b/>
          <w:sz w:val="24"/>
          <w:szCs w:val="24"/>
        </w:rPr>
        <w:t>5</w:t>
      </w:r>
      <w:r w:rsidRPr="00586CCF">
        <w:rPr>
          <w:rFonts w:ascii="Times New Roman" w:hAnsi="Times New Roman" w:cs="Times New Roman"/>
          <w:b/>
          <w:sz w:val="24"/>
          <w:szCs w:val="24"/>
        </w:rPr>
        <w:t>: Non-Financial Performance</w:t>
      </w:r>
    </w:p>
    <w:tbl>
      <w:tblPr>
        <w:tblStyle w:val="TableGrid"/>
        <w:tblW w:w="0" w:type="auto"/>
        <w:tblLayout w:type="fixed"/>
        <w:tblLook w:val="04A0" w:firstRow="1" w:lastRow="0" w:firstColumn="1" w:lastColumn="0" w:noHBand="0" w:noVBand="1"/>
      </w:tblPr>
      <w:tblGrid>
        <w:gridCol w:w="1668"/>
        <w:gridCol w:w="2409"/>
        <w:gridCol w:w="1134"/>
        <w:gridCol w:w="3805"/>
      </w:tblGrid>
      <w:tr w:rsidR="00443C0F" w:rsidRPr="00432CE0" w14:paraId="1DA439FE" w14:textId="77777777" w:rsidTr="00443C0F">
        <w:trPr>
          <w:trHeight w:val="283"/>
          <w:tblHeader/>
        </w:trPr>
        <w:tc>
          <w:tcPr>
            <w:tcW w:w="1668" w:type="dxa"/>
            <w:vMerge w:val="restart"/>
            <w:shd w:val="clear" w:color="auto" w:fill="BFBFBF" w:themeFill="background1" w:themeFillShade="BF"/>
            <w:vAlign w:val="center"/>
          </w:tcPr>
          <w:p w14:paraId="5BB08BA3" w14:textId="77777777" w:rsidR="00443C0F" w:rsidRPr="006D18C5" w:rsidRDefault="00443C0F" w:rsidP="00443C0F">
            <w:pPr>
              <w:spacing w:after="0" w:line="360" w:lineRule="auto"/>
              <w:jc w:val="center"/>
              <w:rPr>
                <w:rFonts w:ascii="Times New Roman" w:hAnsi="Times New Roman"/>
                <w:b/>
                <w:sz w:val="22"/>
                <w:szCs w:val="24"/>
              </w:rPr>
            </w:pPr>
            <w:r w:rsidRPr="006D18C5">
              <w:rPr>
                <w:rFonts w:ascii="Times New Roman" w:hAnsi="Times New Roman"/>
                <w:b/>
                <w:sz w:val="22"/>
                <w:szCs w:val="24"/>
              </w:rPr>
              <w:t>Performance Indicator</w:t>
            </w:r>
          </w:p>
        </w:tc>
        <w:tc>
          <w:tcPr>
            <w:tcW w:w="2409" w:type="dxa"/>
            <w:vMerge w:val="restart"/>
            <w:shd w:val="clear" w:color="auto" w:fill="BFBFBF" w:themeFill="background1" w:themeFillShade="BF"/>
            <w:vAlign w:val="center"/>
          </w:tcPr>
          <w:p w14:paraId="1EE9C1DC" w14:textId="77777777" w:rsidR="00443C0F" w:rsidRPr="006D18C5" w:rsidRDefault="00443C0F" w:rsidP="00443C0F">
            <w:pPr>
              <w:spacing w:after="0" w:line="360" w:lineRule="auto"/>
              <w:jc w:val="center"/>
              <w:rPr>
                <w:rFonts w:ascii="Times New Roman" w:hAnsi="Times New Roman"/>
                <w:b/>
                <w:sz w:val="22"/>
                <w:szCs w:val="24"/>
              </w:rPr>
            </w:pPr>
            <w:r w:rsidRPr="006D18C5">
              <w:rPr>
                <w:rFonts w:ascii="Times New Roman" w:hAnsi="Times New Roman"/>
                <w:b/>
                <w:sz w:val="22"/>
                <w:szCs w:val="24"/>
              </w:rPr>
              <w:t>Target</w:t>
            </w:r>
          </w:p>
        </w:tc>
        <w:tc>
          <w:tcPr>
            <w:tcW w:w="4939" w:type="dxa"/>
            <w:gridSpan w:val="2"/>
            <w:shd w:val="clear" w:color="auto" w:fill="BFBFBF" w:themeFill="background1" w:themeFillShade="BF"/>
          </w:tcPr>
          <w:p w14:paraId="08BEE001" w14:textId="77777777" w:rsidR="00443C0F" w:rsidRPr="006D18C5" w:rsidRDefault="00443C0F" w:rsidP="00443C0F">
            <w:pPr>
              <w:spacing w:after="0" w:line="360" w:lineRule="auto"/>
              <w:jc w:val="center"/>
              <w:rPr>
                <w:rFonts w:ascii="Times New Roman" w:hAnsi="Times New Roman"/>
                <w:b/>
                <w:sz w:val="22"/>
                <w:szCs w:val="24"/>
              </w:rPr>
            </w:pPr>
            <w:r w:rsidRPr="006D18C5">
              <w:rPr>
                <w:rFonts w:ascii="Times New Roman" w:hAnsi="Times New Roman"/>
                <w:b/>
                <w:sz w:val="22"/>
                <w:szCs w:val="24"/>
              </w:rPr>
              <w:t>Performance Indicators/ Targets</w:t>
            </w:r>
          </w:p>
        </w:tc>
      </w:tr>
      <w:tr w:rsidR="00443C0F" w:rsidRPr="00432CE0" w14:paraId="60CDEAEF" w14:textId="77777777" w:rsidTr="00443C0F">
        <w:trPr>
          <w:trHeight w:val="282"/>
          <w:tblHeader/>
        </w:trPr>
        <w:tc>
          <w:tcPr>
            <w:tcW w:w="1668" w:type="dxa"/>
            <w:vMerge/>
            <w:shd w:val="clear" w:color="auto" w:fill="BFBFBF" w:themeFill="background1" w:themeFillShade="BF"/>
          </w:tcPr>
          <w:p w14:paraId="40517E85" w14:textId="77777777" w:rsidR="00443C0F" w:rsidRPr="00D52E6D" w:rsidRDefault="00443C0F" w:rsidP="00443C0F">
            <w:pPr>
              <w:spacing w:after="0" w:line="360" w:lineRule="auto"/>
              <w:rPr>
                <w:rFonts w:ascii="Times New Roman" w:hAnsi="Times New Roman"/>
                <w:b/>
                <w:szCs w:val="24"/>
              </w:rPr>
            </w:pPr>
          </w:p>
        </w:tc>
        <w:tc>
          <w:tcPr>
            <w:tcW w:w="2409" w:type="dxa"/>
            <w:vMerge/>
            <w:shd w:val="clear" w:color="auto" w:fill="BFBFBF" w:themeFill="background1" w:themeFillShade="BF"/>
          </w:tcPr>
          <w:p w14:paraId="116F8578" w14:textId="77777777" w:rsidR="00443C0F" w:rsidRPr="00D52E6D" w:rsidRDefault="00443C0F" w:rsidP="00443C0F">
            <w:pPr>
              <w:spacing w:after="0" w:line="360" w:lineRule="auto"/>
              <w:jc w:val="center"/>
              <w:rPr>
                <w:rFonts w:ascii="Times New Roman" w:hAnsi="Times New Roman"/>
                <w:b/>
                <w:szCs w:val="24"/>
              </w:rPr>
            </w:pPr>
          </w:p>
        </w:tc>
        <w:tc>
          <w:tcPr>
            <w:tcW w:w="1134" w:type="dxa"/>
            <w:shd w:val="clear" w:color="auto" w:fill="BFBFBF" w:themeFill="background1" w:themeFillShade="BF"/>
          </w:tcPr>
          <w:p w14:paraId="7E5FF534" w14:textId="77777777" w:rsidR="00443C0F" w:rsidRPr="00D52E6D" w:rsidRDefault="00443C0F" w:rsidP="00443C0F">
            <w:pPr>
              <w:spacing w:after="0" w:line="360" w:lineRule="auto"/>
              <w:jc w:val="center"/>
              <w:rPr>
                <w:rFonts w:ascii="Times New Roman" w:hAnsi="Times New Roman"/>
                <w:b/>
                <w:szCs w:val="24"/>
              </w:rPr>
            </w:pPr>
            <w:r>
              <w:rPr>
                <w:rFonts w:ascii="Times New Roman" w:hAnsi="Times New Roman"/>
                <w:b/>
                <w:szCs w:val="24"/>
              </w:rPr>
              <w:t>Number</w:t>
            </w:r>
          </w:p>
        </w:tc>
        <w:tc>
          <w:tcPr>
            <w:tcW w:w="3805" w:type="dxa"/>
            <w:shd w:val="clear" w:color="auto" w:fill="BFBFBF" w:themeFill="background1" w:themeFillShade="BF"/>
          </w:tcPr>
          <w:p w14:paraId="424EB6F7" w14:textId="77777777" w:rsidR="00443C0F" w:rsidRPr="00D52E6D" w:rsidRDefault="00443C0F" w:rsidP="00443C0F">
            <w:pPr>
              <w:spacing w:after="0" w:line="360" w:lineRule="auto"/>
              <w:jc w:val="center"/>
              <w:rPr>
                <w:rFonts w:ascii="Times New Roman" w:hAnsi="Times New Roman"/>
                <w:b/>
                <w:szCs w:val="24"/>
              </w:rPr>
            </w:pPr>
            <w:r>
              <w:rPr>
                <w:rFonts w:ascii="Times New Roman" w:hAnsi="Times New Roman"/>
                <w:b/>
                <w:szCs w:val="24"/>
              </w:rPr>
              <w:t>Description of unachieved targets</w:t>
            </w:r>
          </w:p>
        </w:tc>
      </w:tr>
      <w:tr w:rsidR="00443C0F" w:rsidRPr="00586CCF" w14:paraId="2CDC60CB" w14:textId="77777777" w:rsidTr="00443C0F">
        <w:tc>
          <w:tcPr>
            <w:tcW w:w="1668" w:type="dxa"/>
            <w:vMerge w:val="restart"/>
          </w:tcPr>
          <w:p w14:paraId="56BABE6C" w14:textId="77777777" w:rsidR="00443C0F" w:rsidRPr="006D18C5" w:rsidRDefault="00443C0F" w:rsidP="00443C0F">
            <w:pPr>
              <w:autoSpaceDE w:val="0"/>
              <w:autoSpaceDN w:val="0"/>
              <w:adjustRightInd w:val="0"/>
              <w:spacing w:after="0" w:line="360" w:lineRule="auto"/>
              <w:rPr>
                <w:rFonts w:ascii="Times New Roman" w:hAnsi="Times New Roman"/>
                <w:sz w:val="22"/>
                <w:szCs w:val="24"/>
              </w:rPr>
            </w:pPr>
            <w:r w:rsidRPr="006D18C5">
              <w:rPr>
                <w:rFonts w:ascii="Times New Roman" w:hAnsi="Times New Roman"/>
                <w:color w:val="333333"/>
                <w:sz w:val="22"/>
                <w:szCs w:val="24"/>
              </w:rPr>
              <w:t>Increased</w:t>
            </w:r>
            <w:r>
              <w:rPr>
                <w:rFonts w:ascii="Times New Roman" w:eastAsiaTheme="minorHAnsi" w:hAnsi="Times New Roman"/>
                <w:color w:val="333333"/>
                <w:sz w:val="22"/>
                <w:szCs w:val="24"/>
              </w:rPr>
              <w:t xml:space="preserve"> </w:t>
            </w:r>
            <w:r w:rsidRPr="006D18C5">
              <w:rPr>
                <w:rFonts w:ascii="Times New Roman" w:hAnsi="Times New Roman"/>
                <w:color w:val="333333"/>
                <w:sz w:val="22"/>
                <w:szCs w:val="24"/>
              </w:rPr>
              <w:t>revenue</w:t>
            </w:r>
          </w:p>
        </w:tc>
        <w:tc>
          <w:tcPr>
            <w:tcW w:w="2409" w:type="dxa"/>
          </w:tcPr>
          <w:p w14:paraId="552808C7"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Revenue from services</w:t>
            </w:r>
          </w:p>
          <w:p w14:paraId="7BE5A86F" w14:textId="77777777" w:rsidR="00443C0F" w:rsidRPr="006D18C5" w:rsidRDefault="00443C0F" w:rsidP="00443C0F">
            <w:pPr>
              <w:spacing w:after="0" w:line="360" w:lineRule="auto"/>
              <w:rPr>
                <w:rFonts w:ascii="Times New Roman" w:hAnsi="Times New Roman"/>
                <w:sz w:val="22"/>
                <w:szCs w:val="24"/>
              </w:rPr>
            </w:pPr>
          </w:p>
          <w:p w14:paraId="347BAAFA"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Other income</w:t>
            </w:r>
          </w:p>
        </w:tc>
        <w:tc>
          <w:tcPr>
            <w:tcW w:w="1134" w:type="dxa"/>
          </w:tcPr>
          <w:p w14:paraId="075B0E04" w14:textId="77777777" w:rsidR="00443C0F" w:rsidRDefault="00443C0F" w:rsidP="00443C0F">
            <w:pPr>
              <w:spacing w:line="360" w:lineRule="auto"/>
              <w:rPr>
                <w:rFonts w:ascii="Times New Roman" w:hAnsi="Times New Roman"/>
                <w:szCs w:val="24"/>
              </w:rPr>
            </w:pPr>
            <w:r>
              <w:rPr>
                <w:rFonts w:ascii="Times New Roman" w:hAnsi="Times New Roman"/>
                <w:szCs w:val="24"/>
              </w:rPr>
              <w:t>Achieved:</w:t>
            </w:r>
            <w:r w:rsidRPr="006D18C5">
              <w:rPr>
                <w:rFonts w:ascii="Times New Roman" w:hAnsi="Times New Roman"/>
                <w:sz w:val="22"/>
                <w:szCs w:val="24"/>
              </w:rPr>
              <w:t xml:space="preserve">1 </w:t>
            </w:r>
          </w:p>
          <w:p w14:paraId="4B357716" w14:textId="77777777" w:rsidR="00443C0F" w:rsidRPr="006D18C5" w:rsidRDefault="00443C0F" w:rsidP="00443C0F">
            <w:pPr>
              <w:spacing w:line="360" w:lineRule="auto"/>
              <w:rPr>
                <w:rFonts w:ascii="Times New Roman" w:hAnsi="Times New Roman"/>
                <w:szCs w:val="24"/>
              </w:rPr>
            </w:pPr>
            <w:r>
              <w:rPr>
                <w:rFonts w:ascii="Times New Roman" w:hAnsi="Times New Roman"/>
                <w:szCs w:val="24"/>
              </w:rPr>
              <w:t xml:space="preserve">Unachieved: </w:t>
            </w:r>
            <w:r w:rsidRPr="006D18C5">
              <w:rPr>
                <w:rFonts w:ascii="Times New Roman" w:hAnsi="Times New Roman"/>
                <w:sz w:val="22"/>
                <w:szCs w:val="24"/>
              </w:rPr>
              <w:t>2</w:t>
            </w:r>
          </w:p>
        </w:tc>
        <w:tc>
          <w:tcPr>
            <w:tcW w:w="3805" w:type="dxa"/>
          </w:tcPr>
          <w:p w14:paraId="5D265358" w14:textId="77777777" w:rsidR="00443C0F" w:rsidRPr="006D18C5" w:rsidRDefault="00443C0F" w:rsidP="009D5D24">
            <w:pPr>
              <w:pStyle w:val="ListParagraph"/>
              <w:numPr>
                <w:ilvl w:val="0"/>
                <w:numId w:val="13"/>
              </w:numPr>
              <w:spacing w:after="0" w:line="360" w:lineRule="auto"/>
              <w:ind w:left="313"/>
              <w:contextualSpacing w:val="0"/>
              <w:rPr>
                <w:rFonts w:ascii="Times New Roman" w:hAnsi="Times New Roman"/>
                <w:sz w:val="22"/>
                <w:szCs w:val="24"/>
              </w:rPr>
            </w:pPr>
            <w:r w:rsidRPr="006D18C5">
              <w:rPr>
                <w:rFonts w:ascii="Times New Roman" w:hAnsi="Times New Roman"/>
                <w:sz w:val="22"/>
                <w:szCs w:val="24"/>
              </w:rPr>
              <w:t>Target on increasing revenue from services was not met</w:t>
            </w:r>
            <w:r>
              <w:rPr>
                <w:rFonts w:ascii="Times New Roman" w:hAnsi="Times New Roman"/>
                <w:sz w:val="22"/>
                <w:szCs w:val="24"/>
              </w:rPr>
              <w:t>, only</w:t>
            </w:r>
            <w:r w:rsidRPr="006D18C5">
              <w:rPr>
                <w:rFonts w:ascii="Times New Roman" w:hAnsi="Times New Roman"/>
                <w:sz w:val="22"/>
                <w:szCs w:val="24"/>
              </w:rPr>
              <w:t xml:space="preserve"> R500.9 million was achieved against a target of R634.8 million.</w:t>
            </w:r>
          </w:p>
          <w:p w14:paraId="22583455" w14:textId="77777777" w:rsidR="00443C0F" w:rsidRPr="006D18C5" w:rsidRDefault="00443C0F" w:rsidP="009D5D24">
            <w:pPr>
              <w:pStyle w:val="ListParagraph"/>
              <w:numPr>
                <w:ilvl w:val="0"/>
                <w:numId w:val="13"/>
              </w:numPr>
              <w:spacing w:after="0" w:line="360" w:lineRule="auto"/>
              <w:ind w:left="313"/>
              <w:contextualSpacing w:val="0"/>
              <w:rPr>
                <w:rFonts w:ascii="Times New Roman" w:hAnsi="Times New Roman"/>
                <w:sz w:val="22"/>
                <w:szCs w:val="24"/>
              </w:rPr>
            </w:pPr>
            <w:r w:rsidRPr="006D18C5">
              <w:rPr>
                <w:rFonts w:ascii="Times New Roman" w:hAnsi="Times New Roman"/>
                <w:sz w:val="22"/>
                <w:szCs w:val="24"/>
              </w:rPr>
              <w:t xml:space="preserve">Increasing operating profit was not achieved. The profit was at </w:t>
            </w:r>
            <w:r w:rsidRPr="00F11E56">
              <w:rPr>
                <w:rFonts w:ascii="Times New Roman" w:hAnsi="Times New Roman"/>
                <w:sz w:val="22"/>
                <w:szCs w:val="24"/>
              </w:rPr>
              <w:t>-8.7</w:t>
            </w:r>
            <w:r w:rsidRPr="00F11E56">
              <w:rPr>
                <w:rFonts w:ascii="Times New Roman" w:hAnsi="Times New Roman"/>
                <w:szCs w:val="24"/>
              </w:rPr>
              <w:t>%</w:t>
            </w:r>
            <w:r w:rsidRPr="006D18C5">
              <w:rPr>
                <w:rFonts w:ascii="Times New Roman" w:hAnsi="Times New Roman"/>
                <w:sz w:val="22"/>
                <w:szCs w:val="24"/>
              </w:rPr>
              <w:t xml:space="preserve"> against a target of </w:t>
            </w:r>
            <w:r w:rsidRPr="00F11E56">
              <w:rPr>
                <w:rFonts w:ascii="Times New Roman" w:hAnsi="Times New Roman"/>
                <w:sz w:val="22"/>
                <w:szCs w:val="24"/>
              </w:rPr>
              <w:t>-6</w:t>
            </w:r>
            <w:r w:rsidRPr="00F11E56">
              <w:rPr>
                <w:rFonts w:ascii="Times New Roman" w:hAnsi="Times New Roman"/>
                <w:szCs w:val="24"/>
              </w:rPr>
              <w:t>%,</w:t>
            </w:r>
            <w:r>
              <w:rPr>
                <w:rFonts w:ascii="Times New Roman" w:hAnsi="Times New Roman"/>
                <w:szCs w:val="24"/>
              </w:rPr>
              <w:t xml:space="preserve"> as the MTEF grant allocation was reduced by R68 million</w:t>
            </w:r>
            <w:r w:rsidRPr="006D18C5">
              <w:rPr>
                <w:rFonts w:ascii="Times New Roman" w:hAnsi="Times New Roman"/>
                <w:sz w:val="22"/>
                <w:szCs w:val="24"/>
              </w:rPr>
              <w:t>.</w:t>
            </w:r>
          </w:p>
        </w:tc>
      </w:tr>
      <w:tr w:rsidR="00443C0F" w:rsidRPr="00586CCF" w14:paraId="16780377" w14:textId="77777777" w:rsidTr="00443C0F">
        <w:tc>
          <w:tcPr>
            <w:tcW w:w="1668" w:type="dxa"/>
            <w:vMerge/>
          </w:tcPr>
          <w:p w14:paraId="1D7A2344" w14:textId="77777777" w:rsidR="00443C0F" w:rsidRPr="006D18C5" w:rsidRDefault="00443C0F" w:rsidP="00443C0F">
            <w:pPr>
              <w:spacing w:after="0" w:line="360" w:lineRule="auto"/>
              <w:rPr>
                <w:rFonts w:ascii="Times New Roman" w:hAnsi="Times New Roman"/>
                <w:sz w:val="22"/>
                <w:szCs w:val="24"/>
              </w:rPr>
            </w:pPr>
          </w:p>
        </w:tc>
        <w:tc>
          <w:tcPr>
            <w:tcW w:w="2409" w:type="dxa"/>
          </w:tcPr>
          <w:p w14:paraId="71A7A12C" w14:textId="77777777" w:rsidR="00443C0F" w:rsidRPr="006D18C5" w:rsidRDefault="00443C0F" w:rsidP="00443C0F">
            <w:pPr>
              <w:autoSpaceDE w:val="0"/>
              <w:autoSpaceDN w:val="0"/>
              <w:adjustRightInd w:val="0"/>
              <w:spacing w:after="0" w:line="360" w:lineRule="auto"/>
              <w:rPr>
                <w:rFonts w:ascii="Times New Roman" w:hAnsi="Times New Roman"/>
                <w:b/>
                <w:sz w:val="22"/>
                <w:szCs w:val="24"/>
              </w:rPr>
            </w:pPr>
            <w:r w:rsidRPr="006D18C5">
              <w:rPr>
                <w:rFonts w:ascii="Times New Roman" w:hAnsi="Times New Roman"/>
                <w:color w:val="333333"/>
                <w:sz w:val="22"/>
                <w:szCs w:val="24"/>
              </w:rPr>
              <w:t>Increase in services offered</w:t>
            </w:r>
          </w:p>
        </w:tc>
        <w:tc>
          <w:tcPr>
            <w:tcW w:w="1134" w:type="dxa"/>
          </w:tcPr>
          <w:p w14:paraId="46DEFB09" w14:textId="77777777" w:rsidR="00443C0F" w:rsidRPr="006D18C5" w:rsidRDefault="00443C0F" w:rsidP="00443C0F">
            <w:pPr>
              <w:spacing w:after="0" w:line="360" w:lineRule="auto"/>
              <w:rPr>
                <w:rFonts w:ascii="Times New Roman" w:hAnsi="Times New Roman"/>
                <w:sz w:val="22"/>
                <w:szCs w:val="24"/>
              </w:rPr>
            </w:pPr>
            <w:r>
              <w:rPr>
                <w:rFonts w:ascii="Times New Roman" w:hAnsi="Times New Roman"/>
                <w:sz w:val="22"/>
                <w:szCs w:val="24"/>
              </w:rPr>
              <w:t>Achieved</w:t>
            </w:r>
            <w:r w:rsidRPr="006D18C5">
              <w:rPr>
                <w:rFonts w:ascii="Times New Roman" w:hAnsi="Times New Roman"/>
                <w:sz w:val="22"/>
                <w:szCs w:val="24"/>
              </w:rPr>
              <w:t>:</w:t>
            </w:r>
            <w:r>
              <w:rPr>
                <w:rFonts w:ascii="Times New Roman" w:hAnsi="Times New Roman"/>
                <w:sz w:val="22"/>
                <w:szCs w:val="24"/>
              </w:rPr>
              <w:t xml:space="preserve"> 1</w:t>
            </w:r>
          </w:p>
        </w:tc>
        <w:tc>
          <w:tcPr>
            <w:tcW w:w="3805" w:type="dxa"/>
          </w:tcPr>
          <w:p w14:paraId="73517164"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w:t>
            </w:r>
          </w:p>
        </w:tc>
      </w:tr>
      <w:tr w:rsidR="00443C0F" w:rsidRPr="00586CCF" w14:paraId="78D60B18" w14:textId="77777777" w:rsidTr="00443C0F">
        <w:tc>
          <w:tcPr>
            <w:tcW w:w="1668" w:type="dxa"/>
          </w:tcPr>
          <w:p w14:paraId="1529A2B5" w14:textId="77777777" w:rsidR="00443C0F" w:rsidRPr="006D18C5" w:rsidRDefault="00443C0F" w:rsidP="00443C0F">
            <w:pPr>
              <w:autoSpaceDE w:val="0"/>
              <w:autoSpaceDN w:val="0"/>
              <w:adjustRightInd w:val="0"/>
              <w:spacing w:after="0" w:line="360" w:lineRule="auto"/>
              <w:rPr>
                <w:rFonts w:ascii="Times New Roman" w:hAnsi="Times New Roman"/>
                <w:sz w:val="22"/>
                <w:szCs w:val="24"/>
              </w:rPr>
            </w:pPr>
            <w:r w:rsidRPr="006D18C5">
              <w:rPr>
                <w:rFonts w:ascii="Times New Roman" w:hAnsi="Times New Roman"/>
                <w:color w:val="333333"/>
                <w:sz w:val="22"/>
                <w:szCs w:val="24"/>
              </w:rPr>
              <w:t>SMME and entrepreneurship development</w:t>
            </w:r>
          </w:p>
        </w:tc>
        <w:tc>
          <w:tcPr>
            <w:tcW w:w="2409" w:type="dxa"/>
          </w:tcPr>
          <w:p w14:paraId="7953AF40" w14:textId="77777777" w:rsidR="00443C0F" w:rsidRPr="006D18C5" w:rsidRDefault="00443C0F" w:rsidP="00443C0F">
            <w:pPr>
              <w:autoSpaceDE w:val="0"/>
              <w:autoSpaceDN w:val="0"/>
              <w:adjustRightInd w:val="0"/>
              <w:spacing w:after="0" w:line="360" w:lineRule="auto"/>
              <w:rPr>
                <w:rFonts w:ascii="Times New Roman" w:hAnsi="Times New Roman"/>
                <w:sz w:val="22"/>
                <w:szCs w:val="24"/>
              </w:rPr>
            </w:pPr>
            <w:r w:rsidRPr="006D18C5">
              <w:rPr>
                <w:rFonts w:ascii="Times New Roman" w:hAnsi="Times New Roman"/>
                <w:color w:val="333333"/>
                <w:sz w:val="22"/>
                <w:szCs w:val="24"/>
              </w:rPr>
              <w:t>65 SMMEs and new and existing entrepreneurs for which design, innovation and standardization interventions implemented</w:t>
            </w:r>
          </w:p>
        </w:tc>
        <w:tc>
          <w:tcPr>
            <w:tcW w:w="1134" w:type="dxa"/>
          </w:tcPr>
          <w:p w14:paraId="1A771E9E" w14:textId="77777777" w:rsidR="00443C0F" w:rsidRPr="006D18C5" w:rsidRDefault="00443C0F" w:rsidP="00443C0F">
            <w:pPr>
              <w:spacing w:after="0" w:line="360" w:lineRule="auto"/>
              <w:rPr>
                <w:rFonts w:ascii="Times New Roman" w:hAnsi="Times New Roman"/>
                <w:sz w:val="22"/>
                <w:szCs w:val="24"/>
              </w:rPr>
            </w:pPr>
            <w:r>
              <w:rPr>
                <w:rFonts w:ascii="Times New Roman" w:hAnsi="Times New Roman"/>
                <w:sz w:val="22"/>
                <w:szCs w:val="24"/>
              </w:rPr>
              <w:t>Achieved</w:t>
            </w:r>
            <w:r w:rsidRPr="000407A5">
              <w:rPr>
                <w:rFonts w:ascii="Times New Roman" w:hAnsi="Times New Roman"/>
                <w:sz w:val="22"/>
                <w:szCs w:val="24"/>
              </w:rPr>
              <w:t>:</w:t>
            </w:r>
            <w:r>
              <w:rPr>
                <w:rFonts w:ascii="Times New Roman" w:hAnsi="Times New Roman"/>
                <w:sz w:val="22"/>
                <w:szCs w:val="24"/>
              </w:rPr>
              <w:t xml:space="preserve"> 1</w:t>
            </w:r>
          </w:p>
        </w:tc>
        <w:tc>
          <w:tcPr>
            <w:tcW w:w="3805" w:type="dxa"/>
          </w:tcPr>
          <w:p w14:paraId="66DE4A52"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w:t>
            </w:r>
          </w:p>
        </w:tc>
      </w:tr>
      <w:tr w:rsidR="00443C0F" w:rsidRPr="00586CCF" w14:paraId="4484E26C" w14:textId="77777777" w:rsidTr="00443C0F">
        <w:trPr>
          <w:trHeight w:val="1203"/>
        </w:trPr>
        <w:tc>
          <w:tcPr>
            <w:tcW w:w="1668" w:type="dxa"/>
          </w:tcPr>
          <w:p w14:paraId="467499B8" w14:textId="77777777" w:rsidR="00443C0F" w:rsidRPr="006D18C5" w:rsidRDefault="00443C0F" w:rsidP="00443C0F">
            <w:pPr>
              <w:autoSpaceDE w:val="0"/>
              <w:autoSpaceDN w:val="0"/>
              <w:adjustRightInd w:val="0"/>
              <w:spacing w:after="0" w:line="360" w:lineRule="auto"/>
              <w:rPr>
                <w:rFonts w:ascii="Times New Roman" w:hAnsi="Times New Roman"/>
                <w:sz w:val="22"/>
                <w:szCs w:val="24"/>
              </w:rPr>
            </w:pPr>
            <w:r w:rsidRPr="006D18C5">
              <w:rPr>
                <w:rFonts w:ascii="Times New Roman" w:hAnsi="Times New Roman"/>
                <w:color w:val="333333"/>
                <w:sz w:val="22"/>
                <w:szCs w:val="24"/>
              </w:rPr>
              <w:t>Improvement in stakeholder relations</w:t>
            </w:r>
          </w:p>
        </w:tc>
        <w:tc>
          <w:tcPr>
            <w:tcW w:w="2409" w:type="dxa"/>
          </w:tcPr>
          <w:p w14:paraId="023A0762"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Produce 4 sector-specific publications</w:t>
            </w:r>
          </w:p>
        </w:tc>
        <w:tc>
          <w:tcPr>
            <w:tcW w:w="1134" w:type="dxa"/>
          </w:tcPr>
          <w:p w14:paraId="0739DE6C" w14:textId="77777777" w:rsidR="00443C0F" w:rsidRPr="006D18C5" w:rsidRDefault="00443C0F" w:rsidP="00443C0F">
            <w:pPr>
              <w:spacing w:after="0" w:line="360" w:lineRule="auto"/>
              <w:rPr>
                <w:rFonts w:ascii="Times New Roman" w:hAnsi="Times New Roman"/>
                <w:sz w:val="22"/>
                <w:szCs w:val="24"/>
              </w:rPr>
            </w:pPr>
            <w:r>
              <w:rPr>
                <w:rFonts w:ascii="Times New Roman" w:hAnsi="Times New Roman"/>
                <w:sz w:val="22"/>
                <w:szCs w:val="24"/>
              </w:rPr>
              <w:t>Achieved</w:t>
            </w:r>
            <w:r w:rsidRPr="000407A5">
              <w:rPr>
                <w:rFonts w:ascii="Times New Roman" w:hAnsi="Times New Roman"/>
                <w:sz w:val="22"/>
                <w:szCs w:val="24"/>
              </w:rPr>
              <w:t>:</w:t>
            </w:r>
            <w:r>
              <w:rPr>
                <w:rFonts w:ascii="Times New Roman" w:hAnsi="Times New Roman"/>
                <w:sz w:val="22"/>
                <w:szCs w:val="24"/>
              </w:rPr>
              <w:t xml:space="preserve"> 1</w:t>
            </w:r>
          </w:p>
        </w:tc>
        <w:tc>
          <w:tcPr>
            <w:tcW w:w="3805" w:type="dxa"/>
          </w:tcPr>
          <w:p w14:paraId="521681F8"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w:t>
            </w:r>
          </w:p>
        </w:tc>
      </w:tr>
      <w:tr w:rsidR="00443C0F" w:rsidRPr="00586CCF" w14:paraId="4F75D745" w14:textId="77777777" w:rsidTr="00443C0F">
        <w:tc>
          <w:tcPr>
            <w:tcW w:w="1668" w:type="dxa"/>
          </w:tcPr>
          <w:p w14:paraId="38EF23E6" w14:textId="77777777" w:rsidR="00443C0F" w:rsidRPr="006D18C5" w:rsidRDefault="00443C0F" w:rsidP="00443C0F">
            <w:pPr>
              <w:autoSpaceDE w:val="0"/>
              <w:autoSpaceDN w:val="0"/>
              <w:adjustRightInd w:val="0"/>
              <w:spacing w:after="0" w:line="360" w:lineRule="auto"/>
              <w:rPr>
                <w:rFonts w:ascii="Times New Roman" w:hAnsi="Times New Roman"/>
                <w:sz w:val="22"/>
                <w:szCs w:val="24"/>
                <w:lang w:eastAsia="en-ZA"/>
              </w:rPr>
            </w:pPr>
            <w:r w:rsidRPr="006D18C5">
              <w:rPr>
                <w:rFonts w:ascii="Times New Roman" w:hAnsi="Times New Roman"/>
                <w:color w:val="333333"/>
                <w:sz w:val="22"/>
                <w:szCs w:val="24"/>
              </w:rPr>
              <w:t>Modernisation of SABS operations</w:t>
            </w:r>
          </w:p>
        </w:tc>
        <w:tc>
          <w:tcPr>
            <w:tcW w:w="2409" w:type="dxa"/>
          </w:tcPr>
          <w:p w14:paraId="49410027" w14:textId="77777777" w:rsidR="00443C0F" w:rsidRPr="006D18C5" w:rsidRDefault="00443C0F" w:rsidP="00443C0F">
            <w:pPr>
              <w:autoSpaceDE w:val="0"/>
              <w:autoSpaceDN w:val="0"/>
              <w:adjustRightInd w:val="0"/>
              <w:spacing w:after="0" w:line="360" w:lineRule="auto"/>
              <w:rPr>
                <w:rFonts w:ascii="Times New Roman" w:hAnsi="Times New Roman"/>
                <w:sz w:val="22"/>
                <w:szCs w:val="24"/>
              </w:rPr>
            </w:pPr>
            <w:r w:rsidRPr="006D18C5">
              <w:rPr>
                <w:rFonts w:ascii="Times New Roman" w:hAnsi="Times New Roman"/>
                <w:color w:val="333333"/>
                <w:sz w:val="22"/>
                <w:szCs w:val="24"/>
              </w:rPr>
              <w:t>1 service lines whose business processes are automated</w:t>
            </w:r>
          </w:p>
        </w:tc>
        <w:tc>
          <w:tcPr>
            <w:tcW w:w="1134" w:type="dxa"/>
          </w:tcPr>
          <w:p w14:paraId="5DAFAA96" w14:textId="77777777" w:rsidR="00443C0F" w:rsidRPr="006D18C5" w:rsidRDefault="00443C0F" w:rsidP="00443C0F">
            <w:pPr>
              <w:spacing w:after="0" w:line="360" w:lineRule="auto"/>
              <w:rPr>
                <w:rFonts w:ascii="Times New Roman" w:hAnsi="Times New Roman"/>
                <w:sz w:val="22"/>
                <w:szCs w:val="24"/>
              </w:rPr>
            </w:pPr>
            <w:r>
              <w:rPr>
                <w:rFonts w:ascii="Times New Roman" w:hAnsi="Times New Roman"/>
                <w:sz w:val="22"/>
                <w:szCs w:val="24"/>
              </w:rPr>
              <w:t>Achieved</w:t>
            </w:r>
            <w:r w:rsidRPr="000407A5">
              <w:rPr>
                <w:rFonts w:ascii="Times New Roman" w:hAnsi="Times New Roman"/>
                <w:sz w:val="22"/>
                <w:szCs w:val="24"/>
              </w:rPr>
              <w:t>:</w:t>
            </w:r>
            <w:r>
              <w:rPr>
                <w:rFonts w:ascii="Times New Roman" w:hAnsi="Times New Roman"/>
                <w:sz w:val="22"/>
                <w:szCs w:val="24"/>
              </w:rPr>
              <w:t xml:space="preserve"> 1</w:t>
            </w:r>
          </w:p>
        </w:tc>
        <w:tc>
          <w:tcPr>
            <w:tcW w:w="3805" w:type="dxa"/>
          </w:tcPr>
          <w:p w14:paraId="37303534"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w:t>
            </w:r>
          </w:p>
        </w:tc>
      </w:tr>
      <w:tr w:rsidR="00443C0F" w:rsidRPr="00586CCF" w14:paraId="0D388630" w14:textId="77777777" w:rsidTr="00443C0F">
        <w:tc>
          <w:tcPr>
            <w:tcW w:w="1668" w:type="dxa"/>
          </w:tcPr>
          <w:p w14:paraId="76D04190" w14:textId="77777777" w:rsidR="00443C0F" w:rsidRPr="006D18C5" w:rsidRDefault="00443C0F" w:rsidP="00443C0F">
            <w:pPr>
              <w:spacing w:after="0" w:line="360" w:lineRule="auto"/>
              <w:rPr>
                <w:rFonts w:ascii="Times New Roman" w:hAnsi="Times New Roman"/>
                <w:sz w:val="22"/>
                <w:szCs w:val="24"/>
                <w:lang w:eastAsia="en-ZA"/>
              </w:rPr>
            </w:pPr>
            <w:r w:rsidRPr="006D18C5">
              <w:rPr>
                <w:rFonts w:ascii="Times New Roman" w:hAnsi="Times New Roman"/>
                <w:sz w:val="22"/>
                <w:szCs w:val="24"/>
                <w:lang w:eastAsia="en-ZA"/>
              </w:rPr>
              <w:t>Optimisation of property assets of SABS</w:t>
            </w:r>
          </w:p>
        </w:tc>
        <w:tc>
          <w:tcPr>
            <w:tcW w:w="2409" w:type="dxa"/>
          </w:tcPr>
          <w:p w14:paraId="2E7026CD"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lang w:eastAsia="en-ZA"/>
              </w:rPr>
              <w:t>Progress against the implementation of SABS Property</w:t>
            </w:r>
          </w:p>
        </w:tc>
        <w:tc>
          <w:tcPr>
            <w:tcW w:w="1134" w:type="dxa"/>
          </w:tcPr>
          <w:p w14:paraId="1F8D591F" w14:textId="77777777" w:rsidR="00443C0F" w:rsidRPr="006D18C5" w:rsidRDefault="00443C0F" w:rsidP="00443C0F">
            <w:pPr>
              <w:spacing w:after="0" w:line="360" w:lineRule="auto"/>
              <w:rPr>
                <w:rFonts w:ascii="Times New Roman" w:hAnsi="Times New Roman"/>
                <w:sz w:val="22"/>
                <w:szCs w:val="24"/>
              </w:rPr>
            </w:pPr>
            <w:r>
              <w:rPr>
                <w:rFonts w:ascii="Times New Roman" w:hAnsi="Times New Roman"/>
                <w:sz w:val="22"/>
                <w:szCs w:val="24"/>
              </w:rPr>
              <w:t>Achieved</w:t>
            </w:r>
            <w:r w:rsidRPr="000407A5">
              <w:rPr>
                <w:rFonts w:ascii="Times New Roman" w:hAnsi="Times New Roman"/>
                <w:sz w:val="22"/>
                <w:szCs w:val="24"/>
              </w:rPr>
              <w:t>:</w:t>
            </w:r>
            <w:r>
              <w:rPr>
                <w:rFonts w:ascii="Times New Roman" w:hAnsi="Times New Roman"/>
                <w:sz w:val="22"/>
                <w:szCs w:val="24"/>
              </w:rPr>
              <w:t xml:space="preserve"> 1</w:t>
            </w:r>
          </w:p>
        </w:tc>
        <w:tc>
          <w:tcPr>
            <w:tcW w:w="3805" w:type="dxa"/>
          </w:tcPr>
          <w:p w14:paraId="0CA0BB27"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w:t>
            </w:r>
          </w:p>
        </w:tc>
      </w:tr>
      <w:tr w:rsidR="00443C0F" w:rsidRPr="00586CCF" w14:paraId="4AF1CE81" w14:textId="77777777" w:rsidTr="00443C0F">
        <w:tc>
          <w:tcPr>
            <w:tcW w:w="1668" w:type="dxa"/>
          </w:tcPr>
          <w:p w14:paraId="4C8089B2" w14:textId="77777777" w:rsidR="00443C0F" w:rsidRPr="006D18C5" w:rsidRDefault="00443C0F" w:rsidP="00443C0F">
            <w:pPr>
              <w:autoSpaceDE w:val="0"/>
              <w:autoSpaceDN w:val="0"/>
              <w:adjustRightInd w:val="0"/>
              <w:spacing w:after="0" w:line="360" w:lineRule="auto"/>
              <w:rPr>
                <w:rFonts w:ascii="Times New Roman" w:hAnsi="Times New Roman"/>
                <w:sz w:val="22"/>
                <w:szCs w:val="24"/>
                <w:lang w:eastAsia="en-ZA"/>
              </w:rPr>
            </w:pPr>
            <w:r w:rsidRPr="006D18C5">
              <w:rPr>
                <w:rFonts w:ascii="Times New Roman" w:hAnsi="Times New Roman"/>
                <w:color w:val="333333"/>
                <w:sz w:val="22"/>
                <w:szCs w:val="24"/>
              </w:rPr>
              <w:t>Increase in</w:t>
            </w:r>
            <w:r>
              <w:rPr>
                <w:rFonts w:ascii="Times New Roman" w:eastAsiaTheme="minorHAnsi" w:hAnsi="Times New Roman"/>
                <w:color w:val="333333"/>
                <w:sz w:val="22"/>
                <w:szCs w:val="24"/>
              </w:rPr>
              <w:t xml:space="preserve"> </w:t>
            </w:r>
            <w:r w:rsidRPr="006D18C5">
              <w:rPr>
                <w:rFonts w:ascii="Times New Roman" w:hAnsi="Times New Roman"/>
                <w:color w:val="333333"/>
                <w:sz w:val="22"/>
                <w:szCs w:val="24"/>
              </w:rPr>
              <w:t>operational</w:t>
            </w:r>
            <w:r>
              <w:rPr>
                <w:rFonts w:ascii="Times New Roman" w:eastAsiaTheme="minorHAnsi" w:hAnsi="Times New Roman"/>
                <w:color w:val="333333"/>
                <w:sz w:val="22"/>
                <w:szCs w:val="24"/>
              </w:rPr>
              <w:t xml:space="preserve"> </w:t>
            </w:r>
            <w:r w:rsidRPr="006D18C5">
              <w:rPr>
                <w:rFonts w:ascii="Times New Roman" w:hAnsi="Times New Roman"/>
                <w:color w:val="333333"/>
                <w:sz w:val="22"/>
                <w:szCs w:val="24"/>
              </w:rPr>
              <w:t>effectiveness in Testing and Standards Development</w:t>
            </w:r>
          </w:p>
        </w:tc>
        <w:tc>
          <w:tcPr>
            <w:tcW w:w="2409" w:type="dxa"/>
          </w:tcPr>
          <w:p w14:paraId="7A2F5C95" w14:textId="77777777" w:rsidR="00443C0F"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50% Progress against the implementation</w:t>
            </w:r>
            <w:r>
              <w:rPr>
                <w:rFonts w:ascii="Times New Roman" w:hAnsi="Times New Roman"/>
                <w:sz w:val="22"/>
                <w:szCs w:val="24"/>
              </w:rPr>
              <w:t xml:space="preserve"> </w:t>
            </w:r>
            <w:r w:rsidRPr="006D18C5">
              <w:rPr>
                <w:rFonts w:ascii="Times New Roman" w:hAnsi="Times New Roman"/>
                <w:sz w:val="22"/>
                <w:szCs w:val="24"/>
              </w:rPr>
              <w:t>of the Standards Action Plan aligned to national priorities</w:t>
            </w:r>
          </w:p>
          <w:p w14:paraId="05FFC80D" w14:textId="77777777" w:rsidR="00443C0F" w:rsidRDefault="00443C0F" w:rsidP="00443C0F">
            <w:pPr>
              <w:spacing w:after="0" w:line="360" w:lineRule="auto"/>
              <w:rPr>
                <w:rFonts w:ascii="Times New Roman" w:hAnsi="Times New Roman"/>
                <w:sz w:val="22"/>
                <w:szCs w:val="24"/>
              </w:rPr>
            </w:pPr>
          </w:p>
          <w:p w14:paraId="40AA6161" w14:textId="77777777" w:rsidR="00443C0F" w:rsidRPr="006D18C5" w:rsidRDefault="00443C0F" w:rsidP="00443C0F">
            <w:pPr>
              <w:spacing w:after="0" w:line="360" w:lineRule="auto"/>
              <w:rPr>
                <w:rFonts w:ascii="Times New Roman" w:eastAsiaTheme="minorHAnsi" w:hAnsi="Times New Roman"/>
                <w:color w:val="333333"/>
                <w:sz w:val="22"/>
                <w:szCs w:val="24"/>
              </w:rPr>
            </w:pPr>
            <w:r w:rsidRPr="006D18C5">
              <w:rPr>
                <w:rFonts w:ascii="Times New Roman" w:hAnsi="Times New Roman"/>
                <w:color w:val="333333"/>
                <w:sz w:val="22"/>
                <w:szCs w:val="24"/>
              </w:rPr>
              <w:t>100% Progress against the implementation of the Testing Action Plan to close gaps in servicing Certification customers</w:t>
            </w:r>
            <w:r w:rsidRPr="006D18C5">
              <w:rPr>
                <w:rFonts w:ascii="Times New Roman" w:hAnsi="Times New Roman"/>
                <w:color w:val="333333"/>
                <w:sz w:val="22"/>
                <w:szCs w:val="24"/>
                <w:vertAlign w:val="superscript"/>
              </w:rPr>
              <w:t>1</w:t>
            </w:r>
          </w:p>
        </w:tc>
        <w:tc>
          <w:tcPr>
            <w:tcW w:w="1134" w:type="dxa"/>
          </w:tcPr>
          <w:p w14:paraId="6366AB17" w14:textId="77777777" w:rsidR="00443C0F" w:rsidRPr="006D18C5" w:rsidRDefault="00443C0F" w:rsidP="00443C0F">
            <w:pPr>
              <w:spacing w:after="0" w:line="360" w:lineRule="auto"/>
              <w:rPr>
                <w:rFonts w:ascii="Times New Roman" w:hAnsi="Times New Roman"/>
                <w:sz w:val="22"/>
                <w:szCs w:val="24"/>
              </w:rPr>
            </w:pPr>
            <w:r>
              <w:rPr>
                <w:rFonts w:ascii="Times New Roman" w:hAnsi="Times New Roman"/>
                <w:sz w:val="22"/>
                <w:szCs w:val="24"/>
              </w:rPr>
              <w:t>Achieved</w:t>
            </w:r>
            <w:r w:rsidRPr="000407A5">
              <w:rPr>
                <w:rFonts w:ascii="Times New Roman" w:hAnsi="Times New Roman"/>
                <w:sz w:val="22"/>
                <w:szCs w:val="24"/>
              </w:rPr>
              <w:t>:</w:t>
            </w:r>
            <w:r>
              <w:rPr>
                <w:rFonts w:ascii="Times New Roman" w:hAnsi="Times New Roman"/>
                <w:sz w:val="22"/>
                <w:szCs w:val="24"/>
              </w:rPr>
              <w:t xml:space="preserve"> 2</w:t>
            </w:r>
          </w:p>
        </w:tc>
        <w:tc>
          <w:tcPr>
            <w:tcW w:w="3805" w:type="dxa"/>
          </w:tcPr>
          <w:p w14:paraId="74BE7DEC"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w:t>
            </w:r>
          </w:p>
        </w:tc>
      </w:tr>
      <w:tr w:rsidR="00443C0F" w:rsidRPr="00586CCF" w14:paraId="2158C854" w14:textId="77777777" w:rsidTr="00443C0F">
        <w:tc>
          <w:tcPr>
            <w:tcW w:w="1668" w:type="dxa"/>
          </w:tcPr>
          <w:p w14:paraId="398C09CC" w14:textId="77777777" w:rsidR="00443C0F" w:rsidRPr="006D18C5" w:rsidRDefault="00443C0F" w:rsidP="00443C0F">
            <w:pPr>
              <w:autoSpaceDE w:val="0"/>
              <w:autoSpaceDN w:val="0"/>
              <w:adjustRightInd w:val="0"/>
              <w:spacing w:after="0" w:line="360" w:lineRule="auto"/>
              <w:rPr>
                <w:rFonts w:ascii="Times New Roman" w:hAnsi="Times New Roman"/>
                <w:sz w:val="22"/>
                <w:szCs w:val="24"/>
                <w:lang w:eastAsia="en-ZA"/>
              </w:rPr>
            </w:pPr>
            <w:r w:rsidRPr="006D18C5">
              <w:rPr>
                <w:rFonts w:ascii="Times New Roman" w:hAnsi="Times New Roman"/>
                <w:color w:val="333333"/>
                <w:sz w:val="22"/>
                <w:szCs w:val="24"/>
              </w:rPr>
              <w:t>Development</w:t>
            </w:r>
            <w:r>
              <w:rPr>
                <w:rFonts w:ascii="Times New Roman" w:eastAsiaTheme="minorHAnsi" w:hAnsi="Times New Roman"/>
                <w:color w:val="333333"/>
                <w:sz w:val="22"/>
                <w:szCs w:val="24"/>
              </w:rPr>
              <w:t xml:space="preserve"> </w:t>
            </w:r>
            <w:r w:rsidRPr="006D18C5">
              <w:rPr>
                <w:rFonts w:ascii="Times New Roman" w:hAnsi="Times New Roman"/>
                <w:color w:val="333333"/>
                <w:sz w:val="22"/>
                <w:szCs w:val="24"/>
              </w:rPr>
              <w:t>of technical</w:t>
            </w:r>
            <w:r>
              <w:rPr>
                <w:rFonts w:ascii="Times New Roman" w:eastAsiaTheme="minorHAnsi" w:hAnsi="Times New Roman"/>
                <w:color w:val="333333"/>
                <w:sz w:val="22"/>
                <w:szCs w:val="24"/>
              </w:rPr>
              <w:t xml:space="preserve"> </w:t>
            </w:r>
            <w:r w:rsidRPr="006D18C5">
              <w:rPr>
                <w:rFonts w:ascii="Times New Roman" w:hAnsi="Times New Roman"/>
                <w:color w:val="333333"/>
                <w:sz w:val="22"/>
                <w:szCs w:val="24"/>
              </w:rPr>
              <w:t>expertise</w:t>
            </w:r>
          </w:p>
        </w:tc>
        <w:tc>
          <w:tcPr>
            <w:tcW w:w="2409" w:type="dxa"/>
          </w:tcPr>
          <w:p w14:paraId="4C60B645" w14:textId="77777777" w:rsidR="00443C0F" w:rsidRPr="006D18C5" w:rsidRDefault="00443C0F" w:rsidP="00443C0F">
            <w:pPr>
              <w:autoSpaceDE w:val="0"/>
              <w:autoSpaceDN w:val="0"/>
              <w:adjustRightInd w:val="0"/>
              <w:spacing w:after="0" w:line="360" w:lineRule="auto"/>
              <w:rPr>
                <w:rFonts w:ascii="Times New Roman" w:eastAsiaTheme="minorHAnsi" w:hAnsi="Times New Roman"/>
                <w:color w:val="333333"/>
                <w:sz w:val="22"/>
                <w:szCs w:val="24"/>
              </w:rPr>
            </w:pPr>
            <w:r w:rsidRPr="006D18C5">
              <w:rPr>
                <w:rFonts w:ascii="Times New Roman" w:hAnsi="Times New Roman"/>
                <w:color w:val="333333"/>
                <w:sz w:val="22"/>
                <w:szCs w:val="24"/>
              </w:rPr>
              <w:t>5  technical employees that have completed specialist training with leading partners</w:t>
            </w:r>
          </w:p>
          <w:p w14:paraId="353D42C5" w14:textId="77777777" w:rsidR="00443C0F" w:rsidRPr="006D18C5" w:rsidRDefault="00443C0F" w:rsidP="00443C0F">
            <w:pPr>
              <w:spacing w:after="0" w:line="360" w:lineRule="auto"/>
              <w:jc w:val="both"/>
              <w:rPr>
                <w:rFonts w:ascii="Times New Roman" w:eastAsiaTheme="minorHAnsi" w:hAnsi="Times New Roman"/>
                <w:color w:val="333333"/>
                <w:sz w:val="22"/>
                <w:szCs w:val="24"/>
              </w:rPr>
            </w:pPr>
          </w:p>
          <w:p w14:paraId="0A3740E8" w14:textId="77777777" w:rsidR="00443C0F" w:rsidRPr="006D18C5" w:rsidRDefault="00443C0F" w:rsidP="00443C0F">
            <w:pPr>
              <w:autoSpaceDE w:val="0"/>
              <w:autoSpaceDN w:val="0"/>
              <w:adjustRightInd w:val="0"/>
              <w:spacing w:after="0" w:line="360" w:lineRule="auto"/>
              <w:rPr>
                <w:rFonts w:ascii="Times New Roman" w:eastAsiaTheme="minorHAnsi" w:hAnsi="Times New Roman"/>
                <w:color w:val="333333"/>
                <w:sz w:val="22"/>
                <w:szCs w:val="24"/>
              </w:rPr>
            </w:pPr>
            <w:r w:rsidRPr="006D18C5">
              <w:rPr>
                <w:rFonts w:ascii="Times New Roman" w:hAnsi="Times New Roman"/>
                <w:color w:val="333333"/>
                <w:sz w:val="22"/>
                <w:szCs w:val="24"/>
              </w:rPr>
              <w:t>2 Doctoral and Masters graduates recruited into Knowledge Hub sectors in support of testing and standards development</w:t>
            </w:r>
          </w:p>
        </w:tc>
        <w:tc>
          <w:tcPr>
            <w:tcW w:w="1134" w:type="dxa"/>
          </w:tcPr>
          <w:p w14:paraId="04C1C6BF" w14:textId="77777777" w:rsidR="00443C0F" w:rsidRPr="006D18C5" w:rsidRDefault="00443C0F" w:rsidP="00443C0F">
            <w:pPr>
              <w:spacing w:line="360" w:lineRule="auto"/>
              <w:rPr>
                <w:rFonts w:ascii="Times New Roman" w:hAnsi="Times New Roman"/>
                <w:szCs w:val="24"/>
              </w:rPr>
            </w:pPr>
            <w:r>
              <w:rPr>
                <w:rFonts w:ascii="Times New Roman" w:hAnsi="Times New Roman"/>
                <w:sz w:val="22"/>
                <w:szCs w:val="24"/>
              </w:rPr>
              <w:t>Achieved</w:t>
            </w:r>
            <w:r w:rsidRPr="000407A5">
              <w:rPr>
                <w:rFonts w:ascii="Times New Roman" w:hAnsi="Times New Roman"/>
                <w:sz w:val="22"/>
                <w:szCs w:val="24"/>
              </w:rPr>
              <w:t>:</w:t>
            </w:r>
            <w:r>
              <w:rPr>
                <w:rFonts w:ascii="Times New Roman" w:hAnsi="Times New Roman"/>
                <w:sz w:val="22"/>
                <w:szCs w:val="24"/>
              </w:rPr>
              <w:t xml:space="preserve"> 2</w:t>
            </w:r>
          </w:p>
        </w:tc>
        <w:tc>
          <w:tcPr>
            <w:tcW w:w="3805" w:type="dxa"/>
          </w:tcPr>
          <w:p w14:paraId="18F24549" w14:textId="77777777" w:rsidR="00443C0F" w:rsidRPr="006D18C5" w:rsidRDefault="00443C0F" w:rsidP="00443C0F">
            <w:pPr>
              <w:spacing w:after="0" w:line="360" w:lineRule="auto"/>
              <w:rPr>
                <w:rFonts w:ascii="Times New Roman" w:hAnsi="Times New Roman"/>
                <w:sz w:val="22"/>
                <w:szCs w:val="24"/>
              </w:rPr>
            </w:pPr>
            <w:r w:rsidRPr="006D18C5">
              <w:rPr>
                <w:rFonts w:ascii="Times New Roman" w:hAnsi="Times New Roman"/>
                <w:sz w:val="22"/>
                <w:szCs w:val="24"/>
              </w:rPr>
              <w:t>-</w:t>
            </w:r>
          </w:p>
        </w:tc>
      </w:tr>
    </w:tbl>
    <w:p w14:paraId="660A0AF1" w14:textId="77777777" w:rsidR="00443C0F" w:rsidRPr="00586CCF" w:rsidRDefault="00443C0F" w:rsidP="00443C0F">
      <w:pPr>
        <w:spacing w:line="360" w:lineRule="auto"/>
        <w:rPr>
          <w:rFonts w:ascii="Times New Roman" w:hAnsi="Times New Roman" w:cs="Times New Roman"/>
          <w:sz w:val="24"/>
          <w:szCs w:val="24"/>
        </w:rPr>
      </w:pPr>
    </w:p>
    <w:p w14:paraId="2A52A3E2" w14:textId="77777777" w:rsidR="00443C0F" w:rsidRPr="004265FC" w:rsidRDefault="00443C0F"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Financial performance</w:t>
      </w:r>
    </w:p>
    <w:p w14:paraId="3F65D0E5" w14:textId="77777777" w:rsidR="00443C0F" w:rsidRPr="00586CCF" w:rsidRDefault="00443C0F" w:rsidP="00443C0F">
      <w:pPr>
        <w:spacing w:line="360" w:lineRule="auto"/>
        <w:rPr>
          <w:rFonts w:ascii="Times New Roman" w:hAnsi="Times New Roman" w:cs="Times New Roman"/>
          <w:sz w:val="24"/>
          <w:szCs w:val="24"/>
        </w:rPr>
      </w:pPr>
    </w:p>
    <w:p w14:paraId="400BB915"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w:t>
      </w:r>
      <w:r>
        <w:rPr>
          <w:rFonts w:ascii="Times New Roman" w:hAnsi="Times New Roman" w:cs="Times New Roman"/>
          <w:sz w:val="24"/>
          <w:szCs w:val="24"/>
        </w:rPr>
        <w:t xml:space="preserve">SABS </w:t>
      </w:r>
      <w:r w:rsidRPr="00586CCF">
        <w:rPr>
          <w:rFonts w:ascii="Times New Roman" w:hAnsi="Times New Roman" w:cs="Times New Roman"/>
          <w:sz w:val="24"/>
          <w:szCs w:val="24"/>
        </w:rPr>
        <w:t>income is acquired from commercial operations including testing, certification, training, and standards</w:t>
      </w:r>
      <w:r>
        <w:rPr>
          <w:rFonts w:ascii="Times New Roman" w:hAnsi="Times New Roman" w:cs="Times New Roman"/>
          <w:sz w:val="24"/>
          <w:szCs w:val="24"/>
        </w:rPr>
        <w:t xml:space="preserve"> development</w:t>
      </w:r>
      <w:r w:rsidRPr="00586CCF">
        <w:rPr>
          <w:rFonts w:ascii="Times New Roman" w:hAnsi="Times New Roman" w:cs="Times New Roman"/>
          <w:sz w:val="24"/>
          <w:szCs w:val="24"/>
        </w:rPr>
        <w:t xml:space="preserve">, as well as grant funding received from the DTI. For the 2016/17 financial year, </w:t>
      </w:r>
      <w:r>
        <w:rPr>
          <w:rFonts w:ascii="Times New Roman" w:hAnsi="Times New Roman" w:cs="Times New Roman"/>
          <w:sz w:val="24"/>
          <w:szCs w:val="24"/>
        </w:rPr>
        <w:t xml:space="preserve">the </w:t>
      </w:r>
      <w:r w:rsidRPr="00586CCF">
        <w:rPr>
          <w:rFonts w:ascii="Times New Roman" w:hAnsi="Times New Roman" w:cs="Times New Roman"/>
          <w:sz w:val="24"/>
          <w:szCs w:val="24"/>
        </w:rPr>
        <w:t>SABS’</w:t>
      </w:r>
      <w:r>
        <w:rPr>
          <w:rFonts w:ascii="Times New Roman" w:hAnsi="Times New Roman" w:cs="Times New Roman"/>
          <w:sz w:val="24"/>
          <w:szCs w:val="24"/>
        </w:rPr>
        <w:t>s</w:t>
      </w:r>
      <w:r w:rsidRPr="00586CCF">
        <w:rPr>
          <w:rFonts w:ascii="Times New Roman" w:hAnsi="Times New Roman" w:cs="Times New Roman"/>
          <w:sz w:val="24"/>
          <w:szCs w:val="24"/>
        </w:rPr>
        <w:t xml:space="preserve"> revenue amounted to R697.8 million</w:t>
      </w:r>
      <w:r>
        <w:rPr>
          <w:rFonts w:ascii="Times New Roman" w:hAnsi="Times New Roman" w:cs="Times New Roman"/>
          <w:sz w:val="24"/>
          <w:szCs w:val="24"/>
        </w:rPr>
        <w:t>.</w:t>
      </w:r>
      <w:r w:rsidRPr="00586CCF">
        <w:rPr>
          <w:rFonts w:ascii="Times New Roman" w:hAnsi="Times New Roman" w:cs="Times New Roman"/>
          <w:sz w:val="24"/>
          <w:szCs w:val="24"/>
        </w:rPr>
        <w:t xml:space="preserve"> Of this</w:t>
      </w:r>
      <w:r>
        <w:rPr>
          <w:rFonts w:ascii="Times New Roman" w:hAnsi="Times New Roman" w:cs="Times New Roman"/>
          <w:sz w:val="24"/>
          <w:szCs w:val="24"/>
        </w:rPr>
        <w:t>,</w:t>
      </w:r>
      <w:r w:rsidRPr="00586CCF">
        <w:rPr>
          <w:rFonts w:ascii="Times New Roman" w:hAnsi="Times New Roman" w:cs="Times New Roman"/>
          <w:sz w:val="24"/>
          <w:szCs w:val="24"/>
        </w:rPr>
        <w:t xml:space="preserve"> R514.6 million </w:t>
      </w:r>
      <w:r>
        <w:rPr>
          <w:rFonts w:ascii="Times New Roman" w:hAnsi="Times New Roman" w:cs="Times New Roman"/>
          <w:sz w:val="24"/>
          <w:szCs w:val="24"/>
        </w:rPr>
        <w:t>was received</w:t>
      </w:r>
      <w:r w:rsidRPr="00586CCF">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586CCF">
        <w:rPr>
          <w:rFonts w:ascii="Times New Roman" w:hAnsi="Times New Roman" w:cs="Times New Roman"/>
          <w:sz w:val="24"/>
          <w:szCs w:val="24"/>
        </w:rPr>
        <w:t>commercial activities</w:t>
      </w:r>
      <w:r>
        <w:rPr>
          <w:rFonts w:ascii="Times New Roman" w:hAnsi="Times New Roman" w:cs="Times New Roman"/>
          <w:sz w:val="24"/>
          <w:szCs w:val="24"/>
        </w:rPr>
        <w:t>,</w:t>
      </w:r>
      <w:r w:rsidRPr="00586CCF">
        <w:rPr>
          <w:rFonts w:ascii="Times New Roman" w:hAnsi="Times New Roman" w:cs="Times New Roman"/>
          <w:sz w:val="24"/>
          <w:szCs w:val="24"/>
        </w:rPr>
        <w:t xml:space="preserve"> R183.2 million from grant funding, and R38.9 million in other income.</w:t>
      </w:r>
    </w:p>
    <w:p w14:paraId="1CC836F1" w14:textId="77777777" w:rsidR="00443C0F" w:rsidRPr="00586CCF" w:rsidRDefault="00443C0F" w:rsidP="00443C0F">
      <w:pPr>
        <w:spacing w:line="360" w:lineRule="auto"/>
        <w:rPr>
          <w:rFonts w:ascii="Times New Roman" w:hAnsi="Times New Roman" w:cs="Times New Roman"/>
          <w:sz w:val="24"/>
          <w:szCs w:val="24"/>
        </w:rPr>
      </w:pPr>
    </w:p>
    <w:p w14:paraId="47F08CFF"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main expense for the </w:t>
      </w:r>
      <w:r>
        <w:rPr>
          <w:rFonts w:ascii="Times New Roman" w:hAnsi="Times New Roman" w:cs="Times New Roman"/>
          <w:sz w:val="24"/>
          <w:szCs w:val="24"/>
        </w:rPr>
        <w:t>SABS</w:t>
      </w:r>
      <w:r w:rsidRPr="00586CCF">
        <w:rPr>
          <w:rFonts w:ascii="Times New Roman" w:hAnsi="Times New Roman" w:cs="Times New Roman"/>
          <w:sz w:val="24"/>
          <w:szCs w:val="24"/>
        </w:rPr>
        <w:t xml:space="preserve"> was the compensation of employees accounting for 65% of total expenditure at R525.4 million</w:t>
      </w:r>
      <w:r>
        <w:rPr>
          <w:rFonts w:ascii="Times New Roman" w:hAnsi="Times New Roman" w:cs="Times New Roman"/>
          <w:sz w:val="24"/>
          <w:szCs w:val="24"/>
        </w:rPr>
        <w:t xml:space="preserve"> and 72% of total income</w:t>
      </w:r>
      <w:r w:rsidRPr="00586CCF">
        <w:rPr>
          <w:rFonts w:ascii="Times New Roman" w:hAnsi="Times New Roman" w:cs="Times New Roman"/>
          <w:sz w:val="24"/>
          <w:szCs w:val="24"/>
        </w:rPr>
        <w:t>. Administration and other expenditure accounted</w:t>
      </w:r>
      <w:r>
        <w:rPr>
          <w:rFonts w:ascii="Times New Roman" w:hAnsi="Times New Roman" w:cs="Times New Roman"/>
          <w:sz w:val="24"/>
          <w:szCs w:val="24"/>
        </w:rPr>
        <w:t xml:space="preserve"> for a</w:t>
      </w:r>
      <w:r w:rsidRPr="00586CCF">
        <w:rPr>
          <w:rFonts w:ascii="Times New Roman" w:hAnsi="Times New Roman" w:cs="Times New Roman"/>
          <w:sz w:val="24"/>
          <w:szCs w:val="24"/>
        </w:rPr>
        <w:t xml:space="preserve"> total</w:t>
      </w:r>
      <w:r>
        <w:rPr>
          <w:rFonts w:ascii="Times New Roman" w:hAnsi="Times New Roman" w:cs="Times New Roman"/>
          <w:sz w:val="24"/>
          <w:szCs w:val="24"/>
        </w:rPr>
        <w:t xml:space="preserve"> of</w:t>
      </w:r>
      <w:r w:rsidRPr="00586CCF">
        <w:rPr>
          <w:rFonts w:ascii="Times New Roman" w:hAnsi="Times New Roman" w:cs="Times New Roman"/>
          <w:sz w:val="24"/>
          <w:szCs w:val="24"/>
        </w:rPr>
        <w:t xml:space="preserve"> R285.8 million.  </w:t>
      </w:r>
    </w:p>
    <w:p w14:paraId="725DFD7B" w14:textId="77777777" w:rsidR="00443C0F" w:rsidRPr="00586CCF" w:rsidRDefault="00443C0F" w:rsidP="00443C0F">
      <w:pPr>
        <w:spacing w:line="360" w:lineRule="auto"/>
        <w:rPr>
          <w:rFonts w:ascii="Times New Roman" w:hAnsi="Times New Roman" w:cs="Times New Roman"/>
          <w:sz w:val="24"/>
          <w:szCs w:val="24"/>
        </w:rPr>
      </w:pPr>
    </w:p>
    <w:p w14:paraId="1AD258A3" w14:textId="77777777" w:rsidR="00443C0F" w:rsidRPr="004265FC" w:rsidRDefault="00443C0F"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 xml:space="preserve">Audit outcomes </w:t>
      </w:r>
    </w:p>
    <w:p w14:paraId="129F2FEC" w14:textId="77777777" w:rsidR="00443C0F" w:rsidRPr="00586CCF" w:rsidRDefault="00443C0F" w:rsidP="00443C0F">
      <w:pPr>
        <w:spacing w:line="360" w:lineRule="auto"/>
        <w:rPr>
          <w:rFonts w:ascii="Times New Roman" w:hAnsi="Times New Roman" w:cs="Times New Roman"/>
          <w:sz w:val="24"/>
          <w:szCs w:val="24"/>
        </w:rPr>
      </w:pPr>
    </w:p>
    <w:p w14:paraId="7FFE27E1"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w:t>
      </w:r>
      <w:r w:rsidR="003100D1">
        <w:rPr>
          <w:rFonts w:ascii="Times New Roman" w:hAnsi="Times New Roman" w:cs="Times New Roman"/>
          <w:sz w:val="24"/>
          <w:szCs w:val="24"/>
        </w:rPr>
        <w:t>Auditor-General</w:t>
      </w:r>
      <w:r w:rsidRPr="00586CCF">
        <w:rPr>
          <w:rFonts w:ascii="Times New Roman" w:hAnsi="Times New Roman" w:cs="Times New Roman"/>
          <w:sz w:val="24"/>
          <w:szCs w:val="24"/>
        </w:rPr>
        <w:t xml:space="preserve"> in the assessment of the SABS’</w:t>
      </w:r>
      <w:r>
        <w:rPr>
          <w:rFonts w:ascii="Times New Roman" w:hAnsi="Times New Roman" w:cs="Times New Roman"/>
          <w:sz w:val="24"/>
          <w:szCs w:val="24"/>
        </w:rPr>
        <w:t>s</w:t>
      </w:r>
      <w:r w:rsidRPr="00586CCF">
        <w:rPr>
          <w:rFonts w:ascii="Times New Roman" w:hAnsi="Times New Roman" w:cs="Times New Roman"/>
          <w:sz w:val="24"/>
          <w:szCs w:val="24"/>
        </w:rPr>
        <w:t xml:space="preserve"> 2016/17 financial year assessed</w:t>
      </w:r>
      <w:r>
        <w:rPr>
          <w:rFonts w:ascii="Times New Roman" w:hAnsi="Times New Roman" w:cs="Times New Roman"/>
          <w:sz w:val="24"/>
          <w:szCs w:val="24"/>
        </w:rPr>
        <w:t xml:space="preserve"> its</w:t>
      </w:r>
      <w:r w:rsidRPr="00586CCF">
        <w:rPr>
          <w:rFonts w:ascii="Times New Roman" w:hAnsi="Times New Roman" w:cs="Times New Roman"/>
          <w:sz w:val="24"/>
          <w:szCs w:val="24"/>
        </w:rPr>
        <w:t xml:space="preserve"> financial and non-financial performance</w:t>
      </w:r>
      <w:r>
        <w:rPr>
          <w:rFonts w:ascii="Times New Roman" w:hAnsi="Times New Roman" w:cs="Times New Roman"/>
          <w:sz w:val="24"/>
          <w:szCs w:val="24"/>
        </w:rPr>
        <w:t xml:space="preserve"> reporting</w:t>
      </w:r>
      <w:r w:rsidRPr="00586CCF">
        <w:rPr>
          <w:rFonts w:ascii="Times New Roman" w:hAnsi="Times New Roman" w:cs="Times New Roman"/>
          <w:sz w:val="24"/>
          <w:szCs w:val="24"/>
        </w:rPr>
        <w:t xml:space="preserve">. In terms of non-financial performance, the following programmes were assessed: </w:t>
      </w:r>
    </w:p>
    <w:p w14:paraId="544CD6F3" w14:textId="77777777" w:rsidR="00443C0F" w:rsidRPr="00586CCF" w:rsidRDefault="00443C0F" w:rsidP="00443C0F">
      <w:pPr>
        <w:spacing w:line="360" w:lineRule="auto"/>
        <w:rPr>
          <w:rFonts w:ascii="Times New Roman" w:hAnsi="Times New Roman" w:cs="Times New Roman"/>
          <w:sz w:val="24"/>
          <w:szCs w:val="24"/>
        </w:rPr>
      </w:pPr>
    </w:p>
    <w:p w14:paraId="22DF1DFE" w14:textId="77777777" w:rsidR="00443C0F" w:rsidRPr="00586CCF" w:rsidRDefault="00443C0F" w:rsidP="009D5D24">
      <w:pPr>
        <w:pStyle w:val="ListParagraph"/>
        <w:numPr>
          <w:ilvl w:val="0"/>
          <w:numId w:val="16"/>
        </w:numPr>
        <w:spacing w:line="360" w:lineRule="auto"/>
        <w:contextualSpacing w:val="0"/>
        <w:rPr>
          <w:rFonts w:ascii="Times New Roman" w:hAnsi="Times New Roman" w:cs="Times New Roman"/>
          <w:sz w:val="24"/>
          <w:szCs w:val="24"/>
        </w:rPr>
      </w:pPr>
      <w:r w:rsidRPr="00586CCF">
        <w:rPr>
          <w:rFonts w:ascii="Times New Roman" w:hAnsi="Times New Roman" w:cs="Times New Roman"/>
          <w:sz w:val="24"/>
          <w:szCs w:val="24"/>
        </w:rPr>
        <w:t>Strategic objective 1 - Growth: Increase the use of standardisation and conformity assessment services by broadening the geographic footprint as well as the scope of services offered.</w:t>
      </w:r>
    </w:p>
    <w:p w14:paraId="648E5A76" w14:textId="77777777" w:rsidR="00443C0F" w:rsidRPr="00586CCF" w:rsidRDefault="00443C0F" w:rsidP="009D5D24">
      <w:pPr>
        <w:pStyle w:val="ListParagraph"/>
        <w:numPr>
          <w:ilvl w:val="0"/>
          <w:numId w:val="16"/>
        </w:numPr>
        <w:spacing w:line="360" w:lineRule="auto"/>
        <w:contextualSpacing w:val="0"/>
        <w:rPr>
          <w:rFonts w:ascii="Times New Roman" w:hAnsi="Times New Roman" w:cs="Times New Roman"/>
          <w:sz w:val="24"/>
          <w:szCs w:val="24"/>
        </w:rPr>
      </w:pPr>
      <w:r w:rsidRPr="00586CCF">
        <w:rPr>
          <w:rFonts w:ascii="Times New Roman" w:hAnsi="Times New Roman" w:cs="Times New Roman"/>
          <w:sz w:val="24"/>
          <w:szCs w:val="24"/>
        </w:rPr>
        <w:t xml:space="preserve">Strategic objective 2 - Customer/Stakeholder: Put the customer at the forefront of everything we do. </w:t>
      </w:r>
    </w:p>
    <w:p w14:paraId="44313BC1" w14:textId="77777777" w:rsidR="00443C0F" w:rsidRPr="00586CCF" w:rsidRDefault="00443C0F" w:rsidP="009D5D24">
      <w:pPr>
        <w:pStyle w:val="ListParagraph"/>
        <w:numPr>
          <w:ilvl w:val="0"/>
          <w:numId w:val="16"/>
        </w:numPr>
        <w:spacing w:line="360" w:lineRule="auto"/>
        <w:contextualSpacing w:val="0"/>
        <w:rPr>
          <w:rFonts w:ascii="Times New Roman" w:hAnsi="Times New Roman" w:cs="Times New Roman"/>
          <w:sz w:val="24"/>
          <w:szCs w:val="24"/>
        </w:rPr>
      </w:pPr>
      <w:r w:rsidRPr="00586CCF">
        <w:rPr>
          <w:rFonts w:ascii="Times New Roman" w:hAnsi="Times New Roman" w:cs="Times New Roman"/>
          <w:sz w:val="24"/>
          <w:szCs w:val="24"/>
        </w:rPr>
        <w:t xml:space="preserve">Strategic objective 3 - Productivity: Improve the operational performance of SABS to enable delivery of quality outputs for customers and the South African economy. </w:t>
      </w:r>
    </w:p>
    <w:p w14:paraId="2FCE419E" w14:textId="77777777" w:rsidR="00443C0F" w:rsidRPr="00586CCF" w:rsidRDefault="00443C0F" w:rsidP="009D5D24">
      <w:pPr>
        <w:pStyle w:val="ListParagraph"/>
        <w:numPr>
          <w:ilvl w:val="0"/>
          <w:numId w:val="16"/>
        </w:numPr>
        <w:spacing w:line="360" w:lineRule="auto"/>
        <w:contextualSpacing w:val="0"/>
        <w:rPr>
          <w:rFonts w:ascii="Times New Roman" w:hAnsi="Times New Roman" w:cs="Times New Roman"/>
          <w:sz w:val="24"/>
          <w:szCs w:val="24"/>
        </w:rPr>
      </w:pPr>
      <w:r w:rsidRPr="00586CCF">
        <w:rPr>
          <w:rFonts w:ascii="Times New Roman" w:hAnsi="Times New Roman" w:cs="Times New Roman"/>
          <w:sz w:val="24"/>
          <w:szCs w:val="24"/>
        </w:rPr>
        <w:t>Strategic objective 4 - Competent and empowered employees</w:t>
      </w:r>
      <w:r>
        <w:rPr>
          <w:rFonts w:ascii="Times New Roman" w:hAnsi="Times New Roman" w:cs="Times New Roman"/>
          <w:sz w:val="24"/>
          <w:szCs w:val="24"/>
        </w:rPr>
        <w:t>:</w:t>
      </w:r>
      <w:r w:rsidRPr="00586CCF">
        <w:rPr>
          <w:rFonts w:ascii="Times New Roman" w:hAnsi="Times New Roman" w:cs="Times New Roman"/>
          <w:sz w:val="24"/>
          <w:szCs w:val="24"/>
        </w:rPr>
        <w:t xml:space="preserve"> Develop and retain competent workforce that is aligned with the organisation’s mandate</w:t>
      </w:r>
      <w:r>
        <w:rPr>
          <w:rFonts w:ascii="Times New Roman" w:hAnsi="Times New Roman" w:cs="Times New Roman"/>
          <w:sz w:val="24"/>
          <w:szCs w:val="24"/>
        </w:rPr>
        <w:t>.</w:t>
      </w:r>
    </w:p>
    <w:p w14:paraId="16B81076" w14:textId="77777777" w:rsidR="00443C0F" w:rsidRPr="00586CCF" w:rsidRDefault="00443C0F" w:rsidP="00443C0F">
      <w:pPr>
        <w:spacing w:line="360" w:lineRule="auto"/>
        <w:rPr>
          <w:rFonts w:ascii="Times New Roman" w:hAnsi="Times New Roman" w:cs="Times New Roman"/>
          <w:sz w:val="24"/>
          <w:szCs w:val="24"/>
        </w:rPr>
      </w:pPr>
    </w:p>
    <w:p w14:paraId="2E5C2BFA"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 xml:space="preserve">The outcome of this assessment was that the </w:t>
      </w:r>
      <w:r w:rsidR="003100D1">
        <w:rPr>
          <w:rFonts w:ascii="Times New Roman" w:hAnsi="Times New Roman" w:cs="Times New Roman"/>
          <w:sz w:val="24"/>
          <w:szCs w:val="24"/>
        </w:rPr>
        <w:t>Auditor-General</w:t>
      </w:r>
      <w:r w:rsidRPr="00586CCF">
        <w:rPr>
          <w:rFonts w:ascii="Times New Roman" w:hAnsi="Times New Roman" w:cs="Times New Roman"/>
          <w:sz w:val="24"/>
          <w:szCs w:val="24"/>
        </w:rPr>
        <w:t xml:space="preserve"> did “…</w:t>
      </w:r>
      <w:r w:rsidRPr="00586CCF">
        <w:rPr>
          <w:rFonts w:ascii="Times New Roman" w:hAnsi="Times New Roman" w:cs="Times New Roman"/>
          <w:color w:val="333333"/>
          <w:sz w:val="24"/>
          <w:szCs w:val="24"/>
        </w:rPr>
        <w:t>not raise any material findings on the usefulness and reliability of the reported performance information for the strategic objectives</w:t>
      </w:r>
      <w:r>
        <w:rPr>
          <w:rFonts w:ascii="Times New Roman" w:hAnsi="Times New Roman" w:cs="Times New Roman"/>
          <w:color w:val="333333"/>
          <w:sz w:val="24"/>
          <w:szCs w:val="24"/>
        </w:rPr>
        <w:t>”</w:t>
      </w:r>
      <w:r w:rsidRPr="00586CCF">
        <w:rPr>
          <w:rFonts w:ascii="Times New Roman" w:hAnsi="Times New Roman" w:cs="Times New Roman"/>
          <w:color w:val="333333"/>
          <w:sz w:val="24"/>
          <w:szCs w:val="24"/>
        </w:rPr>
        <w:t>.</w:t>
      </w:r>
    </w:p>
    <w:p w14:paraId="210FD6A3" w14:textId="77777777" w:rsidR="00443C0F" w:rsidRPr="00586CCF" w:rsidRDefault="00443C0F" w:rsidP="00443C0F">
      <w:pPr>
        <w:spacing w:line="360" w:lineRule="auto"/>
        <w:rPr>
          <w:rFonts w:ascii="Times New Roman" w:hAnsi="Times New Roman" w:cs="Times New Roman"/>
          <w:sz w:val="24"/>
          <w:szCs w:val="24"/>
        </w:rPr>
      </w:pPr>
    </w:p>
    <w:p w14:paraId="77A9E342" w14:textId="77777777" w:rsidR="00E44ACB" w:rsidRDefault="00E44ACB">
      <w:pPr>
        <w:rPr>
          <w:rFonts w:ascii="Times New Roman" w:hAnsi="Times New Roman" w:cs="Times New Roman"/>
          <w:b/>
          <w:sz w:val="24"/>
          <w:szCs w:val="24"/>
        </w:rPr>
      </w:pPr>
      <w:r>
        <w:br w:type="page"/>
      </w:r>
    </w:p>
    <w:p w14:paraId="4B805615" w14:textId="77777777" w:rsidR="00443C0F" w:rsidRPr="000C1D84" w:rsidRDefault="00443C0F" w:rsidP="00EF0C57">
      <w:pPr>
        <w:pStyle w:val="Heading22"/>
        <w:numPr>
          <w:ilvl w:val="1"/>
          <w:numId w:val="31"/>
        </w:numPr>
      </w:pPr>
      <w:r w:rsidRPr="000C1D84">
        <w:t>Financial and non-financial performance as at 30 June 2017</w:t>
      </w:r>
      <w:r w:rsidRPr="00DF13EE">
        <w:footnoteReference w:id="15"/>
      </w:r>
    </w:p>
    <w:p w14:paraId="15734E41" w14:textId="77777777" w:rsidR="00443C0F" w:rsidRPr="00586CCF" w:rsidRDefault="00443C0F" w:rsidP="00443C0F">
      <w:pPr>
        <w:pStyle w:val="Heading33"/>
        <w:numPr>
          <w:ilvl w:val="0"/>
          <w:numId w:val="0"/>
        </w:numPr>
        <w:rPr>
          <w:rFonts w:ascii="Times New Roman" w:hAnsi="Times New Roman" w:cs="Times New Roman"/>
          <w:b w:val="0"/>
          <w:sz w:val="24"/>
        </w:rPr>
      </w:pPr>
    </w:p>
    <w:p w14:paraId="038DD94D" w14:textId="77777777" w:rsidR="00443C0F" w:rsidRPr="004265FC" w:rsidRDefault="00443C0F" w:rsidP="004265FC">
      <w:pPr>
        <w:pStyle w:val="Heading33"/>
        <w:numPr>
          <w:ilvl w:val="2"/>
          <w:numId w:val="31"/>
        </w:numPr>
        <w:rPr>
          <w:rFonts w:ascii="Times New Roman" w:hAnsi="Times New Roman" w:cs="Times New Roman"/>
          <w:sz w:val="24"/>
        </w:rPr>
      </w:pPr>
      <w:r w:rsidRPr="004265FC">
        <w:rPr>
          <w:rFonts w:ascii="Times New Roman" w:hAnsi="Times New Roman" w:cs="Times New Roman"/>
          <w:sz w:val="24"/>
        </w:rPr>
        <w:t>Financial Performance</w:t>
      </w:r>
    </w:p>
    <w:p w14:paraId="73D60F99" w14:textId="77777777" w:rsidR="00443C0F" w:rsidRDefault="00443C0F" w:rsidP="00443C0F">
      <w:pPr>
        <w:spacing w:line="360" w:lineRule="auto"/>
        <w:rPr>
          <w:rFonts w:ascii="Times New Roman" w:eastAsia="Calibri" w:hAnsi="Times New Roman" w:cs="Times New Roman"/>
          <w:sz w:val="24"/>
          <w:szCs w:val="24"/>
        </w:rPr>
      </w:pPr>
    </w:p>
    <w:p w14:paraId="76215C5C" w14:textId="77777777" w:rsidR="00443C0F" w:rsidRPr="00586CCF" w:rsidRDefault="00443C0F" w:rsidP="00443C0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For the first quarter of the 2017/18 financial year, the entity’s budgeted income was approximately R189.9 million; however</w:t>
      </w:r>
      <w:r>
        <w:rPr>
          <w:rFonts w:ascii="Times New Roman" w:eastAsia="Calibri" w:hAnsi="Times New Roman" w:cs="Times New Roman"/>
          <w:sz w:val="24"/>
          <w:szCs w:val="24"/>
        </w:rPr>
        <w:t>,</w:t>
      </w:r>
      <w:r w:rsidRPr="00586CCF">
        <w:rPr>
          <w:rFonts w:ascii="Times New Roman" w:eastAsia="Calibri" w:hAnsi="Times New Roman" w:cs="Times New Roman"/>
          <w:sz w:val="24"/>
          <w:szCs w:val="24"/>
        </w:rPr>
        <w:t xml:space="preserve"> actual income was less at R178.5 million. </w:t>
      </w:r>
      <w:r>
        <w:rPr>
          <w:rFonts w:ascii="Times New Roman" w:eastAsia="Calibri" w:hAnsi="Times New Roman" w:cs="Times New Roman"/>
          <w:sz w:val="24"/>
          <w:szCs w:val="24"/>
        </w:rPr>
        <w:t xml:space="preserve">The </w:t>
      </w:r>
      <w:r w:rsidRPr="00586CCF">
        <w:rPr>
          <w:rFonts w:ascii="Times New Roman" w:eastAsia="Calibri" w:hAnsi="Times New Roman" w:cs="Times New Roman"/>
          <w:sz w:val="24"/>
          <w:szCs w:val="24"/>
        </w:rPr>
        <w:t>SABS had only accrued 21.6% of the annual budgeted income during the first quarter of the financial year. The funding through transfers from the DTI and rental income was R65.2</w:t>
      </w:r>
      <w:r>
        <w:rPr>
          <w:rFonts w:ascii="Times New Roman" w:eastAsia="Calibri" w:hAnsi="Times New Roman" w:cs="Times New Roman"/>
          <w:sz w:val="24"/>
          <w:szCs w:val="24"/>
        </w:rPr>
        <w:t> </w:t>
      </w:r>
      <w:r w:rsidRPr="00586CCF">
        <w:rPr>
          <w:rFonts w:ascii="Times New Roman" w:eastAsia="Calibri" w:hAnsi="Times New Roman" w:cs="Times New Roman"/>
          <w:sz w:val="24"/>
          <w:szCs w:val="24"/>
        </w:rPr>
        <w:t xml:space="preserve">million, R4.9 million more than budgeted. Rental income is earned from the Construction Industry Development Board, the NRCS and the NCC. Revenue earned from services rendered was R113.3 million compared to a budgeted amount of R129.6 million. </w:t>
      </w:r>
      <w:r>
        <w:rPr>
          <w:rFonts w:ascii="Times New Roman" w:eastAsia="Calibri" w:hAnsi="Times New Roman" w:cs="Times New Roman"/>
          <w:sz w:val="24"/>
          <w:szCs w:val="24"/>
        </w:rPr>
        <w:t xml:space="preserve">The </w:t>
      </w:r>
      <w:r w:rsidRPr="00586CCF">
        <w:rPr>
          <w:rFonts w:ascii="Times New Roman" w:eastAsia="Calibri" w:hAnsi="Times New Roman" w:cs="Times New Roman"/>
          <w:sz w:val="24"/>
          <w:szCs w:val="24"/>
        </w:rPr>
        <w:t xml:space="preserve">SABS reported that it was in the implementation stage to close this revenue gap. </w:t>
      </w:r>
    </w:p>
    <w:p w14:paraId="78E13852" w14:textId="77777777" w:rsidR="00443C0F" w:rsidRPr="00586CCF" w:rsidRDefault="00443C0F" w:rsidP="00443C0F">
      <w:pPr>
        <w:spacing w:line="360" w:lineRule="auto"/>
        <w:rPr>
          <w:rFonts w:ascii="Times New Roman" w:eastAsia="Calibri" w:hAnsi="Times New Roman" w:cs="Times New Roman"/>
          <w:sz w:val="24"/>
          <w:szCs w:val="24"/>
        </w:rPr>
      </w:pPr>
    </w:p>
    <w:p w14:paraId="733A8837"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Total expenditure was 12.4</w:t>
      </w:r>
      <w:r>
        <w:rPr>
          <w:rFonts w:ascii="Times New Roman" w:hAnsi="Times New Roman" w:cs="Times New Roman"/>
          <w:sz w:val="24"/>
          <w:szCs w:val="24"/>
        </w:rPr>
        <w:t>%</w:t>
      </w:r>
      <w:r w:rsidRPr="00586CCF">
        <w:rPr>
          <w:rFonts w:ascii="Times New Roman" w:hAnsi="Times New Roman" w:cs="Times New Roman"/>
          <w:sz w:val="24"/>
          <w:szCs w:val="24"/>
        </w:rPr>
        <w:t xml:space="preserve"> below budget. The compensation of employees and expenditure accounted for 64.6</w:t>
      </w:r>
      <w:r>
        <w:rPr>
          <w:rFonts w:ascii="Times New Roman" w:hAnsi="Times New Roman" w:cs="Times New Roman"/>
          <w:sz w:val="24"/>
          <w:szCs w:val="24"/>
        </w:rPr>
        <w:t>%</w:t>
      </w:r>
      <w:r w:rsidRPr="00586CCF">
        <w:rPr>
          <w:rFonts w:ascii="Times New Roman" w:hAnsi="Times New Roman" w:cs="Times New Roman"/>
          <w:sz w:val="24"/>
          <w:szCs w:val="24"/>
        </w:rPr>
        <w:t xml:space="preserve"> of total expenditure. Expenditure on administrative and operating expenditure was 11.8</w:t>
      </w:r>
      <w:r>
        <w:rPr>
          <w:rFonts w:ascii="Times New Roman" w:hAnsi="Times New Roman" w:cs="Times New Roman"/>
          <w:sz w:val="24"/>
          <w:szCs w:val="24"/>
        </w:rPr>
        <w:t>%</w:t>
      </w:r>
      <w:r w:rsidRPr="00586CCF">
        <w:rPr>
          <w:rFonts w:ascii="Times New Roman" w:hAnsi="Times New Roman" w:cs="Times New Roman"/>
          <w:sz w:val="24"/>
          <w:szCs w:val="24"/>
        </w:rPr>
        <w:t xml:space="preserve"> below the budgeted amounts.  </w:t>
      </w:r>
    </w:p>
    <w:p w14:paraId="27888B83" w14:textId="77777777" w:rsidR="00443C0F" w:rsidRPr="00586CCF" w:rsidRDefault="00443C0F" w:rsidP="00443C0F">
      <w:pPr>
        <w:spacing w:line="360" w:lineRule="auto"/>
        <w:rPr>
          <w:rFonts w:ascii="Times New Roman" w:hAnsi="Times New Roman" w:cs="Times New Roman"/>
          <w:sz w:val="24"/>
          <w:szCs w:val="24"/>
        </w:rPr>
      </w:pPr>
    </w:p>
    <w:p w14:paraId="3C5CD8DD" w14:textId="77777777" w:rsidR="00443C0F" w:rsidRPr="000C1D84" w:rsidRDefault="00443C0F" w:rsidP="00EF0C57">
      <w:pPr>
        <w:pStyle w:val="Heading22"/>
        <w:numPr>
          <w:ilvl w:val="1"/>
          <w:numId w:val="31"/>
        </w:numPr>
      </w:pPr>
      <w:r w:rsidRPr="00432CE0">
        <w:t xml:space="preserve"> </w:t>
      </w:r>
      <w:r w:rsidRPr="000C1D84">
        <w:t xml:space="preserve">Issues raised during the deliberations </w:t>
      </w:r>
    </w:p>
    <w:p w14:paraId="50F85992" w14:textId="77777777" w:rsidR="00443C0F" w:rsidRPr="00586CCF" w:rsidRDefault="00443C0F" w:rsidP="00EF0C57">
      <w:pPr>
        <w:pStyle w:val="Heading22"/>
        <w:numPr>
          <w:ilvl w:val="0"/>
          <w:numId w:val="0"/>
        </w:numPr>
      </w:pPr>
    </w:p>
    <w:p w14:paraId="62911439" w14:textId="77777777" w:rsidR="00443C0F" w:rsidRPr="00586CCF" w:rsidRDefault="00443C0F" w:rsidP="00443C0F">
      <w:pPr>
        <w:spacing w:line="360" w:lineRule="auto"/>
        <w:rPr>
          <w:rFonts w:ascii="Times New Roman" w:hAnsi="Times New Roman" w:cs="Times New Roman"/>
          <w:sz w:val="24"/>
          <w:szCs w:val="24"/>
        </w:rPr>
      </w:pPr>
      <w:r w:rsidRPr="00586CCF">
        <w:rPr>
          <w:rFonts w:ascii="Times New Roman" w:hAnsi="Times New Roman" w:cs="Times New Roman"/>
          <w:sz w:val="24"/>
          <w:szCs w:val="24"/>
        </w:rPr>
        <w:t>The following concerns were raised related to the performance of the SABS during the committee’s deliberations:</w:t>
      </w:r>
    </w:p>
    <w:p w14:paraId="72C1B4E8" w14:textId="77777777" w:rsidR="00443C0F" w:rsidRPr="00586CCF" w:rsidRDefault="00443C0F" w:rsidP="00443C0F">
      <w:pPr>
        <w:spacing w:line="360" w:lineRule="auto"/>
        <w:rPr>
          <w:rFonts w:ascii="Times New Roman" w:hAnsi="Times New Roman" w:cs="Times New Roman"/>
          <w:b/>
          <w:sz w:val="24"/>
          <w:szCs w:val="24"/>
        </w:rPr>
      </w:pPr>
    </w:p>
    <w:p w14:paraId="0C461F32" w14:textId="77777777" w:rsidR="00443C0F" w:rsidRPr="008F0038" w:rsidRDefault="00443C0F" w:rsidP="008F0038">
      <w:pPr>
        <w:pStyle w:val="ListParagraph"/>
        <w:numPr>
          <w:ilvl w:val="2"/>
          <w:numId w:val="37"/>
        </w:numPr>
        <w:spacing w:line="360" w:lineRule="auto"/>
        <w:rPr>
          <w:rFonts w:ascii="Times New Roman" w:eastAsia="Calibri" w:hAnsi="Times New Roman" w:cs="Times New Roman"/>
          <w:sz w:val="24"/>
          <w:szCs w:val="24"/>
          <w:lang w:eastAsia="en-ZA"/>
        </w:rPr>
      </w:pPr>
      <w:r w:rsidRPr="008F0038">
        <w:rPr>
          <w:rFonts w:ascii="Times New Roman" w:hAnsi="Times New Roman" w:cs="Times New Roman"/>
          <w:b/>
          <w:i/>
          <w:sz w:val="24"/>
          <w:szCs w:val="24"/>
        </w:rPr>
        <w:t xml:space="preserve">Assurance and key control measures: </w:t>
      </w:r>
      <w:r w:rsidRPr="008F0038">
        <w:rPr>
          <w:rFonts w:ascii="Times New Roman" w:hAnsi="Times New Roman" w:cs="Times New Roman"/>
          <w:sz w:val="24"/>
          <w:szCs w:val="24"/>
        </w:rPr>
        <w:t>The Committee enquired into the reasons for the regression from an unqualified audit report with no findings to an unqualified audit report with findings. A concern for the Committee was that there appeared be a difference of opinion between the SABS and the Auditor-General to the reasons for these findings</w:t>
      </w:r>
      <w:r w:rsidR="00510A07" w:rsidRPr="008F0038">
        <w:rPr>
          <w:rFonts w:ascii="Times New Roman" w:hAnsi="Times New Roman" w:cs="Times New Roman"/>
          <w:sz w:val="24"/>
          <w:szCs w:val="24"/>
        </w:rPr>
        <w:t>.</w:t>
      </w:r>
      <w:r w:rsidRPr="008F0038">
        <w:rPr>
          <w:rFonts w:ascii="Times New Roman" w:hAnsi="Times New Roman" w:cs="Times New Roman"/>
          <w:sz w:val="24"/>
          <w:szCs w:val="24"/>
        </w:rPr>
        <w:t xml:space="preserve"> The</w:t>
      </w:r>
      <w:r w:rsidRPr="008F0038">
        <w:rPr>
          <w:rFonts w:ascii="Times New Roman" w:hAnsi="Times New Roman" w:cs="Times New Roman"/>
          <w:b/>
          <w:sz w:val="24"/>
          <w:szCs w:val="24"/>
        </w:rPr>
        <w:t xml:space="preserve"> </w:t>
      </w:r>
      <w:r w:rsidRPr="008F0038">
        <w:rPr>
          <w:rFonts w:ascii="Times New Roman" w:eastAsia="Calibri" w:hAnsi="Times New Roman" w:cs="Times New Roman"/>
          <w:sz w:val="24"/>
          <w:szCs w:val="24"/>
          <w:lang w:eastAsia="en-ZA"/>
        </w:rPr>
        <w:t xml:space="preserve">SABS informed the Committee that it was not </w:t>
      </w:r>
      <w:r w:rsidR="00510A07" w:rsidRPr="008F0038">
        <w:rPr>
          <w:rFonts w:ascii="Times New Roman" w:eastAsia="Calibri" w:hAnsi="Times New Roman" w:cs="Times New Roman"/>
          <w:sz w:val="24"/>
          <w:szCs w:val="24"/>
          <w:lang w:eastAsia="en-ZA"/>
        </w:rPr>
        <w:t>using</w:t>
      </w:r>
      <w:r w:rsidRPr="008F0038">
        <w:rPr>
          <w:rFonts w:ascii="Times New Roman" w:eastAsia="Calibri" w:hAnsi="Times New Roman" w:cs="Times New Roman"/>
          <w:sz w:val="24"/>
          <w:szCs w:val="24"/>
          <w:lang w:eastAsia="en-ZA"/>
        </w:rPr>
        <w:t xml:space="preserve"> GRAP and that the regression was not due to a change in the accounting framework. The reason </w:t>
      </w:r>
      <w:r w:rsidR="00510A07" w:rsidRPr="008F0038">
        <w:rPr>
          <w:rFonts w:ascii="Times New Roman" w:eastAsia="Calibri" w:hAnsi="Times New Roman" w:cs="Times New Roman"/>
          <w:sz w:val="24"/>
          <w:szCs w:val="24"/>
          <w:lang w:eastAsia="en-ZA"/>
        </w:rPr>
        <w:t xml:space="preserve">provided to the SABS by </w:t>
      </w:r>
      <w:r w:rsidRPr="008F0038">
        <w:rPr>
          <w:rFonts w:ascii="Times New Roman" w:eastAsia="Calibri" w:hAnsi="Times New Roman" w:cs="Times New Roman"/>
          <w:sz w:val="24"/>
          <w:szCs w:val="24"/>
          <w:lang w:eastAsia="en-ZA"/>
        </w:rPr>
        <w:t>the Auditor-General was material misstatement</w:t>
      </w:r>
      <w:r w:rsidR="00510A07" w:rsidRPr="008F0038">
        <w:rPr>
          <w:rFonts w:ascii="Times New Roman" w:eastAsia="Calibri" w:hAnsi="Times New Roman" w:cs="Times New Roman"/>
          <w:sz w:val="24"/>
          <w:szCs w:val="24"/>
          <w:lang w:eastAsia="en-ZA"/>
        </w:rPr>
        <w:t>s</w:t>
      </w:r>
      <w:r w:rsidRPr="008F0038">
        <w:rPr>
          <w:rFonts w:ascii="Times New Roman" w:eastAsia="Calibri" w:hAnsi="Times New Roman" w:cs="Times New Roman"/>
          <w:sz w:val="24"/>
          <w:szCs w:val="24"/>
          <w:lang w:eastAsia="en-ZA"/>
        </w:rPr>
        <w:t xml:space="preserve"> identified by the auditors on revenue from group services, other income, other expenditure and related party transactions disclosure between group companies. The material misstatements were subsequently corrected by management resulting in the entity receiving a paragraph on non-compliance with section 55(1)(b) of the Public Finance Management Act. Included in the report were the following internal control weaknesses in the 2016/17 audit report</w:t>
      </w:r>
      <w:r w:rsidR="00510A07" w:rsidRPr="008F0038">
        <w:rPr>
          <w:rFonts w:ascii="Times New Roman" w:eastAsia="Calibri" w:hAnsi="Times New Roman" w:cs="Times New Roman"/>
          <w:sz w:val="24"/>
          <w:szCs w:val="24"/>
          <w:lang w:eastAsia="en-ZA"/>
        </w:rPr>
        <w:t>:</w:t>
      </w:r>
      <w:r w:rsidRPr="008F0038">
        <w:rPr>
          <w:rFonts w:ascii="Times New Roman" w:eastAsia="Calibri" w:hAnsi="Times New Roman" w:cs="Times New Roman"/>
          <w:sz w:val="24"/>
          <w:szCs w:val="24"/>
          <w:lang w:eastAsia="en-ZA"/>
        </w:rPr>
        <w:t xml:space="preserve"> </w:t>
      </w:r>
    </w:p>
    <w:p w14:paraId="79277ED4" w14:textId="77777777" w:rsidR="004909C3" w:rsidRPr="000C1D84" w:rsidRDefault="004909C3" w:rsidP="000C1D84">
      <w:pPr>
        <w:pStyle w:val="ListParagraph"/>
        <w:spacing w:line="360" w:lineRule="auto"/>
        <w:rPr>
          <w:rFonts w:ascii="Times New Roman" w:eastAsia="Calibri" w:hAnsi="Times New Roman" w:cs="Times New Roman"/>
          <w:sz w:val="24"/>
          <w:szCs w:val="24"/>
          <w:lang w:eastAsia="en-ZA"/>
        </w:rPr>
      </w:pPr>
    </w:p>
    <w:p w14:paraId="7B3977A9" w14:textId="77777777" w:rsidR="00443C0F" w:rsidRPr="00586CCF" w:rsidRDefault="00443C0F" w:rsidP="009D5D24">
      <w:pPr>
        <w:pStyle w:val="ListParagraph"/>
        <w:numPr>
          <w:ilvl w:val="1"/>
          <w:numId w:val="17"/>
        </w:numPr>
        <w:spacing w:line="360" w:lineRule="auto"/>
        <w:rPr>
          <w:rFonts w:ascii="Times New Roman" w:eastAsia="Calibri" w:hAnsi="Times New Roman" w:cs="Times New Roman"/>
          <w:sz w:val="24"/>
          <w:szCs w:val="24"/>
          <w:lang w:eastAsia="en-ZA"/>
        </w:rPr>
      </w:pPr>
      <w:r w:rsidRPr="00586CCF">
        <w:rPr>
          <w:rFonts w:ascii="Times New Roman" w:eastAsia="Calibri" w:hAnsi="Times New Roman" w:cs="Times New Roman"/>
          <w:sz w:val="24"/>
          <w:szCs w:val="24"/>
          <w:lang w:eastAsia="en-ZA"/>
        </w:rPr>
        <w:t xml:space="preserve">Management </w:t>
      </w:r>
      <w:r w:rsidR="00510A07">
        <w:rPr>
          <w:rFonts w:ascii="Times New Roman" w:eastAsia="Calibri" w:hAnsi="Times New Roman" w:cs="Times New Roman"/>
          <w:sz w:val="24"/>
          <w:szCs w:val="24"/>
          <w:lang w:eastAsia="en-ZA"/>
        </w:rPr>
        <w:t>had</w:t>
      </w:r>
      <w:r w:rsidRPr="00586CCF">
        <w:rPr>
          <w:rFonts w:ascii="Times New Roman" w:eastAsia="Calibri" w:hAnsi="Times New Roman" w:cs="Times New Roman"/>
          <w:sz w:val="24"/>
          <w:szCs w:val="24"/>
          <w:lang w:eastAsia="en-ZA"/>
        </w:rPr>
        <w:t xml:space="preserve"> not exercise</w:t>
      </w:r>
      <w:r w:rsidR="00510A07">
        <w:rPr>
          <w:rFonts w:ascii="Times New Roman" w:eastAsia="Calibri" w:hAnsi="Times New Roman" w:cs="Times New Roman"/>
          <w:sz w:val="24"/>
          <w:szCs w:val="24"/>
          <w:lang w:eastAsia="en-ZA"/>
        </w:rPr>
        <w:t>d</w:t>
      </w:r>
      <w:r w:rsidRPr="00586CCF">
        <w:rPr>
          <w:rFonts w:ascii="Times New Roman" w:eastAsia="Calibri" w:hAnsi="Times New Roman" w:cs="Times New Roman"/>
          <w:sz w:val="24"/>
          <w:szCs w:val="24"/>
          <w:lang w:eastAsia="en-ZA"/>
        </w:rPr>
        <w:t xml:space="preserve"> sufficient oversight regarding financial reporting, in relation to the misstatements identified in the financial statements. </w:t>
      </w:r>
    </w:p>
    <w:p w14:paraId="66B076EB" w14:textId="77777777" w:rsidR="00443C0F" w:rsidRPr="00586CCF" w:rsidRDefault="00443C0F" w:rsidP="009D5D24">
      <w:pPr>
        <w:pStyle w:val="ListParagraph"/>
        <w:numPr>
          <w:ilvl w:val="1"/>
          <w:numId w:val="17"/>
        </w:numPr>
        <w:spacing w:line="360" w:lineRule="auto"/>
        <w:rPr>
          <w:rFonts w:ascii="Times New Roman" w:eastAsia="Calibri" w:hAnsi="Times New Roman" w:cs="Times New Roman"/>
          <w:sz w:val="24"/>
          <w:szCs w:val="24"/>
          <w:lang w:eastAsia="en-ZA"/>
        </w:rPr>
      </w:pPr>
      <w:r w:rsidRPr="00586CCF">
        <w:rPr>
          <w:rFonts w:ascii="Times New Roman" w:eastAsia="Calibri" w:hAnsi="Times New Roman" w:cs="Times New Roman"/>
          <w:sz w:val="24"/>
          <w:szCs w:val="24"/>
          <w:lang w:eastAsia="en-ZA"/>
        </w:rPr>
        <w:t xml:space="preserve">Management </w:t>
      </w:r>
      <w:r w:rsidR="00510A07">
        <w:rPr>
          <w:rFonts w:ascii="Times New Roman" w:eastAsia="Calibri" w:hAnsi="Times New Roman" w:cs="Times New Roman"/>
          <w:sz w:val="24"/>
          <w:szCs w:val="24"/>
          <w:lang w:eastAsia="en-ZA"/>
        </w:rPr>
        <w:t>had</w:t>
      </w:r>
      <w:r w:rsidRPr="00586CCF">
        <w:rPr>
          <w:rFonts w:ascii="Times New Roman" w:eastAsia="Calibri" w:hAnsi="Times New Roman" w:cs="Times New Roman"/>
          <w:sz w:val="24"/>
          <w:szCs w:val="24"/>
          <w:lang w:eastAsia="en-ZA"/>
        </w:rPr>
        <w:t xml:space="preserve"> not prepare</w:t>
      </w:r>
      <w:r w:rsidR="00510A07">
        <w:rPr>
          <w:rFonts w:ascii="Times New Roman" w:eastAsia="Calibri" w:hAnsi="Times New Roman" w:cs="Times New Roman"/>
          <w:sz w:val="24"/>
          <w:szCs w:val="24"/>
          <w:lang w:eastAsia="en-ZA"/>
        </w:rPr>
        <w:t>d</w:t>
      </w:r>
      <w:r w:rsidRPr="00586CCF">
        <w:rPr>
          <w:rFonts w:ascii="Times New Roman" w:eastAsia="Calibri" w:hAnsi="Times New Roman" w:cs="Times New Roman"/>
          <w:sz w:val="24"/>
          <w:szCs w:val="24"/>
          <w:lang w:eastAsia="en-ZA"/>
        </w:rPr>
        <w:t xml:space="preserve"> and complete</w:t>
      </w:r>
      <w:r w:rsidR="00510A07">
        <w:rPr>
          <w:rFonts w:ascii="Times New Roman" w:eastAsia="Calibri" w:hAnsi="Times New Roman" w:cs="Times New Roman"/>
          <w:sz w:val="24"/>
          <w:szCs w:val="24"/>
          <w:lang w:eastAsia="en-ZA"/>
        </w:rPr>
        <w:t>d</w:t>
      </w:r>
      <w:r w:rsidRPr="00586CCF">
        <w:rPr>
          <w:rFonts w:ascii="Times New Roman" w:eastAsia="Calibri" w:hAnsi="Times New Roman" w:cs="Times New Roman"/>
          <w:sz w:val="24"/>
          <w:szCs w:val="24"/>
          <w:lang w:eastAsia="en-ZA"/>
        </w:rPr>
        <w:t xml:space="preserve"> financial statements supported by reliable information in relation to the misstatements identified in the financial statements.</w:t>
      </w:r>
    </w:p>
    <w:p w14:paraId="1ACEFE33" w14:textId="77777777" w:rsidR="00F21317" w:rsidRDefault="00F21317" w:rsidP="000C1D84">
      <w:pPr>
        <w:spacing w:line="360" w:lineRule="auto"/>
        <w:ind w:left="720"/>
        <w:rPr>
          <w:rFonts w:ascii="Times New Roman" w:eastAsia="Calibri" w:hAnsi="Times New Roman" w:cs="Times New Roman"/>
          <w:sz w:val="24"/>
          <w:szCs w:val="24"/>
          <w:lang w:eastAsia="en-ZA"/>
        </w:rPr>
      </w:pPr>
    </w:p>
    <w:p w14:paraId="11FAA26D" w14:textId="77777777" w:rsidR="00443C0F" w:rsidRPr="00586CCF" w:rsidRDefault="00443C0F" w:rsidP="000C1D84">
      <w:pPr>
        <w:spacing w:line="360" w:lineRule="auto"/>
        <w:ind w:left="720"/>
        <w:rPr>
          <w:rFonts w:ascii="Times New Roman" w:eastAsia="Calibri" w:hAnsi="Times New Roman" w:cs="Times New Roman"/>
          <w:sz w:val="24"/>
          <w:szCs w:val="24"/>
          <w:lang w:eastAsia="en-ZA"/>
        </w:rPr>
      </w:pPr>
      <w:r w:rsidRPr="00586CCF">
        <w:rPr>
          <w:rFonts w:ascii="Times New Roman" w:eastAsia="Calibri" w:hAnsi="Times New Roman" w:cs="Times New Roman"/>
          <w:sz w:val="24"/>
          <w:szCs w:val="24"/>
          <w:lang w:eastAsia="en-ZA"/>
        </w:rPr>
        <w:t xml:space="preserve">The Auditor-General </w:t>
      </w:r>
      <w:r w:rsidR="00510A07">
        <w:rPr>
          <w:rFonts w:ascii="Times New Roman" w:eastAsia="Calibri" w:hAnsi="Times New Roman" w:cs="Times New Roman"/>
          <w:sz w:val="24"/>
          <w:szCs w:val="24"/>
          <w:lang w:eastAsia="en-ZA"/>
        </w:rPr>
        <w:t>confirmed</w:t>
      </w:r>
      <w:r w:rsidRPr="00586CCF">
        <w:rPr>
          <w:rFonts w:ascii="Times New Roman" w:eastAsia="Calibri" w:hAnsi="Times New Roman" w:cs="Times New Roman"/>
          <w:sz w:val="24"/>
          <w:szCs w:val="24"/>
          <w:lang w:eastAsia="en-ZA"/>
        </w:rPr>
        <w:t xml:space="preserve"> that</w:t>
      </w:r>
      <w:r w:rsidR="00510A07">
        <w:rPr>
          <w:rFonts w:ascii="Times New Roman" w:eastAsia="Calibri" w:hAnsi="Times New Roman" w:cs="Times New Roman"/>
          <w:sz w:val="24"/>
          <w:szCs w:val="24"/>
          <w:lang w:eastAsia="en-ZA"/>
        </w:rPr>
        <w:t xml:space="preserve"> the SABS’s</w:t>
      </w:r>
      <w:r w:rsidRPr="00586CCF">
        <w:rPr>
          <w:rFonts w:ascii="Times New Roman" w:eastAsia="Calibri" w:hAnsi="Times New Roman" w:cs="Times New Roman"/>
          <w:sz w:val="24"/>
          <w:szCs w:val="24"/>
          <w:lang w:eastAsia="en-ZA"/>
        </w:rPr>
        <w:t xml:space="preserve"> audit outcome </w:t>
      </w:r>
      <w:r w:rsidR="00510A07">
        <w:rPr>
          <w:rFonts w:ascii="Times New Roman" w:eastAsia="Calibri" w:hAnsi="Times New Roman" w:cs="Times New Roman"/>
          <w:sz w:val="24"/>
          <w:szCs w:val="24"/>
          <w:lang w:eastAsia="en-ZA"/>
        </w:rPr>
        <w:t xml:space="preserve">had </w:t>
      </w:r>
      <w:r w:rsidRPr="00586CCF">
        <w:rPr>
          <w:rFonts w:ascii="Times New Roman" w:eastAsia="Calibri" w:hAnsi="Times New Roman" w:cs="Times New Roman"/>
          <w:sz w:val="24"/>
          <w:szCs w:val="24"/>
          <w:lang w:eastAsia="en-ZA"/>
        </w:rPr>
        <w:t>regressed due to the abovementioned reasons and not due to the change in the accounting framework,</w:t>
      </w:r>
      <w:r>
        <w:rPr>
          <w:rFonts w:ascii="Times New Roman" w:eastAsia="Calibri" w:hAnsi="Times New Roman" w:cs="Times New Roman"/>
          <w:sz w:val="24"/>
          <w:szCs w:val="24"/>
          <w:lang w:eastAsia="en-ZA"/>
        </w:rPr>
        <w:t xml:space="preserve"> as previously implied.</w:t>
      </w:r>
    </w:p>
    <w:p w14:paraId="5735F667" w14:textId="77777777" w:rsidR="00443C0F" w:rsidRPr="00586CCF" w:rsidRDefault="00443C0F" w:rsidP="00443C0F">
      <w:pPr>
        <w:pStyle w:val="ListParagraph"/>
        <w:spacing w:line="360" w:lineRule="auto"/>
        <w:ind w:left="0"/>
        <w:rPr>
          <w:rFonts w:ascii="Times New Roman" w:eastAsia="Calibri" w:hAnsi="Times New Roman" w:cs="Times New Roman"/>
          <w:sz w:val="24"/>
          <w:szCs w:val="24"/>
          <w:lang w:eastAsia="en-ZA"/>
        </w:rPr>
      </w:pPr>
    </w:p>
    <w:p w14:paraId="4C3AC035" w14:textId="77777777" w:rsidR="008F0038" w:rsidRDefault="00443C0F" w:rsidP="008F0038">
      <w:pPr>
        <w:pStyle w:val="ListParagraph"/>
        <w:numPr>
          <w:ilvl w:val="2"/>
          <w:numId w:val="37"/>
        </w:numPr>
        <w:spacing w:line="360" w:lineRule="auto"/>
        <w:rPr>
          <w:rFonts w:ascii="Times New Roman" w:hAnsi="Times New Roman" w:cs="Times New Roman"/>
          <w:sz w:val="24"/>
          <w:szCs w:val="24"/>
        </w:rPr>
      </w:pPr>
      <w:r w:rsidRPr="000C1D84">
        <w:rPr>
          <w:rFonts w:ascii="Times New Roman" w:hAnsi="Times New Roman" w:cs="Times New Roman"/>
          <w:b/>
          <w:i/>
          <w:sz w:val="24"/>
          <w:szCs w:val="24"/>
        </w:rPr>
        <w:t xml:space="preserve">Action plan to address audit findings: </w:t>
      </w:r>
      <w:r w:rsidRPr="008F0038">
        <w:rPr>
          <w:rFonts w:ascii="Times New Roman" w:hAnsi="Times New Roman" w:cs="Times New Roman"/>
          <w:sz w:val="24"/>
          <w:szCs w:val="24"/>
        </w:rPr>
        <w:t>The Committee enquired whether the SABS had developed an action plan to address these audit findings. The SABS informed the Committee that it had develop</w:t>
      </w:r>
      <w:r w:rsidR="00F21317" w:rsidRPr="008F0038">
        <w:rPr>
          <w:rFonts w:ascii="Times New Roman" w:hAnsi="Times New Roman" w:cs="Times New Roman"/>
          <w:sz w:val="24"/>
          <w:szCs w:val="24"/>
        </w:rPr>
        <w:t>ed</w:t>
      </w:r>
      <w:r w:rsidRPr="008F0038">
        <w:rPr>
          <w:rFonts w:ascii="Times New Roman" w:hAnsi="Times New Roman" w:cs="Times New Roman"/>
          <w:sz w:val="24"/>
          <w:szCs w:val="24"/>
        </w:rPr>
        <w:t xml:space="preserve"> an audit plan to address the findings in relation to group transactions with systems adjustments made to ensure the accuracy of intercompany and interdivisional transactions and disclosures going forward. With respect to performance information</w:t>
      </w:r>
      <w:r w:rsidR="00F21317" w:rsidRPr="008F0038">
        <w:rPr>
          <w:rFonts w:ascii="Times New Roman" w:hAnsi="Times New Roman" w:cs="Times New Roman"/>
          <w:sz w:val="24"/>
          <w:szCs w:val="24"/>
        </w:rPr>
        <w:t>,</w:t>
      </w:r>
      <w:r w:rsidRPr="008F0038">
        <w:rPr>
          <w:rFonts w:ascii="Times New Roman" w:hAnsi="Times New Roman" w:cs="Times New Roman"/>
          <w:sz w:val="24"/>
          <w:szCs w:val="24"/>
        </w:rPr>
        <w:t xml:space="preserve"> the revenue target was split in the Annual Financial Statements to comply with </w:t>
      </w:r>
      <w:r w:rsidR="008F5168" w:rsidRPr="008F0038">
        <w:rPr>
          <w:rFonts w:ascii="Times New Roman" w:hAnsi="Times New Roman" w:cs="Times New Roman"/>
          <w:sz w:val="24"/>
          <w:szCs w:val="24"/>
        </w:rPr>
        <w:t>the Framework for Managing Programme Performance Information</w:t>
      </w:r>
      <w:r w:rsidRPr="008F0038">
        <w:rPr>
          <w:rFonts w:ascii="Times New Roman" w:hAnsi="Times New Roman" w:cs="Times New Roman"/>
          <w:sz w:val="24"/>
          <w:szCs w:val="24"/>
        </w:rPr>
        <w:t xml:space="preserve">. The Shareholder Compact was adjusted to include </w:t>
      </w:r>
      <w:r w:rsidR="00F21317" w:rsidRPr="008F0038">
        <w:rPr>
          <w:rFonts w:ascii="Times New Roman" w:hAnsi="Times New Roman" w:cs="Times New Roman"/>
          <w:sz w:val="24"/>
          <w:szCs w:val="24"/>
        </w:rPr>
        <w:t>key performance indicators</w:t>
      </w:r>
      <w:r w:rsidRPr="008F0038">
        <w:rPr>
          <w:rFonts w:ascii="Times New Roman" w:hAnsi="Times New Roman" w:cs="Times New Roman"/>
          <w:sz w:val="24"/>
          <w:szCs w:val="24"/>
        </w:rPr>
        <w:t xml:space="preserve"> with deviations requested from National Treasury on required disclosures that could impact competitive advantage of the SABS. Additional quality control has been implemented and templates standardised to ensure the preferential points system would be reflected on the Request for Quotation. With respect to fruitless and wasteful expenditure</w:t>
      </w:r>
      <w:r w:rsidR="00F21317" w:rsidRPr="008F0038">
        <w:rPr>
          <w:rFonts w:ascii="Times New Roman" w:hAnsi="Times New Roman" w:cs="Times New Roman"/>
          <w:sz w:val="24"/>
          <w:szCs w:val="24"/>
        </w:rPr>
        <w:t>,</w:t>
      </w:r>
      <w:r w:rsidRPr="008F0038">
        <w:rPr>
          <w:rFonts w:ascii="Times New Roman" w:hAnsi="Times New Roman" w:cs="Times New Roman"/>
          <w:sz w:val="24"/>
          <w:szCs w:val="24"/>
        </w:rPr>
        <w:t xml:space="preserve"> adherence to payment terms is being enforced and municipal account payments are being closely monitored.</w:t>
      </w:r>
    </w:p>
    <w:p w14:paraId="04EC9596" w14:textId="77777777" w:rsidR="008F0038" w:rsidRDefault="008F0038" w:rsidP="008F0038">
      <w:pPr>
        <w:pStyle w:val="ListParagraph"/>
        <w:spacing w:line="360" w:lineRule="auto"/>
        <w:rPr>
          <w:rFonts w:ascii="Times New Roman" w:hAnsi="Times New Roman" w:cs="Times New Roman"/>
          <w:sz w:val="24"/>
          <w:szCs w:val="24"/>
        </w:rPr>
      </w:pPr>
    </w:p>
    <w:p w14:paraId="0333574A" w14:textId="77777777" w:rsidR="008F0038" w:rsidRDefault="00443C0F" w:rsidP="008F0038">
      <w:pPr>
        <w:pStyle w:val="ListParagraph"/>
        <w:numPr>
          <w:ilvl w:val="2"/>
          <w:numId w:val="37"/>
        </w:numPr>
        <w:spacing w:line="360" w:lineRule="auto"/>
        <w:rPr>
          <w:rFonts w:ascii="Times New Roman" w:hAnsi="Times New Roman" w:cs="Times New Roman"/>
          <w:sz w:val="24"/>
          <w:szCs w:val="24"/>
        </w:rPr>
      </w:pPr>
      <w:r w:rsidRPr="008F0038">
        <w:rPr>
          <w:rFonts w:ascii="Times New Roman" w:hAnsi="Times New Roman" w:cs="Times New Roman"/>
          <w:b/>
          <w:i/>
          <w:sz w:val="24"/>
          <w:szCs w:val="24"/>
        </w:rPr>
        <w:t xml:space="preserve">Revenue: </w:t>
      </w:r>
      <w:r w:rsidRPr="008F0038">
        <w:rPr>
          <w:rFonts w:ascii="Times New Roman" w:hAnsi="Times New Roman" w:cs="Times New Roman"/>
          <w:sz w:val="24"/>
          <w:szCs w:val="24"/>
        </w:rPr>
        <w:t>The Committee noted that the funding allocation from government continues to decrease. It raise</w:t>
      </w:r>
      <w:r w:rsidR="00F21317" w:rsidRPr="008F0038">
        <w:rPr>
          <w:rFonts w:ascii="Times New Roman" w:hAnsi="Times New Roman" w:cs="Times New Roman"/>
          <w:sz w:val="24"/>
          <w:szCs w:val="24"/>
        </w:rPr>
        <w:t>d</w:t>
      </w:r>
      <w:r w:rsidRPr="008F0038">
        <w:rPr>
          <w:rFonts w:ascii="Times New Roman" w:hAnsi="Times New Roman" w:cs="Times New Roman"/>
          <w:sz w:val="24"/>
          <w:szCs w:val="24"/>
        </w:rPr>
        <w:t xml:space="preserve"> its concerns around the ability of SABS to generate its own revenue to compensate for the shortfall. </w:t>
      </w:r>
      <w:r w:rsidR="00F21317" w:rsidRPr="008F0038">
        <w:rPr>
          <w:rFonts w:ascii="Times New Roman" w:hAnsi="Times New Roman" w:cs="Times New Roman"/>
          <w:sz w:val="24"/>
          <w:szCs w:val="24"/>
        </w:rPr>
        <w:t>It further</w:t>
      </w:r>
      <w:r w:rsidRPr="008F0038">
        <w:rPr>
          <w:rFonts w:ascii="Times New Roman" w:hAnsi="Times New Roman" w:cs="Times New Roman"/>
          <w:sz w:val="24"/>
          <w:szCs w:val="24"/>
        </w:rPr>
        <w:t xml:space="preserve"> enquired whether SABS had developed any measures to generate more revenue. The SABS informed the Committee that it had centralised the sales function with a dedicated focus to grow revenue. A larger and dedicated sales team would be taking a sector-focused approach with very clear revenue targets per person that would include all existing and new products and services. Furthermore, a sales pipeline would be developed to overcome the revenue gap over the next two financial years. The SABS also informed the Committee that daily financial performance tracking capabilities ha</w:t>
      </w:r>
      <w:r w:rsidR="00F21317" w:rsidRPr="008F0038">
        <w:rPr>
          <w:rFonts w:ascii="Times New Roman" w:hAnsi="Times New Roman" w:cs="Times New Roman"/>
          <w:sz w:val="24"/>
          <w:szCs w:val="24"/>
        </w:rPr>
        <w:t>d</w:t>
      </w:r>
      <w:r w:rsidRPr="008F0038">
        <w:rPr>
          <w:rFonts w:ascii="Times New Roman" w:hAnsi="Times New Roman" w:cs="Times New Roman"/>
          <w:sz w:val="24"/>
          <w:szCs w:val="24"/>
        </w:rPr>
        <w:t xml:space="preserve"> been developed to ensure that it makes informed decisions. Increasing laboratory capacity through partnership would further increase revenue and reduce delays. The SABS informed the Committee that the business transformation ICT digitisation programme that would enable online customer engagement and contribute to the ease of doing business was on track. These actions would contribute to revenue growth. </w:t>
      </w:r>
    </w:p>
    <w:p w14:paraId="63A86369" w14:textId="77777777" w:rsidR="008F0038" w:rsidRDefault="008F0038" w:rsidP="008F0038">
      <w:pPr>
        <w:pStyle w:val="ListParagraph"/>
        <w:spacing w:line="360" w:lineRule="auto"/>
        <w:rPr>
          <w:rFonts w:ascii="Times New Roman" w:hAnsi="Times New Roman" w:cs="Times New Roman"/>
          <w:sz w:val="24"/>
          <w:szCs w:val="24"/>
        </w:rPr>
      </w:pPr>
    </w:p>
    <w:p w14:paraId="4DFA8F75" w14:textId="77777777" w:rsidR="00443C0F" w:rsidRPr="008F0038" w:rsidRDefault="00443C0F" w:rsidP="008F0038">
      <w:pPr>
        <w:pStyle w:val="ListParagraph"/>
        <w:numPr>
          <w:ilvl w:val="2"/>
          <w:numId w:val="37"/>
        </w:numPr>
        <w:spacing w:line="360" w:lineRule="auto"/>
        <w:rPr>
          <w:rFonts w:ascii="Times New Roman" w:hAnsi="Times New Roman" w:cs="Times New Roman"/>
          <w:sz w:val="24"/>
          <w:szCs w:val="24"/>
        </w:rPr>
      </w:pPr>
      <w:r w:rsidRPr="008F0038">
        <w:rPr>
          <w:rFonts w:ascii="Times New Roman" w:hAnsi="Times New Roman" w:cs="Times New Roman"/>
          <w:b/>
          <w:i/>
          <w:sz w:val="24"/>
          <w:szCs w:val="24"/>
        </w:rPr>
        <w:t xml:space="preserve">Infrastructural challenges facing the SABS: </w:t>
      </w:r>
      <w:r w:rsidRPr="008F0038">
        <w:rPr>
          <w:rFonts w:ascii="Times New Roman" w:hAnsi="Times New Roman" w:cs="Times New Roman"/>
          <w:sz w:val="24"/>
          <w:szCs w:val="24"/>
        </w:rPr>
        <w:t>The Committee was concern</w:t>
      </w:r>
      <w:r w:rsidR="00F21317" w:rsidRPr="008F0038">
        <w:rPr>
          <w:rFonts w:ascii="Times New Roman" w:hAnsi="Times New Roman" w:cs="Times New Roman"/>
          <w:sz w:val="24"/>
          <w:szCs w:val="24"/>
        </w:rPr>
        <w:t>ed</w:t>
      </w:r>
      <w:r w:rsidRPr="008F0038">
        <w:rPr>
          <w:rFonts w:ascii="Times New Roman" w:hAnsi="Times New Roman" w:cs="Times New Roman"/>
          <w:sz w:val="24"/>
          <w:szCs w:val="24"/>
        </w:rPr>
        <w:t xml:space="preserve"> with the aging of the laboratory infrastructure at the SABS. The Committee enquired to the measures taken by the SABS to address this anomaly. The SABS informed the Committee that it </w:t>
      </w:r>
      <w:r w:rsidR="00F21317" w:rsidRPr="008F0038">
        <w:rPr>
          <w:rFonts w:ascii="Times New Roman" w:hAnsi="Times New Roman" w:cs="Times New Roman"/>
          <w:sz w:val="24"/>
          <w:szCs w:val="24"/>
        </w:rPr>
        <w:t xml:space="preserve">had </w:t>
      </w:r>
      <w:r w:rsidRPr="008F0038">
        <w:rPr>
          <w:rFonts w:ascii="Times New Roman" w:hAnsi="Times New Roman" w:cs="Times New Roman"/>
          <w:sz w:val="24"/>
          <w:szCs w:val="24"/>
        </w:rPr>
        <w:t xml:space="preserve">referenced the 1972 laboratory infrastructure. The SABS recognised that the renewal of the laboratory infrastructure is critical for the South African economy to have a scientifically sound laboratory infrastructure to support the various instruments of government. The SABS informed the Committee that renewal of the laboratory infrastructure is paramount notwithstanding the current environment of fiscal and budgetary constraints. </w:t>
      </w:r>
      <w:r w:rsidR="00F21317" w:rsidRPr="008F0038">
        <w:rPr>
          <w:rFonts w:ascii="Times New Roman" w:hAnsi="Times New Roman" w:cs="Times New Roman"/>
          <w:sz w:val="24"/>
          <w:szCs w:val="24"/>
        </w:rPr>
        <w:t>It</w:t>
      </w:r>
      <w:r w:rsidRPr="008F0038">
        <w:rPr>
          <w:rFonts w:ascii="Times New Roman" w:hAnsi="Times New Roman" w:cs="Times New Roman"/>
          <w:sz w:val="24"/>
          <w:szCs w:val="24"/>
        </w:rPr>
        <w:t xml:space="preserve"> had developed a clear roadmap to leverage </w:t>
      </w:r>
      <w:r w:rsidR="00F21317" w:rsidRPr="008F0038">
        <w:rPr>
          <w:rFonts w:ascii="Times New Roman" w:hAnsi="Times New Roman" w:cs="Times New Roman"/>
          <w:sz w:val="24"/>
          <w:szCs w:val="24"/>
        </w:rPr>
        <w:t xml:space="preserve">its </w:t>
      </w:r>
      <w:r w:rsidRPr="008F0038">
        <w:rPr>
          <w:rFonts w:ascii="Times New Roman" w:hAnsi="Times New Roman" w:cs="Times New Roman"/>
          <w:sz w:val="24"/>
          <w:szCs w:val="24"/>
        </w:rPr>
        <w:t>assets and technical expertise to generate income necessary for the renewal of the laboratory infrastructure</w:t>
      </w:r>
    </w:p>
    <w:p w14:paraId="205E63F5" w14:textId="77777777" w:rsidR="00443C0F" w:rsidRDefault="00443C0F" w:rsidP="00EF0C57">
      <w:pPr>
        <w:pStyle w:val="Heading22"/>
        <w:numPr>
          <w:ilvl w:val="0"/>
          <w:numId w:val="0"/>
        </w:numPr>
      </w:pPr>
    </w:p>
    <w:p w14:paraId="602D696C" w14:textId="77777777" w:rsidR="009D5D24" w:rsidRPr="00586CCF" w:rsidRDefault="009D5D24" w:rsidP="009E429C">
      <w:pPr>
        <w:pStyle w:val="Heading22"/>
        <w:numPr>
          <w:ilvl w:val="0"/>
          <w:numId w:val="0"/>
        </w:numPr>
        <w:jc w:val="center"/>
      </w:pPr>
      <w:r>
        <w:t>PART C: CONCLUDING REMARKS AND RECOMMENDATIONS</w:t>
      </w:r>
      <w:r>
        <w:br/>
      </w:r>
    </w:p>
    <w:p w14:paraId="49322FA6" w14:textId="77777777" w:rsidR="00AC0279" w:rsidRPr="00586CCF" w:rsidRDefault="003962B4" w:rsidP="000C1D84">
      <w:pPr>
        <w:pStyle w:val="Heading11"/>
        <w:spacing w:line="360" w:lineRule="auto"/>
        <w:rPr>
          <w:rFonts w:ascii="Times New Roman" w:hAnsi="Times New Roman" w:cs="Times New Roman"/>
          <w:sz w:val="24"/>
          <w:lang w:val="en-ZA"/>
        </w:rPr>
      </w:pPr>
      <w:r w:rsidRPr="00586CCF">
        <w:rPr>
          <w:rFonts w:ascii="Times New Roman" w:hAnsi="Times New Roman" w:cs="Times New Roman"/>
          <w:sz w:val="24"/>
          <w:lang w:val="en-ZA"/>
        </w:rPr>
        <w:t>Conclusions</w:t>
      </w:r>
      <w:bookmarkEnd w:id="15"/>
    </w:p>
    <w:p w14:paraId="255ABDDC" w14:textId="77777777" w:rsidR="00EB5CC3" w:rsidRPr="00586CCF" w:rsidRDefault="00EB5CC3" w:rsidP="00586CCF">
      <w:pPr>
        <w:pStyle w:val="Heading11"/>
        <w:numPr>
          <w:ilvl w:val="0"/>
          <w:numId w:val="0"/>
        </w:numPr>
        <w:spacing w:line="360" w:lineRule="auto"/>
        <w:rPr>
          <w:rFonts w:ascii="Times New Roman" w:hAnsi="Times New Roman" w:cs="Times New Roman"/>
          <w:b w:val="0"/>
          <w:sz w:val="24"/>
          <w:lang w:val="en-ZA"/>
        </w:rPr>
      </w:pPr>
    </w:p>
    <w:p w14:paraId="2532707F" w14:textId="77777777" w:rsidR="000742C2" w:rsidRPr="00EF0C57" w:rsidRDefault="00D16755" w:rsidP="00EF0C57">
      <w:pPr>
        <w:spacing w:line="360" w:lineRule="auto"/>
        <w:rPr>
          <w:rFonts w:ascii="Times New Roman" w:hAnsi="Times New Roman" w:cs="Times New Roman"/>
          <w:sz w:val="24"/>
          <w:szCs w:val="24"/>
        </w:rPr>
      </w:pPr>
      <w:r w:rsidRPr="00EF0C57">
        <w:rPr>
          <w:rFonts w:ascii="Times New Roman" w:hAnsi="Times New Roman" w:cs="Times New Roman"/>
          <w:sz w:val="24"/>
          <w:szCs w:val="24"/>
        </w:rPr>
        <w:t xml:space="preserve">Based on its deliberations, the committee </w:t>
      </w:r>
      <w:r w:rsidR="00144A76" w:rsidRPr="00EF0C57">
        <w:rPr>
          <w:rFonts w:ascii="Times New Roman" w:hAnsi="Times New Roman" w:cs="Times New Roman"/>
          <w:sz w:val="24"/>
          <w:szCs w:val="24"/>
        </w:rPr>
        <w:t xml:space="preserve">drew </w:t>
      </w:r>
      <w:r w:rsidR="00EF0C57">
        <w:rPr>
          <w:rFonts w:ascii="Times New Roman" w:hAnsi="Times New Roman" w:cs="Times New Roman"/>
          <w:sz w:val="24"/>
          <w:szCs w:val="24"/>
        </w:rPr>
        <w:t>the following conclusions:</w:t>
      </w:r>
    </w:p>
    <w:p w14:paraId="1B128E3B" w14:textId="77777777" w:rsidR="000742C2" w:rsidRPr="00586CCF" w:rsidRDefault="000742C2" w:rsidP="00EF0C57">
      <w:pPr>
        <w:pStyle w:val="Heading22"/>
        <w:numPr>
          <w:ilvl w:val="0"/>
          <w:numId w:val="0"/>
        </w:numPr>
      </w:pPr>
    </w:p>
    <w:p w14:paraId="31E73BF6" w14:textId="77777777" w:rsidR="00C003B2"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00C003B2" w:rsidRPr="00663B5F">
        <w:rPr>
          <w:rFonts w:ascii="Times New Roman" w:hAnsi="Times New Roman" w:cs="Times New Roman"/>
          <w:sz w:val="24"/>
          <w:szCs w:val="24"/>
        </w:rPr>
        <w:t>Localisation and local public procurement are critical policy instruments to create an inclusive economy through job creation, and the development of the productive sectors of the economy. However, the Committee emphasised that the non-compliance by government departments and entities across all spheres undermined this objective. The Committee welcomed the DTI’s commitment to strengthen its monitoring capacity over compliance with the local content requirements.</w:t>
      </w:r>
    </w:p>
    <w:p w14:paraId="0EF40DA2" w14:textId="77777777" w:rsidR="00663B5F" w:rsidRDefault="00663B5F" w:rsidP="00663B5F">
      <w:pPr>
        <w:spacing w:line="360" w:lineRule="auto"/>
        <w:rPr>
          <w:rFonts w:ascii="Times New Roman" w:hAnsi="Times New Roman" w:cs="Times New Roman"/>
          <w:sz w:val="24"/>
          <w:szCs w:val="24"/>
        </w:rPr>
      </w:pPr>
    </w:p>
    <w:p w14:paraId="43BBBB58" w14:textId="77777777" w:rsidR="00663B5F" w:rsidRPr="00663B5F" w:rsidRDefault="00663B5F" w:rsidP="00663B5F">
      <w:pPr>
        <w:spacing w:line="360" w:lineRule="auto"/>
        <w:rPr>
          <w:rFonts w:ascii="Times New Roman" w:hAnsi="Times New Roman" w:cs="Times New Roman"/>
          <w:sz w:val="24"/>
          <w:szCs w:val="24"/>
        </w:rPr>
      </w:pPr>
    </w:p>
    <w:p w14:paraId="140F015A"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00C003B2" w:rsidRPr="00663B5F">
        <w:rPr>
          <w:rFonts w:ascii="Times New Roman" w:hAnsi="Times New Roman" w:cs="Times New Roman"/>
          <w:sz w:val="24"/>
          <w:szCs w:val="24"/>
        </w:rPr>
        <w:t>The DTI confirmed that they had written to the A</w:t>
      </w:r>
      <w:r w:rsidR="00EF0C57" w:rsidRPr="00663B5F">
        <w:rPr>
          <w:rFonts w:ascii="Times New Roman" w:hAnsi="Times New Roman" w:cs="Times New Roman"/>
          <w:sz w:val="24"/>
          <w:szCs w:val="24"/>
        </w:rPr>
        <w:t>uditor-General</w:t>
      </w:r>
      <w:r w:rsidR="00C003B2" w:rsidRPr="00663B5F">
        <w:rPr>
          <w:rFonts w:ascii="Times New Roman" w:hAnsi="Times New Roman" w:cs="Times New Roman"/>
          <w:sz w:val="24"/>
          <w:szCs w:val="24"/>
        </w:rPr>
        <w:t xml:space="preserve"> regarding the Committee’s recommendation in its report on the Colloquium on Local Public Procurement dated </w:t>
      </w:r>
      <w:r w:rsidR="0018002F" w:rsidRPr="00663B5F">
        <w:rPr>
          <w:rFonts w:ascii="Times New Roman" w:hAnsi="Times New Roman" w:cs="Times New Roman"/>
          <w:sz w:val="24"/>
          <w:szCs w:val="24"/>
        </w:rPr>
        <w:t>13 October 2016</w:t>
      </w:r>
      <w:r w:rsidR="00C003B2" w:rsidRPr="00663B5F">
        <w:rPr>
          <w:rFonts w:ascii="Times New Roman" w:hAnsi="Times New Roman" w:cs="Times New Roman"/>
          <w:sz w:val="24"/>
          <w:szCs w:val="24"/>
        </w:rPr>
        <w:t xml:space="preserve"> that the A</w:t>
      </w:r>
      <w:r w:rsidR="00EF0C57" w:rsidRPr="00663B5F">
        <w:rPr>
          <w:rFonts w:ascii="Times New Roman" w:hAnsi="Times New Roman" w:cs="Times New Roman"/>
          <w:sz w:val="24"/>
          <w:szCs w:val="24"/>
        </w:rPr>
        <w:t>uditor-</w:t>
      </w:r>
      <w:r w:rsidR="00C003B2" w:rsidRPr="00663B5F">
        <w:rPr>
          <w:rFonts w:ascii="Times New Roman" w:hAnsi="Times New Roman" w:cs="Times New Roman"/>
          <w:sz w:val="24"/>
          <w:szCs w:val="24"/>
        </w:rPr>
        <w:t>G</w:t>
      </w:r>
      <w:r w:rsidR="00EF0C57" w:rsidRPr="00663B5F">
        <w:rPr>
          <w:rFonts w:ascii="Times New Roman" w:hAnsi="Times New Roman" w:cs="Times New Roman"/>
          <w:sz w:val="24"/>
          <w:szCs w:val="24"/>
        </w:rPr>
        <w:t>eneral</w:t>
      </w:r>
      <w:r w:rsidR="00C003B2" w:rsidRPr="00663B5F">
        <w:rPr>
          <w:rFonts w:ascii="Times New Roman" w:hAnsi="Times New Roman" w:cs="Times New Roman"/>
          <w:sz w:val="24"/>
          <w:szCs w:val="24"/>
        </w:rPr>
        <w:t xml:space="preserve"> includes compliance with local public procurement as part of their audit.</w:t>
      </w:r>
    </w:p>
    <w:p w14:paraId="1EB3A021"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00EF0C57" w:rsidRPr="00663B5F">
        <w:rPr>
          <w:rFonts w:ascii="Times New Roman" w:hAnsi="Times New Roman" w:cs="Times New Roman"/>
          <w:sz w:val="24"/>
          <w:szCs w:val="24"/>
        </w:rPr>
        <w:t>Foreign direct investment</w:t>
      </w:r>
      <w:r w:rsidR="00C003B2" w:rsidRPr="00663B5F">
        <w:rPr>
          <w:rFonts w:ascii="Times New Roman" w:hAnsi="Times New Roman" w:cs="Times New Roman"/>
          <w:sz w:val="24"/>
          <w:szCs w:val="24"/>
        </w:rPr>
        <w:t xml:space="preserve"> into infrastructure projects is welcomed but the Committee emphasised the need to ensure that locally manufactured products are utilised in these projects. The Committee also agreed that in the 2018/19 BRRR process it would be important to engage with the Presidential Infrastructu</w:t>
      </w:r>
      <w:r w:rsidR="00EF0C57" w:rsidRPr="00663B5F">
        <w:rPr>
          <w:rFonts w:ascii="Times New Roman" w:hAnsi="Times New Roman" w:cs="Times New Roman"/>
          <w:sz w:val="24"/>
          <w:szCs w:val="24"/>
        </w:rPr>
        <w:t>re Coordinating Committee</w:t>
      </w:r>
      <w:r w:rsidR="00C003B2" w:rsidRPr="00663B5F">
        <w:rPr>
          <w:rFonts w:ascii="Times New Roman" w:hAnsi="Times New Roman" w:cs="Times New Roman"/>
          <w:sz w:val="24"/>
          <w:szCs w:val="24"/>
        </w:rPr>
        <w:t xml:space="preserve">. </w:t>
      </w:r>
    </w:p>
    <w:p w14:paraId="6C12E1EF"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sidR="00C003B2" w:rsidRPr="00663B5F">
        <w:rPr>
          <w:rFonts w:ascii="Times New Roman" w:hAnsi="Times New Roman" w:cs="Times New Roman"/>
          <w:sz w:val="24"/>
          <w:szCs w:val="24"/>
        </w:rPr>
        <w:t>Progress with respect to the Black Industrialist Programme in promoting the growth of black-owned and managed companies is welcomed by the Committee. The policy and the programme are a key part of government’s broad industrialisation initiatives to expand the industrial base and participation in the manufacturing activities and the economy.</w:t>
      </w:r>
    </w:p>
    <w:p w14:paraId="2B7286C3"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sidR="00C003B2" w:rsidRPr="00663B5F">
        <w:rPr>
          <w:rFonts w:ascii="Times New Roman" w:hAnsi="Times New Roman" w:cs="Times New Roman"/>
          <w:sz w:val="24"/>
          <w:szCs w:val="24"/>
        </w:rPr>
        <w:t xml:space="preserve">The Committee welcomed the appointment of the Commissioner of the Broad-Based Black Economic Empowerment Commission and anticipated the impact it would have in terms of improved compliance with the relevant legislation. In terms of the transformation of our economy we need to ensure that control, significant ownership and leadership is a reflection of our society in the same way that our political space reflects this reality. </w:t>
      </w:r>
    </w:p>
    <w:p w14:paraId="63A8A0E8"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00C003B2" w:rsidRPr="00663B5F">
        <w:rPr>
          <w:rFonts w:ascii="Times New Roman" w:hAnsi="Times New Roman" w:cs="Times New Roman"/>
          <w:sz w:val="24"/>
          <w:szCs w:val="24"/>
        </w:rPr>
        <w:t xml:space="preserve">The Committee noted with concern the regression with regard to the audit performance of the DTI and entities reporting to it, and stressed the importance of the governance issues but also the technical issues related to shifts from one system to another as exemplified in GRAP and the need for more robust communication between the respective entity and the </w:t>
      </w:r>
      <w:r w:rsidR="003100D1" w:rsidRPr="00663B5F">
        <w:rPr>
          <w:rFonts w:ascii="Times New Roman" w:hAnsi="Times New Roman" w:cs="Times New Roman"/>
          <w:sz w:val="24"/>
          <w:szCs w:val="24"/>
        </w:rPr>
        <w:t>Auditor-General’</w:t>
      </w:r>
      <w:r w:rsidR="00C003B2" w:rsidRPr="00663B5F">
        <w:rPr>
          <w:rFonts w:ascii="Times New Roman" w:hAnsi="Times New Roman" w:cs="Times New Roman"/>
          <w:sz w:val="24"/>
          <w:szCs w:val="24"/>
        </w:rPr>
        <w:t xml:space="preserve">s office. It is imperative that this relationship is strengthened so that the Committee can effectively exercise its oversight functions over all the entities falling under the DTI, but especially those facing challenges as identified in the NCC, the NCR, the NRCS and the SABS. </w:t>
      </w:r>
    </w:p>
    <w:p w14:paraId="5731DBB7"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sidR="00C003B2" w:rsidRPr="00663B5F">
        <w:rPr>
          <w:rFonts w:ascii="Times New Roman" w:hAnsi="Times New Roman" w:cs="Times New Roman"/>
          <w:sz w:val="24"/>
          <w:szCs w:val="24"/>
        </w:rPr>
        <w:t>The Committee noted with concern the decline in the key audit control measures that resulted in the NCC receiving an unqualified audit with findings. However, it welcomed the NCC’s acknowledgment of these challenges and its commitment to fully implement its audit action plan to address these shortcomings. The Committee intends undertaking more frequent engagements with the NCC to exercise more effective monitoring oversight on this entity.</w:t>
      </w:r>
    </w:p>
    <w:p w14:paraId="2EC6E9DA"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r>
      <w:r w:rsidR="00C003B2" w:rsidRPr="00663B5F">
        <w:rPr>
          <w:rFonts w:ascii="Times New Roman" w:hAnsi="Times New Roman" w:cs="Times New Roman"/>
          <w:sz w:val="24"/>
          <w:szCs w:val="24"/>
        </w:rPr>
        <w:t xml:space="preserve">It is with concern that the Committee had noted that human resource capacity and the availability of appropriate skills within the NCC still remains a challenge. The Committee encouraged the NCC to address its skills gap and provide the relevant training to employees. </w:t>
      </w:r>
    </w:p>
    <w:p w14:paraId="20061907"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r>
      <w:r w:rsidR="00C003B2" w:rsidRPr="00663B5F">
        <w:rPr>
          <w:rFonts w:ascii="Times New Roman" w:hAnsi="Times New Roman" w:cs="Times New Roman"/>
          <w:sz w:val="24"/>
          <w:szCs w:val="24"/>
        </w:rPr>
        <w:t>The Committee welcomed the improvement of the NRCS in significantly addressing the backlogs associated with the issuing of Letters of Authority. The Committee is concerned that the NRCS will not be able to meet its December deadline to implement the electronic risk-based approach, which is expected to expedite the issuing of Letters of Authority for low- and medium-risk companies. However, it noted with concern that the target date had shifted, given this reality it was imperative for the NRCS provide the Committee with a fresh time line and a deadline to operationalize the digital electronic platform.</w:t>
      </w:r>
    </w:p>
    <w:p w14:paraId="24FAEA4D"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9.10</w:t>
      </w:r>
      <w:r>
        <w:rPr>
          <w:rFonts w:ascii="Times New Roman" w:hAnsi="Times New Roman" w:cs="Times New Roman"/>
          <w:sz w:val="24"/>
          <w:szCs w:val="24"/>
        </w:rPr>
        <w:tab/>
      </w:r>
      <w:r w:rsidR="00C003B2" w:rsidRPr="00663B5F">
        <w:rPr>
          <w:rFonts w:ascii="Times New Roman" w:hAnsi="Times New Roman" w:cs="Times New Roman"/>
          <w:sz w:val="24"/>
          <w:szCs w:val="24"/>
        </w:rPr>
        <w:t>The Committee urged the NRCS to review technical regulations to address technological advancements in motor vehicles to ensure consumer safety. It was no longer acceptable given the life-threatening dangers to continue to work on a post-mortem approach before taking preventative action.</w:t>
      </w:r>
    </w:p>
    <w:p w14:paraId="48FB4DC2"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9.11</w:t>
      </w:r>
      <w:r>
        <w:rPr>
          <w:rFonts w:ascii="Times New Roman" w:hAnsi="Times New Roman" w:cs="Times New Roman"/>
          <w:sz w:val="24"/>
          <w:szCs w:val="24"/>
        </w:rPr>
        <w:tab/>
      </w:r>
      <w:r w:rsidR="00C003B2" w:rsidRPr="00663B5F">
        <w:rPr>
          <w:rFonts w:ascii="Times New Roman" w:hAnsi="Times New Roman" w:cs="Times New Roman"/>
          <w:sz w:val="24"/>
          <w:szCs w:val="24"/>
        </w:rPr>
        <w:t>In addition, the process leading to the formal verification of the e-tolling system is welcomed to ensure the accuracy of this system. The Committee is of the view that an oversight of this needs to be conducted in loco without warning to ensure that this verification is undertaken within the required 12-month period.</w:t>
      </w:r>
    </w:p>
    <w:p w14:paraId="6BE2F7BF"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9.12</w:t>
      </w:r>
      <w:r>
        <w:rPr>
          <w:rFonts w:ascii="Times New Roman" w:hAnsi="Times New Roman" w:cs="Times New Roman"/>
          <w:sz w:val="24"/>
          <w:szCs w:val="24"/>
        </w:rPr>
        <w:tab/>
      </w:r>
      <w:r w:rsidR="00C003B2" w:rsidRPr="00663B5F">
        <w:rPr>
          <w:rFonts w:ascii="Times New Roman" w:hAnsi="Times New Roman" w:cs="Times New Roman"/>
          <w:sz w:val="24"/>
          <w:szCs w:val="24"/>
        </w:rPr>
        <w:t>Notwithstanding that the funding allocation from government to entities had been decreasing, the Committee was concerned with the SABS’ ability to generate its own revenue to compensate for the shortfall. The Committee welcomed the proposal of a SABS’ business plan that seeks to address the financial challenges which would contribute to revenue growth. However, the Committee informed the SABS during its engagement that it would require this business plan with six months, that is before the end of this financial year.</w:t>
      </w:r>
    </w:p>
    <w:p w14:paraId="7D474648"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9.13</w:t>
      </w:r>
      <w:r>
        <w:rPr>
          <w:rFonts w:ascii="Times New Roman" w:hAnsi="Times New Roman" w:cs="Times New Roman"/>
          <w:sz w:val="24"/>
          <w:szCs w:val="24"/>
        </w:rPr>
        <w:tab/>
      </w:r>
      <w:r w:rsidR="00C003B2" w:rsidRPr="00663B5F">
        <w:rPr>
          <w:rFonts w:ascii="Times New Roman" w:hAnsi="Times New Roman" w:cs="Times New Roman"/>
          <w:sz w:val="24"/>
          <w:szCs w:val="24"/>
        </w:rPr>
        <w:t>The Committee acknowledged the challenges associated with ag</w:t>
      </w:r>
      <w:r w:rsidR="008900B6" w:rsidRPr="00663B5F">
        <w:rPr>
          <w:rFonts w:ascii="Times New Roman" w:hAnsi="Times New Roman" w:cs="Times New Roman"/>
          <w:sz w:val="24"/>
          <w:szCs w:val="24"/>
        </w:rPr>
        <w:t>e</w:t>
      </w:r>
      <w:r w:rsidR="00C003B2" w:rsidRPr="00663B5F">
        <w:rPr>
          <w:rFonts w:ascii="Times New Roman" w:hAnsi="Times New Roman" w:cs="Times New Roman"/>
          <w:sz w:val="24"/>
          <w:szCs w:val="24"/>
        </w:rPr>
        <w:t xml:space="preserve">ing laboratory infrastructure and its impact on SABS’s capabilities and service delivery and its ability to support industrial development. </w:t>
      </w:r>
    </w:p>
    <w:p w14:paraId="32602793" w14:textId="77777777" w:rsidR="000B4A4A" w:rsidRPr="00586CCF" w:rsidRDefault="000B4A4A" w:rsidP="00586CCF">
      <w:pPr>
        <w:spacing w:line="360" w:lineRule="auto"/>
        <w:rPr>
          <w:rFonts w:ascii="Times New Roman" w:hAnsi="Times New Roman" w:cs="Times New Roman"/>
          <w:sz w:val="24"/>
          <w:szCs w:val="24"/>
        </w:rPr>
      </w:pPr>
    </w:p>
    <w:p w14:paraId="2DDB1024" w14:textId="77777777" w:rsidR="009F6ED3" w:rsidRPr="00586CCF" w:rsidRDefault="009F6ED3" w:rsidP="004349D4">
      <w:pPr>
        <w:pStyle w:val="Heading11"/>
        <w:spacing w:line="360" w:lineRule="auto"/>
        <w:rPr>
          <w:rFonts w:ascii="Times New Roman" w:hAnsi="Times New Roman" w:cs="Times New Roman"/>
          <w:sz w:val="24"/>
          <w:lang w:val="en-ZA"/>
        </w:rPr>
      </w:pPr>
      <w:bookmarkStart w:id="16" w:name="_Toc370119618"/>
      <w:r w:rsidRPr="00586CCF">
        <w:rPr>
          <w:rFonts w:ascii="Times New Roman" w:hAnsi="Times New Roman" w:cs="Times New Roman"/>
          <w:sz w:val="24"/>
          <w:lang w:val="en-ZA"/>
        </w:rPr>
        <w:t>Appreciation</w:t>
      </w:r>
      <w:bookmarkEnd w:id="16"/>
    </w:p>
    <w:p w14:paraId="4806F178" w14:textId="77777777" w:rsidR="009F6ED3" w:rsidRPr="00586CCF" w:rsidRDefault="009F6ED3" w:rsidP="00586CCF">
      <w:pPr>
        <w:spacing w:line="360" w:lineRule="auto"/>
        <w:rPr>
          <w:rFonts w:ascii="Times New Roman" w:hAnsi="Times New Roman" w:cs="Times New Roman"/>
          <w:bCs/>
          <w:sz w:val="24"/>
          <w:szCs w:val="24"/>
        </w:rPr>
      </w:pPr>
    </w:p>
    <w:p w14:paraId="4D6A71DE" w14:textId="77777777" w:rsidR="009F6ED3" w:rsidRPr="00586CCF" w:rsidRDefault="009F6ED3" w:rsidP="00586CC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bCs/>
          <w:sz w:val="24"/>
          <w:szCs w:val="24"/>
        </w:rPr>
        <w:t xml:space="preserve">The </w:t>
      </w:r>
      <w:r w:rsidR="004D0E2D" w:rsidRPr="00586CCF">
        <w:rPr>
          <w:rFonts w:ascii="Times New Roman" w:eastAsia="Calibri" w:hAnsi="Times New Roman" w:cs="Times New Roman"/>
          <w:bCs/>
          <w:sz w:val="24"/>
          <w:szCs w:val="24"/>
        </w:rPr>
        <w:t>committee</w:t>
      </w:r>
      <w:r w:rsidR="00906B0A" w:rsidRPr="00586CCF">
        <w:rPr>
          <w:rFonts w:ascii="Times New Roman" w:eastAsia="Calibri" w:hAnsi="Times New Roman" w:cs="Times New Roman"/>
          <w:bCs/>
          <w:sz w:val="24"/>
          <w:szCs w:val="24"/>
        </w:rPr>
        <w:t xml:space="preserve"> would like to thank the Minister</w:t>
      </w:r>
      <w:r w:rsidRPr="00586CCF">
        <w:rPr>
          <w:rFonts w:ascii="Times New Roman" w:eastAsia="Calibri" w:hAnsi="Times New Roman" w:cs="Times New Roman"/>
          <w:bCs/>
          <w:sz w:val="24"/>
          <w:szCs w:val="24"/>
        </w:rPr>
        <w:t xml:space="preserve"> of Trade and Industry, </w:t>
      </w:r>
      <w:r w:rsidR="00183492" w:rsidRPr="00586CCF">
        <w:rPr>
          <w:rFonts w:ascii="Times New Roman" w:eastAsia="Calibri" w:hAnsi="Times New Roman" w:cs="Times New Roman"/>
          <w:bCs/>
          <w:sz w:val="24"/>
          <w:szCs w:val="24"/>
        </w:rPr>
        <w:t>Dr R Davies</w:t>
      </w:r>
      <w:r w:rsidR="00AB0363" w:rsidRPr="00586CCF">
        <w:rPr>
          <w:rFonts w:ascii="Times New Roman" w:eastAsia="Calibri" w:hAnsi="Times New Roman" w:cs="Times New Roman"/>
          <w:bCs/>
          <w:sz w:val="24"/>
          <w:szCs w:val="24"/>
        </w:rPr>
        <w:t>,</w:t>
      </w:r>
      <w:r w:rsidR="00183492" w:rsidRPr="00586CCF">
        <w:rPr>
          <w:rFonts w:ascii="Times New Roman" w:eastAsia="Calibri" w:hAnsi="Times New Roman" w:cs="Times New Roman"/>
          <w:bCs/>
          <w:sz w:val="24"/>
          <w:szCs w:val="24"/>
        </w:rPr>
        <w:t xml:space="preserve"> and the Director-General, Mr L October, the </w:t>
      </w:r>
      <w:r w:rsidR="00510A07">
        <w:rPr>
          <w:rFonts w:ascii="Times New Roman" w:eastAsia="Calibri" w:hAnsi="Times New Roman" w:cs="Times New Roman"/>
          <w:bCs/>
          <w:sz w:val="24"/>
          <w:szCs w:val="24"/>
        </w:rPr>
        <w:t xml:space="preserve">acting </w:t>
      </w:r>
      <w:r w:rsidR="00183492" w:rsidRPr="00586CCF">
        <w:rPr>
          <w:rFonts w:ascii="Times New Roman" w:eastAsia="Calibri" w:hAnsi="Times New Roman" w:cs="Times New Roman"/>
          <w:bCs/>
          <w:sz w:val="24"/>
          <w:szCs w:val="24"/>
        </w:rPr>
        <w:t xml:space="preserve">Group Chief Operating Officer, Ms </w:t>
      </w:r>
      <w:r w:rsidR="00510A07">
        <w:rPr>
          <w:rFonts w:ascii="Times New Roman" w:eastAsia="Calibri" w:hAnsi="Times New Roman" w:cs="Times New Roman"/>
          <w:bCs/>
          <w:sz w:val="24"/>
          <w:szCs w:val="24"/>
        </w:rPr>
        <w:t>N Matomela</w:t>
      </w:r>
      <w:r w:rsidR="00AB0363" w:rsidRPr="00586CCF">
        <w:rPr>
          <w:rFonts w:ascii="Times New Roman" w:eastAsia="Calibri" w:hAnsi="Times New Roman" w:cs="Times New Roman"/>
          <w:bCs/>
          <w:sz w:val="24"/>
          <w:szCs w:val="24"/>
        </w:rPr>
        <w:t>,</w:t>
      </w:r>
      <w:r w:rsidR="000742C2" w:rsidRPr="00586CCF">
        <w:rPr>
          <w:rFonts w:ascii="Times New Roman" w:eastAsia="Calibri" w:hAnsi="Times New Roman" w:cs="Times New Roman"/>
          <w:bCs/>
          <w:sz w:val="24"/>
          <w:szCs w:val="24"/>
        </w:rPr>
        <w:t xml:space="preserve"> the Parliamentary Liason officer,</w:t>
      </w:r>
      <w:r w:rsidR="00183492" w:rsidRPr="00586CCF">
        <w:rPr>
          <w:rFonts w:ascii="Times New Roman" w:eastAsia="Calibri" w:hAnsi="Times New Roman" w:cs="Times New Roman"/>
          <w:bCs/>
          <w:sz w:val="24"/>
          <w:szCs w:val="24"/>
        </w:rPr>
        <w:t xml:space="preserve"> </w:t>
      </w:r>
      <w:r w:rsidR="000742C2" w:rsidRPr="00586CCF">
        <w:rPr>
          <w:rFonts w:ascii="Times New Roman" w:eastAsia="Calibri" w:hAnsi="Times New Roman" w:cs="Times New Roman"/>
          <w:bCs/>
          <w:sz w:val="24"/>
          <w:szCs w:val="24"/>
        </w:rPr>
        <w:t xml:space="preserve">Ms Saroj Naidoo, </w:t>
      </w:r>
      <w:r w:rsidR="00183492" w:rsidRPr="00586CCF">
        <w:rPr>
          <w:rFonts w:ascii="Times New Roman" w:eastAsia="Calibri" w:hAnsi="Times New Roman" w:cs="Times New Roman"/>
          <w:bCs/>
          <w:sz w:val="24"/>
          <w:szCs w:val="24"/>
        </w:rPr>
        <w:t xml:space="preserve">and </w:t>
      </w:r>
      <w:r w:rsidR="00A333B8" w:rsidRPr="00586CCF">
        <w:rPr>
          <w:rFonts w:ascii="Times New Roman" w:eastAsia="Calibri" w:hAnsi="Times New Roman" w:cs="Times New Roman"/>
          <w:bCs/>
          <w:sz w:val="24"/>
          <w:szCs w:val="24"/>
        </w:rPr>
        <w:t xml:space="preserve">all </w:t>
      </w:r>
      <w:r w:rsidR="00183492" w:rsidRPr="00586CCF">
        <w:rPr>
          <w:rFonts w:ascii="Times New Roman" w:eastAsia="Calibri" w:hAnsi="Times New Roman" w:cs="Times New Roman"/>
          <w:bCs/>
          <w:sz w:val="24"/>
          <w:szCs w:val="24"/>
        </w:rPr>
        <w:t>other senior manage</w:t>
      </w:r>
      <w:r w:rsidR="00A333B8" w:rsidRPr="00586CCF">
        <w:rPr>
          <w:rFonts w:ascii="Times New Roman" w:eastAsia="Calibri" w:hAnsi="Times New Roman" w:cs="Times New Roman"/>
          <w:bCs/>
          <w:sz w:val="24"/>
          <w:szCs w:val="24"/>
        </w:rPr>
        <w:t>rs</w:t>
      </w:r>
      <w:r w:rsidR="00183492" w:rsidRPr="00586CCF">
        <w:rPr>
          <w:rFonts w:ascii="Times New Roman" w:eastAsia="Calibri" w:hAnsi="Times New Roman" w:cs="Times New Roman"/>
          <w:bCs/>
          <w:sz w:val="24"/>
          <w:szCs w:val="24"/>
        </w:rPr>
        <w:t xml:space="preserve"> of </w:t>
      </w:r>
      <w:r w:rsidR="00AB0363" w:rsidRPr="00586CCF">
        <w:rPr>
          <w:rFonts w:ascii="Times New Roman" w:eastAsia="Calibri" w:hAnsi="Times New Roman" w:cs="Times New Roman"/>
          <w:bCs/>
          <w:sz w:val="24"/>
          <w:szCs w:val="24"/>
        </w:rPr>
        <w:t xml:space="preserve">the </w:t>
      </w:r>
      <w:r w:rsidR="00183492" w:rsidRPr="00586CCF">
        <w:rPr>
          <w:rFonts w:ascii="Times New Roman" w:eastAsia="Calibri" w:hAnsi="Times New Roman" w:cs="Times New Roman"/>
          <w:bCs/>
          <w:sz w:val="24"/>
          <w:szCs w:val="24"/>
        </w:rPr>
        <w:t xml:space="preserve">DTI, </w:t>
      </w:r>
      <w:r w:rsidR="00AB0363" w:rsidRPr="00586CCF">
        <w:rPr>
          <w:rFonts w:ascii="Times New Roman" w:eastAsia="Calibri" w:hAnsi="Times New Roman" w:cs="Times New Roman"/>
          <w:bCs/>
          <w:sz w:val="24"/>
          <w:szCs w:val="24"/>
        </w:rPr>
        <w:t xml:space="preserve">as well as </w:t>
      </w:r>
      <w:r w:rsidR="00183492" w:rsidRPr="00586CCF">
        <w:rPr>
          <w:rFonts w:ascii="Times New Roman" w:eastAsia="Calibri" w:hAnsi="Times New Roman" w:cs="Times New Roman"/>
          <w:bCs/>
          <w:sz w:val="24"/>
          <w:szCs w:val="24"/>
        </w:rPr>
        <w:t>the entities and their management</w:t>
      </w:r>
      <w:r w:rsidR="00AB0363" w:rsidRPr="00586CCF">
        <w:rPr>
          <w:rFonts w:ascii="Times New Roman" w:eastAsia="Calibri" w:hAnsi="Times New Roman" w:cs="Times New Roman"/>
          <w:bCs/>
          <w:sz w:val="24"/>
          <w:szCs w:val="24"/>
        </w:rPr>
        <w:t>,</w:t>
      </w:r>
      <w:r w:rsidR="00183492" w:rsidRPr="00586CCF">
        <w:rPr>
          <w:rFonts w:ascii="Times New Roman" w:eastAsia="Calibri" w:hAnsi="Times New Roman" w:cs="Times New Roman"/>
          <w:bCs/>
          <w:sz w:val="24"/>
          <w:szCs w:val="24"/>
        </w:rPr>
        <w:t xml:space="preserve"> for their cooperation and transparency during this process. </w:t>
      </w:r>
      <w:r w:rsidRPr="00586CCF">
        <w:rPr>
          <w:rFonts w:ascii="Times New Roman" w:eastAsia="Calibri" w:hAnsi="Times New Roman" w:cs="Times New Roman"/>
          <w:sz w:val="24"/>
          <w:szCs w:val="24"/>
        </w:rPr>
        <w:t xml:space="preserve">The </w:t>
      </w:r>
      <w:r w:rsidR="004D0E2D" w:rsidRPr="00586CCF">
        <w:rPr>
          <w:rFonts w:ascii="Times New Roman" w:eastAsia="Calibri" w:hAnsi="Times New Roman" w:cs="Times New Roman"/>
          <w:sz w:val="24"/>
          <w:szCs w:val="24"/>
        </w:rPr>
        <w:t>committee</w:t>
      </w:r>
      <w:r w:rsidRPr="00586CCF">
        <w:rPr>
          <w:rFonts w:ascii="Times New Roman" w:eastAsia="Calibri" w:hAnsi="Times New Roman" w:cs="Times New Roman"/>
          <w:sz w:val="24"/>
          <w:szCs w:val="24"/>
        </w:rPr>
        <w:t xml:space="preserve"> also wishes to thank its support staff</w:t>
      </w:r>
      <w:r w:rsidR="00510A07">
        <w:rPr>
          <w:rFonts w:ascii="Times New Roman" w:eastAsia="Calibri" w:hAnsi="Times New Roman" w:cs="Times New Roman"/>
          <w:sz w:val="24"/>
          <w:szCs w:val="24"/>
        </w:rPr>
        <w:t>,</w:t>
      </w:r>
      <w:r w:rsidRPr="00586CCF">
        <w:rPr>
          <w:rFonts w:ascii="Times New Roman" w:eastAsia="Calibri" w:hAnsi="Times New Roman" w:cs="Times New Roman"/>
          <w:sz w:val="24"/>
          <w:szCs w:val="24"/>
        </w:rPr>
        <w:t xml:space="preserve"> in particular the </w:t>
      </w:r>
      <w:r w:rsidR="004D0E2D" w:rsidRPr="00586CCF">
        <w:rPr>
          <w:rFonts w:ascii="Times New Roman" w:eastAsia="Calibri" w:hAnsi="Times New Roman" w:cs="Times New Roman"/>
          <w:sz w:val="24"/>
          <w:szCs w:val="24"/>
        </w:rPr>
        <w:t>committee secretar</w:t>
      </w:r>
      <w:r w:rsidR="00FE67C7" w:rsidRPr="00586CCF">
        <w:rPr>
          <w:rFonts w:ascii="Times New Roman" w:eastAsia="Calibri" w:hAnsi="Times New Roman" w:cs="Times New Roman"/>
          <w:sz w:val="24"/>
          <w:szCs w:val="24"/>
        </w:rPr>
        <w:t>ies</w:t>
      </w:r>
      <w:r w:rsidRPr="00586CCF">
        <w:rPr>
          <w:rFonts w:ascii="Times New Roman" w:eastAsia="Calibri" w:hAnsi="Times New Roman" w:cs="Times New Roman"/>
          <w:sz w:val="24"/>
          <w:szCs w:val="24"/>
        </w:rPr>
        <w:t>, Mr A Hermans</w:t>
      </w:r>
      <w:r w:rsidR="00FE67C7" w:rsidRPr="00586CCF">
        <w:rPr>
          <w:rFonts w:ascii="Times New Roman" w:eastAsia="Calibri" w:hAnsi="Times New Roman" w:cs="Times New Roman"/>
          <w:sz w:val="24"/>
          <w:szCs w:val="24"/>
        </w:rPr>
        <w:t xml:space="preserve"> and Mr </w:t>
      </w:r>
      <w:r w:rsidR="00E34829" w:rsidRPr="00586CCF">
        <w:rPr>
          <w:rFonts w:ascii="Times New Roman" w:eastAsia="Calibri" w:hAnsi="Times New Roman" w:cs="Times New Roman"/>
          <w:sz w:val="24"/>
          <w:szCs w:val="24"/>
        </w:rPr>
        <w:t>T Madima</w:t>
      </w:r>
      <w:r w:rsidRPr="00586CCF">
        <w:rPr>
          <w:rFonts w:ascii="Times New Roman" w:eastAsia="Calibri" w:hAnsi="Times New Roman" w:cs="Times New Roman"/>
          <w:sz w:val="24"/>
          <w:szCs w:val="24"/>
        </w:rPr>
        <w:t xml:space="preserve">, the </w:t>
      </w:r>
      <w:r w:rsidR="004D0E2D" w:rsidRPr="00586CCF">
        <w:rPr>
          <w:rFonts w:ascii="Times New Roman" w:eastAsia="Calibri" w:hAnsi="Times New Roman" w:cs="Times New Roman"/>
          <w:sz w:val="24"/>
          <w:szCs w:val="24"/>
        </w:rPr>
        <w:t>content advisor</w:t>
      </w:r>
      <w:r w:rsidRPr="00586CCF">
        <w:rPr>
          <w:rFonts w:ascii="Times New Roman" w:eastAsia="Calibri" w:hAnsi="Times New Roman" w:cs="Times New Roman"/>
          <w:sz w:val="24"/>
          <w:szCs w:val="24"/>
        </w:rPr>
        <w:t>, Ms M</w:t>
      </w:r>
      <w:r w:rsidRPr="00586CCF">
        <w:rPr>
          <w:rFonts w:ascii="Times New Roman" w:hAnsi="Times New Roman" w:cs="Times New Roman"/>
          <w:sz w:val="24"/>
          <w:szCs w:val="24"/>
        </w:rPr>
        <w:t xml:space="preserve"> </w:t>
      </w:r>
      <w:r w:rsidR="00E34829" w:rsidRPr="00586CCF">
        <w:rPr>
          <w:rFonts w:ascii="Times New Roman" w:hAnsi="Times New Roman" w:cs="Times New Roman"/>
          <w:sz w:val="24"/>
          <w:szCs w:val="24"/>
        </w:rPr>
        <w:t>Sheldon</w:t>
      </w:r>
      <w:r w:rsidRPr="00586CCF">
        <w:rPr>
          <w:rFonts w:ascii="Times New Roman" w:hAnsi="Times New Roman" w:cs="Times New Roman"/>
          <w:sz w:val="24"/>
          <w:szCs w:val="24"/>
        </w:rPr>
        <w:t xml:space="preserve">, the </w:t>
      </w:r>
      <w:r w:rsidR="004D0E2D" w:rsidRPr="00586CCF">
        <w:rPr>
          <w:rFonts w:ascii="Times New Roman" w:hAnsi="Times New Roman" w:cs="Times New Roman"/>
          <w:sz w:val="24"/>
          <w:szCs w:val="24"/>
        </w:rPr>
        <w:t>researcher</w:t>
      </w:r>
      <w:r w:rsidRPr="00586CCF">
        <w:rPr>
          <w:rFonts w:ascii="Times New Roman" w:hAnsi="Times New Roman" w:cs="Times New Roman"/>
          <w:sz w:val="24"/>
          <w:szCs w:val="24"/>
        </w:rPr>
        <w:t>, Ms</w:t>
      </w:r>
      <w:r w:rsidRPr="00586CCF">
        <w:rPr>
          <w:rFonts w:ascii="Times New Roman" w:eastAsia="Calibri" w:hAnsi="Times New Roman" w:cs="Times New Roman"/>
          <w:sz w:val="24"/>
          <w:szCs w:val="24"/>
        </w:rPr>
        <w:t xml:space="preserve"> Z </w:t>
      </w:r>
      <w:r w:rsidRPr="00586CCF">
        <w:rPr>
          <w:rFonts w:ascii="Times New Roman" w:hAnsi="Times New Roman" w:cs="Times New Roman"/>
          <w:sz w:val="24"/>
          <w:szCs w:val="24"/>
        </w:rPr>
        <w:t>Madalane</w:t>
      </w:r>
      <w:r w:rsidRPr="00586CCF">
        <w:rPr>
          <w:rFonts w:ascii="Times New Roman" w:eastAsia="Calibri" w:hAnsi="Times New Roman" w:cs="Times New Roman"/>
          <w:sz w:val="24"/>
          <w:szCs w:val="24"/>
        </w:rPr>
        <w:t xml:space="preserve">, </w:t>
      </w:r>
      <w:r w:rsidR="00C953FD" w:rsidRPr="00586CCF">
        <w:rPr>
          <w:rFonts w:ascii="Times New Roman" w:eastAsia="Calibri" w:hAnsi="Times New Roman" w:cs="Times New Roman"/>
          <w:sz w:val="24"/>
          <w:szCs w:val="24"/>
        </w:rPr>
        <w:t xml:space="preserve">and the executive secretary, Ms T Macanda, </w:t>
      </w:r>
      <w:r w:rsidRPr="00586CCF">
        <w:rPr>
          <w:rFonts w:ascii="Times New Roman" w:eastAsia="Calibri" w:hAnsi="Times New Roman" w:cs="Times New Roman"/>
          <w:sz w:val="24"/>
          <w:szCs w:val="24"/>
        </w:rPr>
        <w:t xml:space="preserve">for their professional support and conscientious commitment </w:t>
      </w:r>
      <w:r w:rsidR="00183492" w:rsidRPr="00586CCF">
        <w:rPr>
          <w:rFonts w:ascii="Times New Roman" w:eastAsia="Calibri" w:hAnsi="Times New Roman" w:cs="Times New Roman"/>
          <w:sz w:val="24"/>
          <w:szCs w:val="24"/>
        </w:rPr>
        <w:t xml:space="preserve">and dedication </w:t>
      </w:r>
      <w:r w:rsidRPr="00586CCF">
        <w:rPr>
          <w:rFonts w:ascii="Times New Roman" w:eastAsia="Calibri" w:hAnsi="Times New Roman" w:cs="Times New Roman"/>
          <w:sz w:val="24"/>
          <w:szCs w:val="24"/>
        </w:rPr>
        <w:t xml:space="preserve">to their work.  The Chairperson </w:t>
      </w:r>
      <w:r w:rsidR="00183492" w:rsidRPr="00586CCF">
        <w:rPr>
          <w:rFonts w:ascii="Times New Roman" w:eastAsia="Calibri" w:hAnsi="Times New Roman" w:cs="Times New Roman"/>
          <w:sz w:val="24"/>
          <w:szCs w:val="24"/>
        </w:rPr>
        <w:t>wishes to thank</w:t>
      </w:r>
      <w:r w:rsidRPr="00586CCF">
        <w:rPr>
          <w:rFonts w:ascii="Times New Roman" w:eastAsia="Calibri" w:hAnsi="Times New Roman" w:cs="Times New Roman"/>
          <w:sz w:val="24"/>
          <w:szCs w:val="24"/>
        </w:rPr>
        <w:t xml:space="preserve"> all Members of the </w:t>
      </w:r>
      <w:r w:rsidR="004D0E2D" w:rsidRPr="00586CCF">
        <w:rPr>
          <w:rFonts w:ascii="Times New Roman" w:eastAsia="Calibri" w:hAnsi="Times New Roman" w:cs="Times New Roman"/>
          <w:sz w:val="24"/>
          <w:szCs w:val="24"/>
        </w:rPr>
        <w:t>committee</w:t>
      </w:r>
      <w:r w:rsidRPr="00586CCF">
        <w:rPr>
          <w:rFonts w:ascii="Times New Roman" w:eastAsia="Calibri" w:hAnsi="Times New Roman" w:cs="Times New Roman"/>
          <w:sz w:val="24"/>
          <w:szCs w:val="24"/>
        </w:rPr>
        <w:t xml:space="preserve"> for their active participation during the process of engagement and deliberations and their constructive recommendations</w:t>
      </w:r>
      <w:r w:rsidR="00183492" w:rsidRPr="00586CCF">
        <w:rPr>
          <w:rFonts w:ascii="Times New Roman" w:eastAsia="Calibri" w:hAnsi="Times New Roman" w:cs="Times New Roman"/>
          <w:sz w:val="24"/>
          <w:szCs w:val="24"/>
        </w:rPr>
        <w:t xml:space="preserve"> reflected in this report. </w:t>
      </w:r>
    </w:p>
    <w:p w14:paraId="079F335C" w14:textId="77777777" w:rsidR="008C06E4" w:rsidRPr="00586CCF" w:rsidRDefault="008C06E4" w:rsidP="00586CCF">
      <w:pPr>
        <w:spacing w:line="360" w:lineRule="auto"/>
        <w:rPr>
          <w:rFonts w:ascii="Times New Roman" w:eastAsia="Calibri" w:hAnsi="Times New Roman" w:cs="Times New Roman"/>
          <w:sz w:val="24"/>
          <w:szCs w:val="24"/>
        </w:rPr>
      </w:pPr>
    </w:p>
    <w:p w14:paraId="0181FE82" w14:textId="77777777" w:rsidR="00AC0279" w:rsidRPr="00586CCF" w:rsidRDefault="00AC0279" w:rsidP="004349D4">
      <w:pPr>
        <w:pStyle w:val="Heading11"/>
        <w:spacing w:line="360" w:lineRule="auto"/>
        <w:rPr>
          <w:rFonts w:ascii="Times New Roman" w:hAnsi="Times New Roman" w:cs="Times New Roman"/>
          <w:sz w:val="24"/>
          <w:lang w:val="en-ZA"/>
        </w:rPr>
      </w:pPr>
      <w:bookmarkStart w:id="17" w:name="_Toc370119619"/>
      <w:r w:rsidRPr="00586CCF">
        <w:rPr>
          <w:rFonts w:ascii="Times New Roman" w:hAnsi="Times New Roman" w:cs="Times New Roman"/>
          <w:sz w:val="24"/>
          <w:lang w:val="en-ZA"/>
        </w:rPr>
        <w:t>Recommendations</w:t>
      </w:r>
      <w:bookmarkEnd w:id="17"/>
    </w:p>
    <w:p w14:paraId="730D6989" w14:textId="77777777" w:rsidR="00AC0279" w:rsidRPr="00586CCF" w:rsidRDefault="00AC0279" w:rsidP="00586CCF">
      <w:pPr>
        <w:pStyle w:val="ListParagraph"/>
        <w:spacing w:line="360" w:lineRule="auto"/>
        <w:ind w:left="360"/>
        <w:rPr>
          <w:rFonts w:ascii="Times New Roman" w:hAnsi="Times New Roman" w:cs="Times New Roman"/>
          <w:b/>
          <w:sz w:val="24"/>
          <w:szCs w:val="24"/>
        </w:rPr>
      </w:pPr>
    </w:p>
    <w:p w14:paraId="6496A255" w14:textId="77777777" w:rsidR="005F31BA" w:rsidRPr="00586CCF" w:rsidRDefault="005F31BA" w:rsidP="00586CCF">
      <w:pPr>
        <w:spacing w:line="360" w:lineRule="auto"/>
        <w:rPr>
          <w:rFonts w:ascii="Times New Roman" w:eastAsia="Times New Roman" w:hAnsi="Times New Roman" w:cs="Times New Roman"/>
          <w:sz w:val="24"/>
          <w:szCs w:val="24"/>
          <w:lang w:eastAsia="en-ZA"/>
        </w:rPr>
      </w:pPr>
      <w:r w:rsidRPr="00586CCF">
        <w:rPr>
          <w:rFonts w:ascii="Times New Roman" w:eastAsia="Times New Roman" w:hAnsi="Times New Roman" w:cs="Times New Roman"/>
          <w:sz w:val="24"/>
          <w:szCs w:val="24"/>
          <w:lang w:eastAsia="en-ZA"/>
        </w:rPr>
        <w:t xml:space="preserve">Informed by its deliberations, the </w:t>
      </w:r>
      <w:r w:rsidR="004D0E2D" w:rsidRPr="00586CCF">
        <w:rPr>
          <w:rFonts w:ascii="Times New Roman" w:eastAsia="Times New Roman" w:hAnsi="Times New Roman" w:cs="Times New Roman"/>
          <w:sz w:val="24"/>
          <w:szCs w:val="24"/>
          <w:lang w:eastAsia="en-ZA"/>
        </w:rPr>
        <w:t>committee</w:t>
      </w:r>
      <w:r w:rsidRPr="00586CCF">
        <w:rPr>
          <w:rFonts w:ascii="Times New Roman" w:eastAsia="Times New Roman" w:hAnsi="Times New Roman" w:cs="Times New Roman"/>
          <w:sz w:val="24"/>
          <w:szCs w:val="24"/>
          <w:lang w:eastAsia="en-ZA"/>
        </w:rPr>
        <w:t xml:space="preserve"> recommends that the House request</w:t>
      </w:r>
      <w:r w:rsidR="00A57858" w:rsidRPr="00586CCF">
        <w:rPr>
          <w:rFonts w:ascii="Times New Roman" w:eastAsia="Times New Roman" w:hAnsi="Times New Roman" w:cs="Times New Roman"/>
          <w:sz w:val="24"/>
          <w:szCs w:val="24"/>
          <w:lang w:eastAsia="en-ZA"/>
        </w:rPr>
        <w:t>s</w:t>
      </w:r>
      <w:r w:rsidRPr="00586CCF">
        <w:rPr>
          <w:rFonts w:ascii="Times New Roman" w:eastAsia="Times New Roman" w:hAnsi="Times New Roman" w:cs="Times New Roman"/>
          <w:sz w:val="24"/>
          <w:szCs w:val="24"/>
          <w:lang w:eastAsia="en-ZA"/>
        </w:rPr>
        <w:t xml:space="preserve"> that</w:t>
      </w:r>
      <w:r w:rsidR="00D77AB5" w:rsidRPr="00586CCF">
        <w:rPr>
          <w:rFonts w:ascii="Times New Roman" w:eastAsia="Times New Roman" w:hAnsi="Times New Roman" w:cs="Times New Roman"/>
          <w:sz w:val="24"/>
          <w:szCs w:val="24"/>
          <w:lang w:eastAsia="en-ZA"/>
        </w:rPr>
        <w:t xml:space="preserve"> the Minister of Trade and Industry should</w:t>
      </w:r>
      <w:r w:rsidR="00D16755" w:rsidRPr="00586CCF">
        <w:rPr>
          <w:rFonts w:ascii="Times New Roman" w:eastAsia="Times New Roman" w:hAnsi="Times New Roman" w:cs="Times New Roman"/>
          <w:sz w:val="24"/>
          <w:szCs w:val="24"/>
          <w:lang w:eastAsia="en-ZA"/>
        </w:rPr>
        <w:t xml:space="preserve"> consider</w:t>
      </w:r>
      <w:r w:rsidRPr="00586CCF">
        <w:rPr>
          <w:rFonts w:ascii="Times New Roman" w:eastAsia="Times New Roman" w:hAnsi="Times New Roman" w:cs="Times New Roman"/>
          <w:sz w:val="24"/>
          <w:szCs w:val="24"/>
          <w:lang w:eastAsia="en-ZA"/>
        </w:rPr>
        <w:t>:</w:t>
      </w:r>
    </w:p>
    <w:p w14:paraId="01DE7C1C" w14:textId="77777777" w:rsidR="00273780" w:rsidRPr="00C003B2" w:rsidRDefault="00273780" w:rsidP="00C003B2">
      <w:pPr>
        <w:spacing w:line="360" w:lineRule="auto"/>
        <w:rPr>
          <w:rFonts w:ascii="Times New Roman" w:hAnsi="Times New Roman" w:cs="Times New Roman"/>
          <w:sz w:val="24"/>
          <w:szCs w:val="24"/>
        </w:rPr>
      </w:pPr>
    </w:p>
    <w:p w14:paraId="4F4C00DC"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00C003B2" w:rsidRPr="00663B5F">
        <w:rPr>
          <w:rFonts w:ascii="Times New Roman" w:hAnsi="Times New Roman" w:cs="Times New Roman"/>
          <w:sz w:val="24"/>
          <w:szCs w:val="24"/>
        </w:rPr>
        <w:t xml:space="preserve">Establishing a monitoring mechanism, in consultation with the Minister of Finance, and other relevant Ministers, to ensure compliance with local designations and implementing appropriate sanctions for non-compliance. </w:t>
      </w:r>
    </w:p>
    <w:p w14:paraId="31C9C4BA"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sidR="00C003B2" w:rsidRPr="00663B5F">
        <w:rPr>
          <w:rFonts w:ascii="Times New Roman" w:hAnsi="Times New Roman" w:cs="Times New Roman"/>
          <w:sz w:val="24"/>
          <w:szCs w:val="24"/>
        </w:rPr>
        <w:t>Strengthening the oversight on the implementation of the audit plans and key control measures of the Department and its entities.</w:t>
      </w:r>
    </w:p>
    <w:p w14:paraId="248CE505" w14:textId="77777777" w:rsidR="00C003B2" w:rsidRPr="00663B5F" w:rsidRDefault="00663B5F" w:rsidP="00663B5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sidR="00C003B2" w:rsidRPr="00663B5F">
        <w:rPr>
          <w:rFonts w:ascii="Times New Roman" w:hAnsi="Times New Roman" w:cs="Times New Roman"/>
          <w:sz w:val="24"/>
          <w:szCs w:val="24"/>
        </w:rPr>
        <w:t xml:space="preserve">Additional funding for the SABS in the outer of years of the Medium Term Expenditure Framework to upgrade critical ageing technical infrastructure. </w:t>
      </w:r>
    </w:p>
    <w:p w14:paraId="4C3AB54D" w14:textId="77777777" w:rsidR="00594883" w:rsidRPr="001C59A9" w:rsidRDefault="00594883" w:rsidP="00EF0C57">
      <w:pPr>
        <w:pStyle w:val="Heading22"/>
        <w:numPr>
          <w:ilvl w:val="0"/>
          <w:numId w:val="0"/>
        </w:numPr>
        <w:rPr>
          <w:b w:val="0"/>
        </w:rPr>
      </w:pPr>
    </w:p>
    <w:p w14:paraId="034A2591" w14:textId="77777777" w:rsidR="001C59A9" w:rsidRDefault="001C59A9" w:rsidP="00EF0C57">
      <w:pPr>
        <w:pStyle w:val="Heading22"/>
        <w:numPr>
          <w:ilvl w:val="0"/>
          <w:numId w:val="0"/>
        </w:numPr>
        <w:rPr>
          <w:b w:val="0"/>
        </w:rPr>
      </w:pPr>
      <w:r w:rsidRPr="001C59A9">
        <w:rPr>
          <w:b w:val="0"/>
        </w:rPr>
        <w:t xml:space="preserve">The </w:t>
      </w:r>
      <w:r>
        <w:rPr>
          <w:b w:val="0"/>
        </w:rPr>
        <w:t>Democratic Alliance and the Freedom Front Plus abstained.</w:t>
      </w:r>
    </w:p>
    <w:p w14:paraId="4E8FCFF1" w14:textId="77777777" w:rsidR="001C59A9" w:rsidRPr="001C59A9" w:rsidRDefault="001C59A9" w:rsidP="00EF0C57">
      <w:pPr>
        <w:pStyle w:val="Heading22"/>
        <w:numPr>
          <w:ilvl w:val="0"/>
          <w:numId w:val="0"/>
        </w:numPr>
        <w:rPr>
          <w:b w:val="0"/>
        </w:rPr>
      </w:pPr>
    </w:p>
    <w:p w14:paraId="7E292718" w14:textId="77777777" w:rsidR="00E176D3" w:rsidRPr="00586CCF" w:rsidRDefault="00E176D3" w:rsidP="00586CCF">
      <w:pPr>
        <w:spacing w:line="360" w:lineRule="auto"/>
        <w:rPr>
          <w:rFonts w:ascii="Times New Roman" w:eastAsia="Calibri" w:hAnsi="Times New Roman" w:cs="Times New Roman"/>
          <w:sz w:val="24"/>
          <w:szCs w:val="24"/>
        </w:rPr>
      </w:pPr>
      <w:r w:rsidRPr="00586CCF">
        <w:rPr>
          <w:rFonts w:ascii="Times New Roman" w:eastAsia="Calibri" w:hAnsi="Times New Roman" w:cs="Times New Roman"/>
          <w:sz w:val="24"/>
          <w:szCs w:val="24"/>
        </w:rPr>
        <w:t>Report to be considered.</w:t>
      </w:r>
    </w:p>
    <w:p w14:paraId="0BCDACB2" w14:textId="77777777" w:rsidR="00E176D3" w:rsidRPr="00586CCF" w:rsidRDefault="00E176D3" w:rsidP="00586CCF">
      <w:pPr>
        <w:pBdr>
          <w:bottom w:val="single" w:sz="12" w:space="1" w:color="auto"/>
        </w:pBdr>
        <w:spacing w:line="360" w:lineRule="auto"/>
        <w:rPr>
          <w:rFonts w:ascii="Times New Roman" w:eastAsia="Calibri" w:hAnsi="Times New Roman" w:cs="Times New Roman"/>
          <w:sz w:val="24"/>
          <w:szCs w:val="24"/>
        </w:rPr>
      </w:pPr>
    </w:p>
    <w:p w14:paraId="6C66EE92" w14:textId="77777777" w:rsidR="00E176D3" w:rsidRPr="00586CCF" w:rsidRDefault="00E176D3" w:rsidP="00586CCF">
      <w:pPr>
        <w:spacing w:line="360" w:lineRule="auto"/>
        <w:rPr>
          <w:rFonts w:ascii="Times New Roman" w:eastAsia="Calibri" w:hAnsi="Times New Roman" w:cs="Times New Roman"/>
          <w:sz w:val="24"/>
          <w:szCs w:val="24"/>
        </w:rPr>
      </w:pPr>
    </w:p>
    <w:p w14:paraId="43DB42F0" w14:textId="77777777" w:rsidR="00185FE7" w:rsidRPr="00586CCF" w:rsidRDefault="00185FE7" w:rsidP="008900B6">
      <w:pPr>
        <w:pStyle w:val="Appendices"/>
        <w:spacing w:line="360" w:lineRule="auto"/>
        <w:rPr>
          <w:rFonts w:ascii="Times New Roman" w:hAnsi="Times New Roman" w:cs="Times New Roman"/>
          <w:sz w:val="24"/>
          <w:lang w:val="en-ZA"/>
        </w:rPr>
      </w:pPr>
      <w:bookmarkStart w:id="18" w:name="_Toc370119620"/>
      <w:r w:rsidRPr="00586CCF">
        <w:rPr>
          <w:rFonts w:ascii="Times New Roman" w:hAnsi="Times New Roman" w:cs="Times New Roman"/>
          <w:sz w:val="24"/>
          <w:lang w:val="en-ZA"/>
        </w:rPr>
        <w:t>References</w:t>
      </w:r>
      <w:bookmarkEnd w:id="18"/>
    </w:p>
    <w:p w14:paraId="4DA3BA3E" w14:textId="77777777" w:rsidR="00185FE7" w:rsidRPr="00586CCF" w:rsidRDefault="00185FE7" w:rsidP="008900B6">
      <w:pPr>
        <w:spacing w:line="360" w:lineRule="auto"/>
        <w:rPr>
          <w:rFonts w:ascii="Times New Roman" w:hAnsi="Times New Roman" w:cs="Times New Roman"/>
          <w:sz w:val="24"/>
          <w:szCs w:val="24"/>
        </w:rPr>
      </w:pPr>
    </w:p>
    <w:p w14:paraId="1D2CBA30" w14:textId="77777777" w:rsidR="00185FE7" w:rsidRPr="00052A85" w:rsidRDefault="009E429C" w:rsidP="008900B6">
      <w:pPr>
        <w:spacing w:line="360" w:lineRule="auto"/>
        <w:rPr>
          <w:rFonts w:ascii="Times New Roman" w:hAnsi="Times New Roman" w:cs="Times New Roman"/>
          <w:sz w:val="24"/>
          <w:szCs w:val="24"/>
          <w:highlight w:val="yellow"/>
        </w:rPr>
      </w:pPr>
      <w:r w:rsidRPr="009E429C">
        <w:rPr>
          <w:rFonts w:ascii="Times New Roman" w:hAnsi="Times New Roman" w:cs="Times New Roman"/>
          <w:sz w:val="24"/>
          <w:szCs w:val="24"/>
        </w:rPr>
        <w:t>Department of Trade and Industry. (2017</w:t>
      </w:r>
      <w:r>
        <w:rPr>
          <w:rFonts w:ascii="Times New Roman" w:hAnsi="Times New Roman" w:cs="Times New Roman"/>
          <w:sz w:val="24"/>
          <w:szCs w:val="24"/>
        </w:rPr>
        <w:t>a</w:t>
      </w:r>
      <w:r w:rsidRPr="009E429C">
        <w:rPr>
          <w:rFonts w:ascii="Times New Roman" w:hAnsi="Times New Roman" w:cs="Times New Roman"/>
          <w:sz w:val="24"/>
          <w:szCs w:val="24"/>
        </w:rPr>
        <w:t xml:space="preserve">) </w:t>
      </w:r>
      <w:r w:rsidRPr="009E429C">
        <w:rPr>
          <w:rFonts w:ascii="Times New Roman" w:hAnsi="Times New Roman" w:cs="Times New Roman"/>
          <w:i/>
          <w:sz w:val="24"/>
          <w:szCs w:val="24"/>
        </w:rPr>
        <w:t>Annual Report 2016/17 Financial Year</w:t>
      </w:r>
      <w:r w:rsidRPr="009E429C">
        <w:rPr>
          <w:rFonts w:ascii="Times New Roman" w:hAnsi="Times New Roman" w:cs="Times New Roman"/>
          <w:sz w:val="24"/>
          <w:szCs w:val="24"/>
        </w:rPr>
        <w:t>.</w:t>
      </w:r>
    </w:p>
    <w:p w14:paraId="57EF78DC" w14:textId="77777777" w:rsidR="00185FE7" w:rsidRPr="00052A85" w:rsidRDefault="00185FE7" w:rsidP="008900B6">
      <w:pPr>
        <w:spacing w:line="360" w:lineRule="auto"/>
        <w:rPr>
          <w:rFonts w:ascii="Times New Roman" w:hAnsi="Times New Roman" w:cs="Times New Roman"/>
          <w:sz w:val="24"/>
          <w:szCs w:val="24"/>
          <w:highlight w:val="yellow"/>
        </w:rPr>
      </w:pPr>
    </w:p>
    <w:p w14:paraId="18FC7D52" w14:textId="77777777" w:rsidR="00185FE7" w:rsidRDefault="00185FE7" w:rsidP="008900B6">
      <w:pPr>
        <w:spacing w:line="360" w:lineRule="auto"/>
        <w:rPr>
          <w:rFonts w:ascii="Times New Roman" w:hAnsi="Times New Roman" w:cs="Times New Roman"/>
          <w:sz w:val="24"/>
          <w:szCs w:val="24"/>
        </w:rPr>
      </w:pPr>
      <w:r w:rsidRPr="009E429C">
        <w:rPr>
          <w:rFonts w:ascii="Times New Roman" w:hAnsi="Times New Roman" w:cs="Times New Roman"/>
          <w:sz w:val="24"/>
          <w:szCs w:val="24"/>
        </w:rPr>
        <w:t>Departm</w:t>
      </w:r>
      <w:r w:rsidR="00DB17BD" w:rsidRPr="009E429C">
        <w:rPr>
          <w:rFonts w:ascii="Times New Roman" w:hAnsi="Times New Roman" w:cs="Times New Roman"/>
          <w:sz w:val="24"/>
          <w:szCs w:val="24"/>
        </w:rPr>
        <w:t xml:space="preserve">ent of Trade </w:t>
      </w:r>
      <w:r w:rsidR="009E429C" w:rsidRPr="009E429C">
        <w:rPr>
          <w:rFonts w:ascii="Times New Roman" w:hAnsi="Times New Roman" w:cs="Times New Roman"/>
          <w:sz w:val="24"/>
          <w:szCs w:val="24"/>
        </w:rPr>
        <w:t>and Industry (2017</w:t>
      </w:r>
      <w:r w:rsidR="00DB17BD" w:rsidRPr="009E429C">
        <w:rPr>
          <w:rFonts w:ascii="Times New Roman" w:hAnsi="Times New Roman" w:cs="Times New Roman"/>
          <w:sz w:val="24"/>
          <w:szCs w:val="24"/>
        </w:rPr>
        <w:t>b</w:t>
      </w:r>
      <w:r w:rsidRPr="009E429C">
        <w:rPr>
          <w:rFonts w:ascii="Times New Roman" w:hAnsi="Times New Roman" w:cs="Times New Roman"/>
          <w:sz w:val="24"/>
          <w:szCs w:val="24"/>
        </w:rPr>
        <w:t xml:space="preserve">) </w:t>
      </w:r>
      <w:r w:rsidRPr="009E429C">
        <w:rPr>
          <w:rFonts w:ascii="Times New Roman" w:hAnsi="Times New Roman" w:cs="Times New Roman"/>
          <w:i/>
          <w:sz w:val="24"/>
          <w:szCs w:val="24"/>
        </w:rPr>
        <w:t xml:space="preserve">First Quarter Performance Report </w:t>
      </w:r>
      <w:r w:rsidR="009E429C" w:rsidRPr="009E429C">
        <w:rPr>
          <w:rFonts w:ascii="Times New Roman" w:hAnsi="Times New Roman" w:cs="Times New Roman"/>
          <w:i/>
          <w:sz w:val="24"/>
          <w:szCs w:val="24"/>
        </w:rPr>
        <w:t>2017/18</w:t>
      </w:r>
      <w:r w:rsidRPr="009E429C">
        <w:rPr>
          <w:rFonts w:ascii="Times New Roman" w:hAnsi="Times New Roman" w:cs="Times New Roman"/>
          <w:sz w:val="24"/>
          <w:szCs w:val="24"/>
        </w:rPr>
        <w:t>.</w:t>
      </w:r>
    </w:p>
    <w:p w14:paraId="29606DC2" w14:textId="77777777" w:rsidR="007D5A39" w:rsidRPr="00052A85" w:rsidRDefault="007D5A39" w:rsidP="008900B6">
      <w:pPr>
        <w:spacing w:line="360" w:lineRule="auto"/>
        <w:rPr>
          <w:rFonts w:ascii="Times New Roman" w:hAnsi="Times New Roman" w:cs="Times New Roman"/>
          <w:sz w:val="24"/>
          <w:szCs w:val="24"/>
          <w:highlight w:val="yellow"/>
        </w:rPr>
      </w:pPr>
    </w:p>
    <w:p w14:paraId="735F8371" w14:textId="77777777" w:rsidR="009E429C" w:rsidRPr="009E429C" w:rsidRDefault="009E429C" w:rsidP="008900B6">
      <w:pPr>
        <w:spacing w:line="360" w:lineRule="auto"/>
        <w:rPr>
          <w:rFonts w:ascii="Times New Roman" w:hAnsi="Times New Roman" w:cs="Times New Roman"/>
          <w:sz w:val="24"/>
          <w:szCs w:val="24"/>
        </w:rPr>
      </w:pPr>
      <w:r w:rsidRPr="009E429C">
        <w:rPr>
          <w:rFonts w:ascii="Times New Roman" w:hAnsi="Times New Roman" w:cs="Times New Roman"/>
          <w:sz w:val="24"/>
          <w:szCs w:val="24"/>
        </w:rPr>
        <w:t xml:space="preserve">National Consumer Commission (2016) </w:t>
      </w:r>
      <w:r w:rsidRPr="009E429C">
        <w:rPr>
          <w:rFonts w:ascii="Times New Roman" w:hAnsi="Times New Roman" w:cs="Times New Roman"/>
          <w:i/>
          <w:sz w:val="24"/>
          <w:szCs w:val="24"/>
        </w:rPr>
        <w:t>Annual Performance Plan 2016/17</w:t>
      </w:r>
      <w:r>
        <w:rPr>
          <w:rFonts w:ascii="Times New Roman" w:hAnsi="Times New Roman" w:cs="Times New Roman"/>
          <w:sz w:val="24"/>
          <w:szCs w:val="24"/>
        </w:rPr>
        <w:t>.</w:t>
      </w:r>
    </w:p>
    <w:p w14:paraId="32426955" w14:textId="77777777" w:rsidR="009E429C" w:rsidRPr="009E429C" w:rsidRDefault="009E429C" w:rsidP="008900B6">
      <w:pPr>
        <w:spacing w:line="360" w:lineRule="auto"/>
        <w:rPr>
          <w:rFonts w:ascii="Times New Roman" w:hAnsi="Times New Roman" w:cs="Times New Roman"/>
          <w:sz w:val="24"/>
          <w:szCs w:val="24"/>
        </w:rPr>
      </w:pPr>
    </w:p>
    <w:p w14:paraId="38CFAF48" w14:textId="77777777" w:rsidR="009E429C" w:rsidRDefault="009E429C" w:rsidP="008900B6">
      <w:pPr>
        <w:spacing w:line="360" w:lineRule="auto"/>
        <w:rPr>
          <w:rFonts w:ascii="Times New Roman" w:hAnsi="Times New Roman" w:cs="Times New Roman"/>
          <w:sz w:val="24"/>
          <w:szCs w:val="24"/>
        </w:rPr>
      </w:pPr>
      <w:r w:rsidRPr="009E429C">
        <w:rPr>
          <w:rFonts w:ascii="Times New Roman" w:hAnsi="Times New Roman" w:cs="Times New Roman"/>
          <w:sz w:val="24"/>
          <w:szCs w:val="24"/>
        </w:rPr>
        <w:t>National Consumer Commission (2017</w:t>
      </w:r>
      <w:r>
        <w:rPr>
          <w:rFonts w:ascii="Times New Roman" w:hAnsi="Times New Roman" w:cs="Times New Roman"/>
          <w:sz w:val="24"/>
          <w:szCs w:val="24"/>
        </w:rPr>
        <w:t>a</w:t>
      </w:r>
      <w:r w:rsidRPr="009E429C">
        <w:rPr>
          <w:rFonts w:ascii="Times New Roman" w:hAnsi="Times New Roman" w:cs="Times New Roman"/>
          <w:sz w:val="24"/>
          <w:szCs w:val="24"/>
        </w:rPr>
        <w:t xml:space="preserve">) </w:t>
      </w:r>
      <w:r w:rsidRPr="009E429C">
        <w:rPr>
          <w:rFonts w:ascii="Times New Roman" w:hAnsi="Times New Roman" w:cs="Times New Roman"/>
          <w:i/>
          <w:sz w:val="24"/>
          <w:szCs w:val="24"/>
        </w:rPr>
        <w:t>Annual Report 2016/17</w:t>
      </w:r>
      <w:r>
        <w:rPr>
          <w:rFonts w:ascii="Times New Roman" w:hAnsi="Times New Roman" w:cs="Times New Roman"/>
          <w:sz w:val="24"/>
          <w:szCs w:val="24"/>
        </w:rPr>
        <w:t>.</w:t>
      </w:r>
    </w:p>
    <w:p w14:paraId="128428FD" w14:textId="77777777" w:rsidR="009E429C" w:rsidRDefault="009E429C" w:rsidP="008900B6">
      <w:pPr>
        <w:spacing w:line="360" w:lineRule="auto"/>
        <w:rPr>
          <w:rFonts w:ascii="Times New Roman" w:hAnsi="Times New Roman" w:cs="Times New Roman"/>
          <w:sz w:val="24"/>
          <w:szCs w:val="24"/>
        </w:rPr>
      </w:pPr>
    </w:p>
    <w:p w14:paraId="73251E7D" w14:textId="77777777" w:rsidR="00185FE7" w:rsidRDefault="00185FE7" w:rsidP="008900B6">
      <w:pPr>
        <w:spacing w:line="360" w:lineRule="auto"/>
        <w:rPr>
          <w:rFonts w:ascii="Times New Roman" w:hAnsi="Times New Roman" w:cs="Times New Roman"/>
          <w:sz w:val="24"/>
          <w:szCs w:val="24"/>
        </w:rPr>
      </w:pPr>
      <w:r w:rsidRPr="009E429C">
        <w:rPr>
          <w:rFonts w:ascii="Times New Roman" w:hAnsi="Times New Roman" w:cs="Times New Roman"/>
          <w:sz w:val="24"/>
          <w:szCs w:val="24"/>
        </w:rPr>
        <w:t xml:space="preserve">National Consumer Commission </w:t>
      </w:r>
      <w:r w:rsidR="009E429C" w:rsidRPr="009E429C">
        <w:rPr>
          <w:rFonts w:ascii="Times New Roman" w:hAnsi="Times New Roman" w:cs="Times New Roman"/>
          <w:sz w:val="24"/>
          <w:szCs w:val="24"/>
        </w:rPr>
        <w:t>(2017</w:t>
      </w:r>
      <w:r w:rsidRPr="009E429C">
        <w:rPr>
          <w:rFonts w:ascii="Times New Roman" w:hAnsi="Times New Roman" w:cs="Times New Roman"/>
          <w:sz w:val="24"/>
          <w:szCs w:val="24"/>
        </w:rPr>
        <w:t xml:space="preserve">b) </w:t>
      </w:r>
      <w:r w:rsidR="00DB17BD" w:rsidRPr="009E429C">
        <w:rPr>
          <w:rFonts w:ascii="Times New Roman" w:hAnsi="Times New Roman" w:cs="Times New Roman"/>
          <w:i/>
          <w:sz w:val="24"/>
          <w:szCs w:val="24"/>
        </w:rPr>
        <w:t>First Quarter Performance Report 201</w:t>
      </w:r>
      <w:r w:rsidR="009E429C" w:rsidRPr="009E429C">
        <w:rPr>
          <w:rFonts w:ascii="Times New Roman" w:hAnsi="Times New Roman" w:cs="Times New Roman"/>
          <w:i/>
          <w:sz w:val="24"/>
          <w:szCs w:val="24"/>
        </w:rPr>
        <w:t>7</w:t>
      </w:r>
      <w:r w:rsidR="00DB17BD" w:rsidRPr="009E429C">
        <w:rPr>
          <w:rFonts w:ascii="Times New Roman" w:hAnsi="Times New Roman" w:cs="Times New Roman"/>
          <w:i/>
          <w:sz w:val="24"/>
          <w:szCs w:val="24"/>
        </w:rPr>
        <w:t>/1</w:t>
      </w:r>
      <w:r w:rsidR="009E429C" w:rsidRPr="009E429C">
        <w:rPr>
          <w:rFonts w:ascii="Times New Roman" w:hAnsi="Times New Roman" w:cs="Times New Roman"/>
          <w:i/>
          <w:sz w:val="24"/>
          <w:szCs w:val="24"/>
        </w:rPr>
        <w:t>8</w:t>
      </w:r>
      <w:r w:rsidRPr="009E429C">
        <w:rPr>
          <w:rFonts w:ascii="Times New Roman" w:hAnsi="Times New Roman" w:cs="Times New Roman"/>
          <w:sz w:val="24"/>
          <w:szCs w:val="24"/>
        </w:rPr>
        <w:t>.</w:t>
      </w:r>
    </w:p>
    <w:p w14:paraId="720FA488" w14:textId="77777777" w:rsidR="008900B6" w:rsidRDefault="008900B6" w:rsidP="008900B6">
      <w:pPr>
        <w:spacing w:line="360" w:lineRule="auto"/>
        <w:rPr>
          <w:rFonts w:ascii="Times New Roman" w:hAnsi="Times New Roman" w:cs="Times New Roman"/>
          <w:sz w:val="24"/>
          <w:szCs w:val="24"/>
        </w:rPr>
      </w:pPr>
    </w:p>
    <w:p w14:paraId="5D27F0D0" w14:textId="77777777" w:rsidR="008900B6" w:rsidRPr="008900B6" w:rsidRDefault="008900B6" w:rsidP="008900B6">
      <w:pPr>
        <w:spacing w:line="360" w:lineRule="auto"/>
        <w:rPr>
          <w:rFonts w:ascii="Times New Roman" w:hAnsi="Times New Roman" w:cs="Times New Roman"/>
          <w:sz w:val="24"/>
          <w:szCs w:val="24"/>
        </w:rPr>
      </w:pPr>
      <w:r w:rsidRPr="008900B6">
        <w:rPr>
          <w:rFonts w:ascii="Times New Roman" w:hAnsi="Times New Roman" w:cs="Times New Roman"/>
          <w:sz w:val="24"/>
          <w:szCs w:val="24"/>
        </w:rPr>
        <w:t xml:space="preserve">National Credit Regulator (2016) </w:t>
      </w:r>
      <w:r w:rsidRPr="008900B6">
        <w:rPr>
          <w:rFonts w:ascii="Times New Roman" w:hAnsi="Times New Roman" w:cs="Times New Roman"/>
          <w:i/>
          <w:sz w:val="24"/>
          <w:szCs w:val="24"/>
        </w:rPr>
        <w:t>Annual Performance Plan 2016/17</w:t>
      </w:r>
      <w:r>
        <w:rPr>
          <w:rFonts w:ascii="Times New Roman" w:hAnsi="Times New Roman" w:cs="Times New Roman"/>
          <w:sz w:val="24"/>
          <w:szCs w:val="24"/>
        </w:rPr>
        <w:t>.</w:t>
      </w:r>
    </w:p>
    <w:p w14:paraId="604E3BB2" w14:textId="77777777" w:rsidR="008900B6" w:rsidRPr="008900B6" w:rsidRDefault="008900B6" w:rsidP="008900B6">
      <w:pPr>
        <w:spacing w:line="360" w:lineRule="auto"/>
        <w:rPr>
          <w:rFonts w:ascii="Times New Roman" w:hAnsi="Times New Roman" w:cs="Times New Roman"/>
          <w:sz w:val="24"/>
          <w:szCs w:val="24"/>
        </w:rPr>
      </w:pPr>
    </w:p>
    <w:p w14:paraId="3454F73A" w14:textId="77777777" w:rsidR="008900B6" w:rsidRDefault="008900B6" w:rsidP="008900B6">
      <w:pPr>
        <w:spacing w:line="360" w:lineRule="auto"/>
        <w:rPr>
          <w:rFonts w:ascii="Times New Roman" w:hAnsi="Times New Roman" w:cs="Times New Roman"/>
          <w:sz w:val="24"/>
          <w:szCs w:val="24"/>
        </w:rPr>
      </w:pPr>
      <w:r w:rsidRPr="008900B6">
        <w:rPr>
          <w:rFonts w:ascii="Times New Roman" w:hAnsi="Times New Roman" w:cs="Times New Roman"/>
          <w:sz w:val="24"/>
          <w:szCs w:val="24"/>
        </w:rPr>
        <w:t>National Credit Regulator (2017</w:t>
      </w:r>
      <w:r>
        <w:rPr>
          <w:rFonts w:ascii="Times New Roman" w:hAnsi="Times New Roman" w:cs="Times New Roman"/>
          <w:sz w:val="24"/>
          <w:szCs w:val="24"/>
        </w:rPr>
        <w:t>a</w:t>
      </w:r>
      <w:r w:rsidRPr="008900B6">
        <w:rPr>
          <w:rFonts w:ascii="Times New Roman" w:hAnsi="Times New Roman" w:cs="Times New Roman"/>
          <w:sz w:val="24"/>
          <w:szCs w:val="24"/>
        </w:rPr>
        <w:t xml:space="preserve">) </w:t>
      </w:r>
      <w:r w:rsidRPr="008900B6">
        <w:rPr>
          <w:rFonts w:ascii="Times New Roman" w:hAnsi="Times New Roman" w:cs="Times New Roman"/>
          <w:i/>
          <w:sz w:val="24"/>
          <w:szCs w:val="24"/>
        </w:rPr>
        <w:t>Annual Report 2016/17</w:t>
      </w:r>
      <w:r>
        <w:rPr>
          <w:rFonts w:ascii="Times New Roman" w:hAnsi="Times New Roman" w:cs="Times New Roman"/>
          <w:sz w:val="24"/>
          <w:szCs w:val="24"/>
        </w:rPr>
        <w:t>.</w:t>
      </w:r>
    </w:p>
    <w:p w14:paraId="3A9D4490" w14:textId="77777777" w:rsidR="008900B6" w:rsidRDefault="008900B6" w:rsidP="008900B6">
      <w:pPr>
        <w:spacing w:line="360" w:lineRule="auto"/>
        <w:rPr>
          <w:rFonts w:ascii="Times New Roman" w:hAnsi="Times New Roman" w:cs="Times New Roman"/>
          <w:sz w:val="24"/>
          <w:szCs w:val="24"/>
        </w:rPr>
      </w:pPr>
    </w:p>
    <w:p w14:paraId="3E5C0FA5" w14:textId="77777777" w:rsidR="008900B6" w:rsidRDefault="008900B6" w:rsidP="008900B6">
      <w:pPr>
        <w:spacing w:line="360" w:lineRule="auto"/>
        <w:rPr>
          <w:rFonts w:ascii="Times New Roman" w:hAnsi="Times New Roman" w:cs="Times New Roman"/>
          <w:sz w:val="24"/>
          <w:szCs w:val="24"/>
        </w:rPr>
      </w:pPr>
      <w:r w:rsidRPr="009E429C">
        <w:rPr>
          <w:rFonts w:ascii="Times New Roman" w:hAnsi="Times New Roman" w:cs="Times New Roman"/>
          <w:sz w:val="24"/>
          <w:szCs w:val="24"/>
        </w:rPr>
        <w:t xml:space="preserve">National </w:t>
      </w:r>
      <w:r>
        <w:rPr>
          <w:rFonts w:ascii="Times New Roman" w:hAnsi="Times New Roman" w:cs="Times New Roman"/>
          <w:sz w:val="24"/>
          <w:szCs w:val="24"/>
        </w:rPr>
        <w:t>Credit Regulator</w:t>
      </w:r>
      <w:r w:rsidRPr="009E429C">
        <w:rPr>
          <w:rFonts w:ascii="Times New Roman" w:hAnsi="Times New Roman" w:cs="Times New Roman"/>
          <w:sz w:val="24"/>
          <w:szCs w:val="24"/>
        </w:rPr>
        <w:t xml:space="preserve"> (2017b) </w:t>
      </w:r>
      <w:r w:rsidRPr="009E429C">
        <w:rPr>
          <w:rFonts w:ascii="Times New Roman" w:hAnsi="Times New Roman" w:cs="Times New Roman"/>
          <w:i/>
          <w:sz w:val="24"/>
          <w:szCs w:val="24"/>
        </w:rPr>
        <w:t>First Quarter Performance Report 2017/18</w:t>
      </w:r>
      <w:r w:rsidRPr="009E429C">
        <w:rPr>
          <w:rFonts w:ascii="Times New Roman" w:hAnsi="Times New Roman" w:cs="Times New Roman"/>
          <w:sz w:val="24"/>
          <w:szCs w:val="24"/>
        </w:rPr>
        <w:t>.</w:t>
      </w:r>
    </w:p>
    <w:p w14:paraId="6CD103C8" w14:textId="77777777" w:rsidR="008900B6" w:rsidRPr="008900B6" w:rsidRDefault="008900B6" w:rsidP="008900B6">
      <w:pPr>
        <w:spacing w:line="360" w:lineRule="auto"/>
        <w:rPr>
          <w:rFonts w:ascii="Times New Roman" w:hAnsi="Times New Roman" w:cs="Times New Roman"/>
          <w:sz w:val="28"/>
          <w:szCs w:val="24"/>
        </w:rPr>
      </w:pPr>
    </w:p>
    <w:p w14:paraId="298AFD81" w14:textId="77777777" w:rsidR="008900B6" w:rsidRPr="008900B6" w:rsidRDefault="008900B6" w:rsidP="008900B6">
      <w:pPr>
        <w:pStyle w:val="FootnoteText"/>
      </w:pPr>
      <w:r w:rsidRPr="008900B6">
        <w:t xml:space="preserve">National Regulator for Compulsory Specifications (2016) </w:t>
      </w:r>
      <w:r w:rsidRPr="008900B6">
        <w:rPr>
          <w:i/>
        </w:rPr>
        <w:t>Annual Performance Plan 2016/17</w:t>
      </w:r>
      <w:r>
        <w:t>.</w:t>
      </w:r>
    </w:p>
    <w:p w14:paraId="542BFC6D" w14:textId="77777777" w:rsidR="008900B6" w:rsidRPr="008900B6" w:rsidRDefault="008900B6" w:rsidP="008900B6">
      <w:pPr>
        <w:pStyle w:val="FootnoteText"/>
      </w:pPr>
    </w:p>
    <w:p w14:paraId="367FD523" w14:textId="77777777" w:rsidR="008900B6" w:rsidRDefault="008900B6" w:rsidP="008900B6">
      <w:pPr>
        <w:pStyle w:val="FootnoteText"/>
      </w:pPr>
      <w:r w:rsidRPr="008900B6">
        <w:t>National Regulator for Compulsory Specifications (2017a</w:t>
      </w:r>
      <w:r>
        <w:t xml:space="preserve">) </w:t>
      </w:r>
      <w:r w:rsidRPr="008900B6">
        <w:rPr>
          <w:i/>
        </w:rPr>
        <w:t>Annual Report 2016/17</w:t>
      </w:r>
      <w:r>
        <w:t>.</w:t>
      </w:r>
    </w:p>
    <w:p w14:paraId="61207D00" w14:textId="77777777" w:rsidR="008900B6" w:rsidRPr="008900B6" w:rsidRDefault="008900B6" w:rsidP="008900B6">
      <w:pPr>
        <w:pStyle w:val="FootnoteText"/>
      </w:pPr>
    </w:p>
    <w:p w14:paraId="3668484F" w14:textId="77777777" w:rsidR="009E429C" w:rsidRPr="008900B6" w:rsidRDefault="009E429C" w:rsidP="008900B6">
      <w:pPr>
        <w:pStyle w:val="FootnoteText"/>
      </w:pPr>
      <w:r w:rsidRPr="008900B6">
        <w:t>National Regulator for</w:t>
      </w:r>
      <w:r w:rsidR="008900B6" w:rsidRPr="008900B6">
        <w:t xml:space="preserve"> Compulsory Specifications (2017</w:t>
      </w:r>
      <w:r w:rsidRPr="008900B6">
        <w:t xml:space="preserve">b) </w:t>
      </w:r>
      <w:r w:rsidRPr="008900B6">
        <w:rPr>
          <w:i/>
        </w:rPr>
        <w:t>First Quarter Performance Report 201</w:t>
      </w:r>
      <w:r w:rsidR="008900B6" w:rsidRPr="008900B6">
        <w:rPr>
          <w:i/>
        </w:rPr>
        <w:t>7</w:t>
      </w:r>
      <w:r w:rsidRPr="008900B6">
        <w:rPr>
          <w:i/>
        </w:rPr>
        <w:t>/1</w:t>
      </w:r>
      <w:r w:rsidR="008900B6" w:rsidRPr="008900B6">
        <w:rPr>
          <w:i/>
        </w:rPr>
        <w:t>8</w:t>
      </w:r>
      <w:r w:rsidRPr="008900B6">
        <w:t>.</w:t>
      </w:r>
    </w:p>
    <w:p w14:paraId="59AADA56" w14:textId="77777777" w:rsidR="009E429C" w:rsidRPr="00052A85" w:rsidRDefault="009E429C" w:rsidP="008900B6">
      <w:pPr>
        <w:spacing w:line="360" w:lineRule="auto"/>
        <w:rPr>
          <w:rFonts w:ascii="Times New Roman" w:hAnsi="Times New Roman" w:cs="Times New Roman"/>
          <w:sz w:val="24"/>
          <w:szCs w:val="24"/>
          <w:highlight w:val="yellow"/>
        </w:rPr>
      </w:pPr>
    </w:p>
    <w:p w14:paraId="0A86F4B4" w14:textId="77777777" w:rsidR="009E429C" w:rsidRPr="00A844E4" w:rsidRDefault="009E429C" w:rsidP="008900B6">
      <w:pPr>
        <w:spacing w:line="360" w:lineRule="auto"/>
        <w:rPr>
          <w:rFonts w:ascii="Times New Roman" w:hAnsi="Times New Roman" w:cs="Times New Roman"/>
          <w:sz w:val="24"/>
          <w:szCs w:val="24"/>
        </w:rPr>
      </w:pPr>
      <w:r w:rsidRPr="00A844E4">
        <w:rPr>
          <w:rFonts w:ascii="Times New Roman" w:hAnsi="Times New Roman" w:cs="Times New Roman"/>
          <w:sz w:val="24"/>
          <w:szCs w:val="24"/>
        </w:rPr>
        <w:t>Portfolio Committee on Trade and Industry (201</w:t>
      </w:r>
      <w:r w:rsidR="00A844E4" w:rsidRPr="00A844E4">
        <w:rPr>
          <w:rFonts w:ascii="Times New Roman" w:hAnsi="Times New Roman" w:cs="Times New Roman"/>
          <w:sz w:val="24"/>
          <w:szCs w:val="24"/>
        </w:rPr>
        <w:t>6</w:t>
      </w:r>
      <w:r w:rsidRPr="00A844E4">
        <w:rPr>
          <w:rFonts w:ascii="Times New Roman" w:hAnsi="Times New Roman" w:cs="Times New Roman"/>
          <w:sz w:val="24"/>
          <w:szCs w:val="24"/>
        </w:rPr>
        <w:t xml:space="preserve">) </w:t>
      </w:r>
      <w:r w:rsidRPr="00A844E4">
        <w:rPr>
          <w:rFonts w:ascii="Times New Roman" w:hAnsi="Times New Roman" w:cs="Times New Roman"/>
          <w:i/>
          <w:sz w:val="24"/>
          <w:szCs w:val="24"/>
        </w:rPr>
        <w:t>Budgetary Review and Recommendation Report of the Portfolio Committee</w:t>
      </w:r>
      <w:r w:rsidR="00A844E4" w:rsidRPr="00A844E4">
        <w:rPr>
          <w:rFonts w:ascii="Times New Roman" w:hAnsi="Times New Roman" w:cs="Times New Roman"/>
          <w:i/>
          <w:sz w:val="24"/>
          <w:szCs w:val="24"/>
        </w:rPr>
        <w:t xml:space="preserve"> on Trade and Industry, dated 21</w:t>
      </w:r>
      <w:r w:rsidRPr="00A844E4">
        <w:rPr>
          <w:rFonts w:ascii="Times New Roman" w:hAnsi="Times New Roman" w:cs="Times New Roman"/>
          <w:i/>
          <w:sz w:val="24"/>
          <w:szCs w:val="24"/>
        </w:rPr>
        <w:t xml:space="preserve"> October 201</w:t>
      </w:r>
      <w:r w:rsidR="00A844E4" w:rsidRPr="00A844E4">
        <w:rPr>
          <w:rFonts w:ascii="Times New Roman" w:hAnsi="Times New Roman" w:cs="Times New Roman"/>
          <w:i/>
          <w:sz w:val="24"/>
          <w:szCs w:val="24"/>
        </w:rPr>
        <w:t>6</w:t>
      </w:r>
      <w:r w:rsidRPr="00A844E4">
        <w:rPr>
          <w:rFonts w:ascii="Times New Roman" w:hAnsi="Times New Roman" w:cs="Times New Roman"/>
          <w:sz w:val="24"/>
          <w:szCs w:val="24"/>
        </w:rPr>
        <w:t>.</w:t>
      </w:r>
    </w:p>
    <w:p w14:paraId="76666099" w14:textId="77777777" w:rsidR="009E429C" w:rsidRPr="00052A85" w:rsidRDefault="009E429C" w:rsidP="008900B6">
      <w:pPr>
        <w:spacing w:line="360" w:lineRule="auto"/>
        <w:rPr>
          <w:rFonts w:ascii="Times New Roman" w:hAnsi="Times New Roman" w:cs="Times New Roman"/>
          <w:sz w:val="24"/>
          <w:szCs w:val="24"/>
          <w:highlight w:val="yellow"/>
        </w:rPr>
      </w:pPr>
    </w:p>
    <w:p w14:paraId="5094CB29" w14:textId="77777777" w:rsidR="009E429C" w:rsidRPr="00052A85" w:rsidRDefault="009E429C" w:rsidP="008900B6">
      <w:pPr>
        <w:spacing w:line="360" w:lineRule="auto"/>
        <w:rPr>
          <w:rFonts w:ascii="Times New Roman" w:hAnsi="Times New Roman" w:cs="Times New Roman"/>
          <w:sz w:val="24"/>
          <w:szCs w:val="24"/>
        </w:rPr>
      </w:pPr>
      <w:r w:rsidRPr="00A844E4">
        <w:rPr>
          <w:rFonts w:ascii="Times New Roman" w:hAnsi="Times New Roman" w:cs="Times New Roman"/>
          <w:sz w:val="24"/>
          <w:szCs w:val="24"/>
        </w:rPr>
        <w:t>Portfolio Committee on Trade and Ind</w:t>
      </w:r>
      <w:r w:rsidR="00A844E4" w:rsidRPr="00A844E4">
        <w:rPr>
          <w:rFonts w:ascii="Times New Roman" w:hAnsi="Times New Roman" w:cs="Times New Roman"/>
          <w:sz w:val="24"/>
          <w:szCs w:val="24"/>
        </w:rPr>
        <w:t>ustry (2017</w:t>
      </w:r>
      <w:r w:rsidRPr="00A844E4">
        <w:rPr>
          <w:rFonts w:ascii="Times New Roman" w:hAnsi="Times New Roman" w:cs="Times New Roman"/>
          <w:sz w:val="24"/>
          <w:szCs w:val="24"/>
        </w:rPr>
        <w:t xml:space="preserve">) </w:t>
      </w:r>
      <w:r w:rsidRPr="00A844E4">
        <w:rPr>
          <w:rFonts w:ascii="Times New Roman" w:hAnsi="Times New Roman" w:cs="Times New Roman"/>
          <w:i/>
          <w:sz w:val="24"/>
          <w:szCs w:val="24"/>
        </w:rPr>
        <w:t xml:space="preserve">Report of the Portfolio Committee on Trade and Industry on Budget Vote 34: Trade and Industry, dated </w:t>
      </w:r>
      <w:r w:rsidR="00A844E4" w:rsidRPr="00A844E4">
        <w:rPr>
          <w:rFonts w:ascii="Times New Roman" w:hAnsi="Times New Roman" w:cs="Times New Roman"/>
          <w:i/>
          <w:sz w:val="24"/>
          <w:szCs w:val="24"/>
        </w:rPr>
        <w:t>19 May 2017</w:t>
      </w:r>
      <w:r w:rsidRPr="00A844E4">
        <w:rPr>
          <w:rFonts w:ascii="Times New Roman" w:hAnsi="Times New Roman" w:cs="Times New Roman"/>
          <w:sz w:val="24"/>
          <w:szCs w:val="24"/>
        </w:rPr>
        <w:t>.</w:t>
      </w:r>
      <w:r w:rsidRPr="00052A85">
        <w:rPr>
          <w:rFonts w:ascii="Times New Roman" w:hAnsi="Times New Roman" w:cs="Times New Roman"/>
          <w:sz w:val="24"/>
          <w:szCs w:val="24"/>
        </w:rPr>
        <w:t xml:space="preserve"> </w:t>
      </w:r>
    </w:p>
    <w:p w14:paraId="7742CE37" w14:textId="77777777" w:rsidR="004C2815" w:rsidRPr="009E429C" w:rsidRDefault="004C2815" w:rsidP="004C2815">
      <w:pPr>
        <w:spacing w:line="360" w:lineRule="auto"/>
        <w:rPr>
          <w:rFonts w:ascii="Times New Roman" w:hAnsi="Times New Roman" w:cs="Times New Roman"/>
          <w:sz w:val="24"/>
          <w:szCs w:val="24"/>
        </w:rPr>
      </w:pPr>
    </w:p>
    <w:p w14:paraId="58EE0A84" w14:textId="77777777" w:rsidR="004C2815" w:rsidRPr="00052A85" w:rsidRDefault="004C2815" w:rsidP="004C2815">
      <w:pPr>
        <w:spacing w:line="360" w:lineRule="auto"/>
        <w:rPr>
          <w:rFonts w:ascii="Times New Roman" w:hAnsi="Times New Roman" w:cs="Times New Roman"/>
          <w:sz w:val="24"/>
          <w:szCs w:val="24"/>
          <w:highlight w:val="yellow"/>
        </w:rPr>
      </w:pPr>
      <w:r>
        <w:rPr>
          <w:rFonts w:ascii="Times New Roman" w:hAnsi="Times New Roman" w:cs="Times New Roman"/>
          <w:sz w:val="24"/>
          <w:szCs w:val="24"/>
        </w:rPr>
        <w:t xml:space="preserve">South Africa (2014) Department of Trade and Industry. National Regulator for Compulsory Specifications Act (Act 5 of 2008): </w:t>
      </w:r>
      <w:r w:rsidRPr="004C2815">
        <w:rPr>
          <w:rFonts w:ascii="Times New Roman" w:hAnsi="Times New Roman" w:cs="Times New Roman"/>
          <w:sz w:val="24"/>
          <w:szCs w:val="24"/>
        </w:rPr>
        <w:t>Compulsory Specification For Energy Efficiency And Labelling Of Electrical and Electronic Apparatus (VC 9008)</w:t>
      </w:r>
      <w:r>
        <w:rPr>
          <w:rFonts w:ascii="Times New Roman" w:hAnsi="Times New Roman" w:cs="Times New Roman"/>
          <w:sz w:val="24"/>
          <w:szCs w:val="24"/>
        </w:rPr>
        <w:t xml:space="preserve">. </w:t>
      </w:r>
      <w:r w:rsidRPr="004C2815">
        <w:rPr>
          <w:rFonts w:ascii="Times New Roman" w:hAnsi="Times New Roman" w:cs="Times New Roman"/>
          <w:i/>
          <w:sz w:val="24"/>
          <w:szCs w:val="24"/>
        </w:rPr>
        <w:t>Government Gazette</w:t>
      </w:r>
      <w:r>
        <w:rPr>
          <w:rFonts w:ascii="Times New Roman" w:hAnsi="Times New Roman" w:cs="Times New Roman"/>
          <w:sz w:val="24"/>
          <w:szCs w:val="24"/>
        </w:rPr>
        <w:t xml:space="preserve"> (38232, November 28).</w:t>
      </w:r>
    </w:p>
    <w:p w14:paraId="3F165194" w14:textId="77777777" w:rsidR="009E429C" w:rsidRPr="00586CCF" w:rsidRDefault="009E429C" w:rsidP="008900B6">
      <w:pPr>
        <w:spacing w:line="360" w:lineRule="auto"/>
        <w:rPr>
          <w:rFonts w:ascii="Times New Roman" w:eastAsia="Calibri" w:hAnsi="Times New Roman" w:cs="Times New Roman"/>
          <w:sz w:val="24"/>
          <w:szCs w:val="24"/>
        </w:rPr>
      </w:pPr>
    </w:p>
    <w:p w14:paraId="56447C9F" w14:textId="77777777" w:rsidR="007D5A39" w:rsidRDefault="00FC1F76" w:rsidP="008900B6">
      <w:pPr>
        <w:spacing w:line="360" w:lineRule="auto"/>
        <w:rPr>
          <w:rFonts w:ascii="Times New Roman" w:eastAsia="MS Mincho" w:hAnsi="Times New Roman" w:cs="Times New Roman"/>
          <w:bCs/>
          <w:sz w:val="24"/>
          <w:lang w:val="en-GB" w:eastAsia="en-GB"/>
        </w:rPr>
      </w:pPr>
      <w:r w:rsidRPr="00FC1F76">
        <w:rPr>
          <w:rFonts w:ascii="Times New Roman" w:hAnsi="Times New Roman" w:cs="Times New Roman"/>
          <w:sz w:val="24"/>
          <w:szCs w:val="24"/>
        </w:rPr>
        <w:t>S</w:t>
      </w:r>
      <w:r w:rsidRPr="00FC1F76">
        <w:rPr>
          <w:rFonts w:ascii="Times New Roman" w:eastAsia="MS Mincho" w:hAnsi="Times New Roman" w:cs="Times New Roman"/>
          <w:bCs/>
          <w:sz w:val="24"/>
          <w:lang w:val="en-GB" w:eastAsia="en-GB"/>
        </w:rPr>
        <w:t>outh African Bureau of Standards (2017</w:t>
      </w:r>
      <w:r>
        <w:rPr>
          <w:rFonts w:ascii="Times New Roman" w:eastAsia="MS Mincho" w:hAnsi="Times New Roman" w:cs="Times New Roman"/>
          <w:bCs/>
          <w:sz w:val="24"/>
          <w:lang w:val="en-GB" w:eastAsia="en-GB"/>
        </w:rPr>
        <w:t>a</w:t>
      </w:r>
      <w:r w:rsidRPr="00FC1F76">
        <w:rPr>
          <w:rFonts w:ascii="Times New Roman" w:eastAsia="MS Mincho" w:hAnsi="Times New Roman" w:cs="Times New Roman"/>
          <w:bCs/>
          <w:sz w:val="24"/>
          <w:lang w:val="en-GB" w:eastAsia="en-GB"/>
        </w:rPr>
        <w:t xml:space="preserve">). </w:t>
      </w:r>
      <w:r w:rsidRPr="00FC1F76">
        <w:rPr>
          <w:rFonts w:ascii="Times New Roman" w:eastAsia="MS Mincho" w:hAnsi="Times New Roman" w:cs="Times New Roman"/>
          <w:bCs/>
          <w:i/>
          <w:sz w:val="24"/>
          <w:lang w:val="en-GB" w:eastAsia="en-GB"/>
        </w:rPr>
        <w:t>Annual Integrated Report 2016/17</w:t>
      </w:r>
      <w:r>
        <w:rPr>
          <w:rFonts w:ascii="Times New Roman" w:eastAsia="MS Mincho" w:hAnsi="Times New Roman" w:cs="Times New Roman"/>
          <w:bCs/>
          <w:sz w:val="24"/>
          <w:lang w:val="en-GB" w:eastAsia="en-GB"/>
        </w:rPr>
        <w:t>.</w:t>
      </w:r>
    </w:p>
    <w:p w14:paraId="1C6DC225" w14:textId="77777777" w:rsidR="00FC1F76" w:rsidRPr="00052A85" w:rsidRDefault="00FC1F76" w:rsidP="008900B6">
      <w:pPr>
        <w:spacing w:line="360" w:lineRule="auto"/>
        <w:rPr>
          <w:rFonts w:ascii="Times New Roman" w:hAnsi="Times New Roman" w:cs="Times New Roman"/>
          <w:sz w:val="24"/>
          <w:szCs w:val="24"/>
          <w:highlight w:val="yellow"/>
        </w:rPr>
      </w:pPr>
    </w:p>
    <w:p w14:paraId="39BDCBE0" w14:textId="77777777" w:rsidR="007D5A39" w:rsidRPr="00FC1F76" w:rsidRDefault="007D5A39" w:rsidP="008900B6">
      <w:pPr>
        <w:spacing w:line="360" w:lineRule="auto"/>
        <w:rPr>
          <w:rFonts w:ascii="Times New Roman" w:hAnsi="Times New Roman" w:cs="Times New Roman"/>
          <w:sz w:val="24"/>
          <w:szCs w:val="24"/>
        </w:rPr>
      </w:pPr>
      <w:r w:rsidRPr="00FC1F76">
        <w:rPr>
          <w:rFonts w:ascii="Times New Roman" w:hAnsi="Times New Roman" w:cs="Times New Roman"/>
          <w:sz w:val="24"/>
          <w:szCs w:val="24"/>
        </w:rPr>
        <w:t>South A</w:t>
      </w:r>
      <w:r w:rsidR="00FC1F76" w:rsidRPr="00FC1F76">
        <w:rPr>
          <w:rFonts w:ascii="Times New Roman" w:hAnsi="Times New Roman" w:cs="Times New Roman"/>
          <w:sz w:val="24"/>
          <w:szCs w:val="24"/>
        </w:rPr>
        <w:t>frican Bureau of Standards (2017</w:t>
      </w:r>
      <w:r w:rsidRPr="00FC1F76">
        <w:rPr>
          <w:rFonts w:ascii="Times New Roman" w:hAnsi="Times New Roman" w:cs="Times New Roman"/>
          <w:sz w:val="24"/>
          <w:szCs w:val="24"/>
        </w:rPr>
        <w:t xml:space="preserve">b) </w:t>
      </w:r>
      <w:r w:rsidRPr="00FC1F76">
        <w:rPr>
          <w:rFonts w:ascii="Times New Roman" w:hAnsi="Times New Roman" w:cs="Times New Roman"/>
          <w:i/>
          <w:sz w:val="24"/>
          <w:szCs w:val="24"/>
        </w:rPr>
        <w:t>Firs</w:t>
      </w:r>
      <w:r w:rsidR="00FC1F76" w:rsidRPr="00FC1F76">
        <w:rPr>
          <w:rFonts w:ascii="Times New Roman" w:hAnsi="Times New Roman" w:cs="Times New Roman"/>
          <w:i/>
          <w:sz w:val="24"/>
          <w:szCs w:val="24"/>
        </w:rPr>
        <w:t>t Quarter Performance Report 20</w:t>
      </w:r>
      <w:r w:rsidR="00FC1F76">
        <w:rPr>
          <w:rFonts w:ascii="Times New Roman" w:hAnsi="Times New Roman" w:cs="Times New Roman"/>
          <w:i/>
          <w:sz w:val="24"/>
          <w:szCs w:val="24"/>
        </w:rPr>
        <w:t>17</w:t>
      </w:r>
      <w:r w:rsidRPr="00FC1F76">
        <w:rPr>
          <w:rFonts w:ascii="Times New Roman" w:hAnsi="Times New Roman" w:cs="Times New Roman"/>
          <w:i/>
          <w:sz w:val="24"/>
          <w:szCs w:val="24"/>
        </w:rPr>
        <w:t>/1</w:t>
      </w:r>
      <w:r w:rsidR="00FC1F76" w:rsidRPr="00FC1F76">
        <w:rPr>
          <w:rFonts w:ascii="Times New Roman" w:hAnsi="Times New Roman" w:cs="Times New Roman"/>
          <w:i/>
          <w:sz w:val="24"/>
          <w:szCs w:val="24"/>
        </w:rPr>
        <w:t>8</w:t>
      </w:r>
      <w:r w:rsidRPr="00FC1F76">
        <w:rPr>
          <w:rFonts w:ascii="Times New Roman" w:hAnsi="Times New Roman" w:cs="Times New Roman"/>
          <w:sz w:val="24"/>
          <w:szCs w:val="24"/>
        </w:rPr>
        <w:t>.</w:t>
      </w:r>
    </w:p>
    <w:p w14:paraId="41432053" w14:textId="77777777" w:rsidR="007D5A39" w:rsidRDefault="007D5A39" w:rsidP="008900B6">
      <w:pPr>
        <w:spacing w:line="360" w:lineRule="auto"/>
        <w:rPr>
          <w:rFonts w:ascii="Times New Roman" w:hAnsi="Times New Roman" w:cs="Times New Roman"/>
          <w:sz w:val="24"/>
          <w:szCs w:val="24"/>
          <w:highlight w:val="yellow"/>
        </w:rPr>
      </w:pPr>
    </w:p>
    <w:p w14:paraId="473BE2B9" w14:textId="77777777" w:rsidR="00CB38CC" w:rsidRPr="00052A85" w:rsidRDefault="00CB38CC">
      <w:pPr>
        <w:spacing w:line="360" w:lineRule="auto"/>
        <w:rPr>
          <w:rFonts w:ascii="Times New Roman" w:hAnsi="Times New Roman" w:cs="Times New Roman"/>
          <w:sz w:val="24"/>
          <w:szCs w:val="24"/>
        </w:rPr>
      </w:pPr>
    </w:p>
    <w:sectPr w:rsidR="00CB38CC" w:rsidRPr="00052A85" w:rsidSect="00CC66A1">
      <w:footerReference w:type="default" r:id="rId10"/>
      <w:pgSz w:w="11906" w:h="16838"/>
      <w:pgMar w:top="851" w:right="1531" w:bottom="1276"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BDBB9" w14:textId="77777777" w:rsidR="002417FA" w:rsidRDefault="002417FA" w:rsidP="00AC0279">
      <w:pPr>
        <w:spacing w:line="240" w:lineRule="auto"/>
      </w:pPr>
      <w:r>
        <w:separator/>
      </w:r>
    </w:p>
  </w:endnote>
  <w:endnote w:type="continuationSeparator" w:id="0">
    <w:p w14:paraId="4126A871" w14:textId="77777777" w:rsidR="002417FA" w:rsidRDefault="002417FA" w:rsidP="00AC0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Futura Bk BT">
    <w:altName w:val="Futura Bk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85210"/>
      <w:docPartObj>
        <w:docPartGallery w:val="Page Numbers (Bottom of Page)"/>
        <w:docPartUnique/>
      </w:docPartObj>
    </w:sdtPr>
    <w:sdtEndPr>
      <w:rPr>
        <w:noProof/>
      </w:rPr>
    </w:sdtEndPr>
    <w:sdtContent>
      <w:p w14:paraId="6A0FACA1" w14:textId="2DE30A36" w:rsidR="00E37395" w:rsidRDefault="00E37395">
        <w:pPr>
          <w:pStyle w:val="Footer"/>
          <w:jc w:val="right"/>
        </w:pPr>
        <w:r w:rsidRPr="00894911">
          <w:rPr>
            <w:rFonts w:ascii="Times New Roman" w:hAnsi="Times New Roman" w:cs="Times New Roman"/>
            <w:sz w:val="24"/>
          </w:rPr>
          <w:fldChar w:fldCharType="begin"/>
        </w:r>
        <w:r w:rsidRPr="00894911">
          <w:rPr>
            <w:rFonts w:ascii="Times New Roman" w:hAnsi="Times New Roman" w:cs="Times New Roman"/>
            <w:sz w:val="24"/>
          </w:rPr>
          <w:instrText xml:space="preserve"> PAGE   \* MERGEFORMAT </w:instrText>
        </w:r>
        <w:r w:rsidRPr="00894911">
          <w:rPr>
            <w:rFonts w:ascii="Times New Roman" w:hAnsi="Times New Roman" w:cs="Times New Roman"/>
            <w:sz w:val="24"/>
          </w:rPr>
          <w:fldChar w:fldCharType="separate"/>
        </w:r>
        <w:r w:rsidR="004F5C07">
          <w:rPr>
            <w:rFonts w:ascii="Times New Roman" w:hAnsi="Times New Roman" w:cs="Times New Roman"/>
            <w:noProof/>
            <w:sz w:val="24"/>
          </w:rPr>
          <w:t>1</w:t>
        </w:r>
        <w:r w:rsidRPr="00894911">
          <w:rPr>
            <w:rFonts w:ascii="Times New Roman" w:hAnsi="Times New Roman" w:cs="Times New Roman"/>
            <w:noProof/>
            <w:sz w:val="24"/>
          </w:rPr>
          <w:fldChar w:fldCharType="end"/>
        </w:r>
      </w:p>
    </w:sdtContent>
  </w:sdt>
  <w:p w14:paraId="765E7A00" w14:textId="77777777" w:rsidR="00E37395" w:rsidRPr="00DC046D" w:rsidRDefault="00E37395">
    <w:pPr>
      <w:pStyle w:val="Footer"/>
      <w:rPr>
        <w:rFonts w:ascii="Times New Roman" w:hAnsi="Times New Roman" w:cs="Times New Roman"/>
        <w:sz w:val="18"/>
        <w:szCs w:val="18"/>
      </w:rPr>
    </w:pPr>
    <w:r w:rsidRPr="00DC046D">
      <w:rPr>
        <w:rFonts w:ascii="Times New Roman" w:hAnsi="Times New Roman" w:cs="Times New Roman"/>
        <w:sz w:val="18"/>
        <w:szCs w:val="18"/>
      </w:rPr>
      <w:t>PC Trade and Industry_BRRR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894AC" w14:textId="77777777" w:rsidR="002417FA" w:rsidRDefault="002417FA" w:rsidP="00AC0279">
      <w:pPr>
        <w:spacing w:line="240" w:lineRule="auto"/>
      </w:pPr>
      <w:r>
        <w:separator/>
      </w:r>
    </w:p>
  </w:footnote>
  <w:footnote w:type="continuationSeparator" w:id="0">
    <w:p w14:paraId="20515BAA" w14:textId="77777777" w:rsidR="002417FA" w:rsidRDefault="002417FA" w:rsidP="00AC0279">
      <w:pPr>
        <w:spacing w:line="240" w:lineRule="auto"/>
      </w:pPr>
      <w:r>
        <w:continuationSeparator/>
      </w:r>
    </w:p>
  </w:footnote>
  <w:footnote w:id="1">
    <w:p w14:paraId="49C5415A" w14:textId="77777777" w:rsidR="00E37395" w:rsidRPr="00586CCF" w:rsidRDefault="00E37395" w:rsidP="008900B6">
      <w:pPr>
        <w:pStyle w:val="FootnoteText"/>
      </w:pPr>
      <w:r w:rsidRPr="0055458E">
        <w:rPr>
          <w:rStyle w:val="FootnoteReference"/>
          <w:rFonts w:ascii="Times New Roman" w:hAnsi="Times New Roman"/>
          <w:sz w:val="22"/>
        </w:rPr>
        <w:footnoteRef/>
      </w:r>
      <w:r w:rsidRPr="0055458E">
        <w:t xml:space="preserve"> Department of Trade and Ind</w:t>
      </w:r>
      <w:r w:rsidR="0055458E" w:rsidRPr="0055458E">
        <w:t>ustry (2016</w:t>
      </w:r>
      <w:r w:rsidRPr="0055458E">
        <w:t>)</w:t>
      </w:r>
    </w:p>
  </w:footnote>
  <w:footnote w:id="2">
    <w:p w14:paraId="2F68F064" w14:textId="77777777" w:rsidR="00E37395" w:rsidRPr="00E40660" w:rsidRDefault="00E37395" w:rsidP="008900B6">
      <w:pPr>
        <w:pStyle w:val="FootnoteText"/>
        <w:rPr>
          <w:lang w:val="en-ZA"/>
        </w:rPr>
      </w:pPr>
      <w:r w:rsidRPr="00586CCF">
        <w:rPr>
          <w:rStyle w:val="FootnoteReference"/>
          <w:rFonts w:ascii="Times New Roman" w:hAnsi="Times New Roman"/>
          <w:sz w:val="22"/>
        </w:rPr>
        <w:footnoteRef/>
      </w:r>
      <w:r w:rsidRPr="00586CCF">
        <w:t xml:space="preserve"> </w:t>
      </w:r>
      <w:r w:rsidRPr="006D18C5">
        <w:t>Portfolio Committee on Trade and Industry (2016)</w:t>
      </w:r>
    </w:p>
  </w:footnote>
  <w:footnote w:id="3">
    <w:p w14:paraId="67DAE5DF" w14:textId="77777777" w:rsidR="00E37395" w:rsidRPr="00586CCF" w:rsidRDefault="00E37395" w:rsidP="008900B6">
      <w:pPr>
        <w:pStyle w:val="FootnoteText"/>
        <w:rPr>
          <w:lang w:val="en-ZA"/>
        </w:rPr>
      </w:pPr>
      <w:r w:rsidRPr="006D18C5">
        <w:rPr>
          <w:rStyle w:val="FootnoteReference"/>
          <w:rFonts w:ascii="Times New Roman" w:hAnsi="Times New Roman"/>
          <w:sz w:val="22"/>
        </w:rPr>
        <w:footnoteRef/>
      </w:r>
      <w:r w:rsidRPr="006D18C5">
        <w:t xml:space="preserve"> Portfolio Commit</w:t>
      </w:r>
      <w:r w:rsidR="0055458E">
        <w:t>tee on Trade and Industry (2017</w:t>
      </w:r>
      <w:r w:rsidRPr="006D18C5">
        <w:t>)</w:t>
      </w:r>
    </w:p>
  </w:footnote>
  <w:footnote w:id="4">
    <w:p w14:paraId="53B18908" w14:textId="77777777" w:rsidR="0055458E" w:rsidRPr="0055458E" w:rsidRDefault="0055458E">
      <w:pPr>
        <w:pStyle w:val="FootnoteText"/>
        <w:rPr>
          <w:lang w:val="en-ZA"/>
        </w:rPr>
      </w:pPr>
      <w:r>
        <w:rPr>
          <w:rStyle w:val="FootnoteReference"/>
        </w:rPr>
        <w:footnoteRef/>
      </w:r>
      <w:r>
        <w:t xml:space="preserve"> </w:t>
      </w:r>
      <w:r>
        <w:rPr>
          <w:lang w:val="en-ZA"/>
        </w:rPr>
        <w:t>Department of Trade and Industry (2016 &amp; 2017a)</w:t>
      </w:r>
    </w:p>
  </w:footnote>
  <w:footnote w:id="5">
    <w:p w14:paraId="5CE2DCC2" w14:textId="77777777" w:rsidR="00E37395" w:rsidRPr="00586CCF" w:rsidRDefault="00E37395" w:rsidP="008900B6">
      <w:pPr>
        <w:pStyle w:val="FootnoteText"/>
      </w:pPr>
      <w:r w:rsidRPr="00586CCF">
        <w:rPr>
          <w:rStyle w:val="FootnoteReference"/>
          <w:rFonts w:ascii="Times New Roman" w:eastAsia="Calibri" w:hAnsi="Times New Roman"/>
          <w:sz w:val="22"/>
        </w:rPr>
        <w:footnoteRef/>
      </w:r>
      <w:r w:rsidRPr="00586CCF">
        <w:t xml:space="preserve"> Previously known as the National Lotteries Board.</w:t>
      </w:r>
    </w:p>
  </w:footnote>
  <w:footnote w:id="6">
    <w:p w14:paraId="063BEB0D" w14:textId="77777777" w:rsidR="00E37395" w:rsidRPr="00586CCF" w:rsidRDefault="00E37395" w:rsidP="008900B6">
      <w:pPr>
        <w:pStyle w:val="FootnoteText"/>
      </w:pPr>
      <w:r w:rsidRPr="00586CCF">
        <w:rPr>
          <w:rStyle w:val="FootnoteReference"/>
          <w:rFonts w:ascii="Times New Roman" w:hAnsi="Times New Roman"/>
          <w:sz w:val="22"/>
        </w:rPr>
        <w:footnoteRef/>
      </w:r>
      <w:r w:rsidRPr="00586CCF">
        <w:t xml:space="preserve"> D</w:t>
      </w:r>
      <w:r w:rsidR="0055458E">
        <w:t xml:space="preserve">epartment of </w:t>
      </w:r>
      <w:r w:rsidRPr="00586CCF">
        <w:t>T</w:t>
      </w:r>
      <w:r w:rsidR="0055458E">
        <w:t xml:space="preserve">rade and </w:t>
      </w:r>
      <w:r w:rsidRPr="00586CCF">
        <w:t>I</w:t>
      </w:r>
      <w:r w:rsidR="0055458E">
        <w:t>ndustry</w:t>
      </w:r>
      <w:r w:rsidRPr="00586CCF">
        <w:t xml:space="preserve"> (2017</w:t>
      </w:r>
      <w:r w:rsidR="0055458E">
        <w:t>a</w:t>
      </w:r>
      <w:r w:rsidRPr="00586CCF">
        <w:t>)</w:t>
      </w:r>
    </w:p>
  </w:footnote>
  <w:footnote w:id="7">
    <w:p w14:paraId="43B50CC4" w14:textId="77777777" w:rsidR="00E37395" w:rsidRPr="00586CCF" w:rsidRDefault="00E37395" w:rsidP="008900B6">
      <w:pPr>
        <w:pStyle w:val="FootnoteText"/>
      </w:pPr>
      <w:r w:rsidRPr="00586CCF">
        <w:rPr>
          <w:rStyle w:val="FootnoteReference"/>
          <w:rFonts w:ascii="Times New Roman" w:hAnsi="Times New Roman"/>
          <w:sz w:val="22"/>
        </w:rPr>
        <w:footnoteRef/>
      </w:r>
      <w:r w:rsidRPr="00586CCF">
        <w:t xml:space="preserve"> Department of Trade and Industry (2017b)</w:t>
      </w:r>
    </w:p>
  </w:footnote>
  <w:footnote w:id="8">
    <w:p w14:paraId="13B79A24" w14:textId="77777777" w:rsidR="00E37395" w:rsidRPr="00586CCF" w:rsidRDefault="00E37395" w:rsidP="008900B6">
      <w:pPr>
        <w:pStyle w:val="FootnoteText"/>
        <w:rPr>
          <w:lang w:val="en-ZA"/>
        </w:rPr>
      </w:pPr>
      <w:r w:rsidRPr="00586CCF">
        <w:rPr>
          <w:rStyle w:val="FootnoteReference"/>
          <w:rFonts w:ascii="Times New Roman" w:hAnsi="Times New Roman"/>
          <w:sz w:val="22"/>
        </w:rPr>
        <w:footnoteRef/>
      </w:r>
      <w:r w:rsidRPr="00586CCF">
        <w:t xml:space="preserve"> National Consumer C</w:t>
      </w:r>
      <w:r w:rsidR="00894911">
        <w:t>ommission (2017</w:t>
      </w:r>
      <w:r w:rsidRPr="00586CCF">
        <w:t>b)</w:t>
      </w:r>
    </w:p>
  </w:footnote>
  <w:footnote w:id="9">
    <w:p w14:paraId="05A10FE1" w14:textId="77777777" w:rsidR="00E37395" w:rsidRPr="004349D4" w:rsidRDefault="00E37395" w:rsidP="008900B6">
      <w:pPr>
        <w:pStyle w:val="FootnoteText"/>
        <w:rPr>
          <w:lang w:val="en-ZA"/>
        </w:rPr>
      </w:pPr>
      <w:r w:rsidRPr="004349D4">
        <w:rPr>
          <w:rStyle w:val="FootnoteReference"/>
          <w:rFonts w:ascii="Times New Roman" w:hAnsi="Times New Roman"/>
          <w:sz w:val="22"/>
        </w:rPr>
        <w:footnoteRef/>
      </w:r>
      <w:r w:rsidRPr="004349D4">
        <w:t xml:space="preserve"> </w:t>
      </w:r>
      <w:r w:rsidRPr="00894911">
        <w:t>National Regulator for</w:t>
      </w:r>
      <w:r w:rsidR="00894911" w:rsidRPr="00894911">
        <w:t xml:space="preserve"> Compulsory Specifications (2017</w:t>
      </w:r>
      <w:r w:rsidRPr="00894911">
        <w:t>b)</w:t>
      </w:r>
    </w:p>
  </w:footnote>
  <w:footnote w:id="10">
    <w:p w14:paraId="0EEAD214" w14:textId="77777777" w:rsidR="00E37395" w:rsidRPr="000C1D84" w:rsidRDefault="00E37395" w:rsidP="008900B6">
      <w:pPr>
        <w:pStyle w:val="FootnoteText"/>
      </w:pPr>
      <w:r w:rsidRPr="000C1D84">
        <w:rPr>
          <w:rStyle w:val="FootnoteReference"/>
          <w:rFonts w:ascii="Times New Roman" w:hAnsi="Times New Roman"/>
          <w:sz w:val="22"/>
        </w:rPr>
        <w:footnoteRef/>
      </w:r>
      <w:r w:rsidRPr="000C1D84">
        <w:t xml:space="preserve"> </w:t>
      </w:r>
      <w:r w:rsidR="004C2815">
        <w:t xml:space="preserve">South Africa </w:t>
      </w:r>
      <w:r w:rsidRPr="000C1D84">
        <w:t>(2014)</w:t>
      </w:r>
    </w:p>
  </w:footnote>
  <w:footnote w:id="11">
    <w:p w14:paraId="618A0A9A" w14:textId="77777777" w:rsidR="00E37395" w:rsidRPr="00586CCF" w:rsidRDefault="00E37395" w:rsidP="008900B6">
      <w:pPr>
        <w:pStyle w:val="FootnoteText"/>
        <w:rPr>
          <w:lang w:val="en-ZA"/>
        </w:rPr>
      </w:pPr>
      <w:r w:rsidRPr="00586CCF">
        <w:rPr>
          <w:rStyle w:val="FootnoteReference"/>
          <w:rFonts w:ascii="Times New Roman" w:hAnsi="Times New Roman"/>
          <w:sz w:val="22"/>
        </w:rPr>
        <w:footnoteRef/>
      </w:r>
      <w:r w:rsidRPr="00586CCF">
        <w:t xml:space="preserve"> </w:t>
      </w:r>
      <w:r w:rsidRPr="00E44ACB">
        <w:t xml:space="preserve">National Regulator for Compulsory Specifications </w:t>
      </w:r>
      <w:r w:rsidR="00E44ACB" w:rsidRPr="00E44ACB">
        <w:t>(2017</w:t>
      </w:r>
      <w:r w:rsidRPr="00E44ACB">
        <w:t>b)</w:t>
      </w:r>
    </w:p>
  </w:footnote>
  <w:footnote w:id="12">
    <w:p w14:paraId="07C59EC6" w14:textId="77777777" w:rsidR="00E37395" w:rsidRPr="006D18C5" w:rsidRDefault="00E37395" w:rsidP="008900B6">
      <w:pPr>
        <w:pStyle w:val="FootnoteText"/>
        <w:rPr>
          <w:lang w:val="en-ZA"/>
        </w:rPr>
      </w:pPr>
      <w:r>
        <w:rPr>
          <w:rStyle w:val="FootnoteReference"/>
        </w:rPr>
        <w:footnoteRef/>
      </w:r>
      <w:r>
        <w:t xml:space="preserve"> </w:t>
      </w:r>
      <w:r w:rsidRPr="00C6505A">
        <w:t>Products that have met requirements specified in the relevant South African National Standards are awarded the SABS Mark, which can be used to support claims of conformity to standards</w:t>
      </w:r>
      <w:r>
        <w:t>.</w:t>
      </w:r>
    </w:p>
  </w:footnote>
  <w:footnote w:id="13">
    <w:p w14:paraId="4368C9D4" w14:textId="77777777" w:rsidR="00E37395" w:rsidRPr="006D18C5" w:rsidRDefault="00E37395" w:rsidP="008900B6">
      <w:pPr>
        <w:pStyle w:val="FootnoteText"/>
        <w:rPr>
          <w:lang w:val="en-ZA"/>
        </w:rPr>
      </w:pPr>
      <w:r>
        <w:rPr>
          <w:rStyle w:val="FootnoteReference"/>
        </w:rPr>
        <w:footnoteRef/>
      </w:r>
      <w:r>
        <w:t xml:space="preserve"> </w:t>
      </w:r>
      <w:r w:rsidRPr="00C6505A">
        <w:t>This assists in their purchasing operations, including the production of item descriptions, the preparation of tender documents, the adjudication of contracts and the inspection of deliverables</w:t>
      </w:r>
      <w:r>
        <w:t>.</w:t>
      </w:r>
    </w:p>
  </w:footnote>
  <w:footnote w:id="14">
    <w:p w14:paraId="261390D3" w14:textId="77777777" w:rsidR="00E44ACB" w:rsidRPr="00E44ACB" w:rsidRDefault="00E44ACB">
      <w:pPr>
        <w:pStyle w:val="FootnoteText"/>
        <w:rPr>
          <w:lang w:val="en-ZA"/>
        </w:rPr>
      </w:pPr>
      <w:r>
        <w:rPr>
          <w:rStyle w:val="FootnoteReference"/>
        </w:rPr>
        <w:footnoteRef/>
      </w:r>
      <w:r>
        <w:t xml:space="preserve"> </w:t>
      </w:r>
      <w:r>
        <w:rPr>
          <w:lang w:val="en-ZA"/>
        </w:rPr>
        <w:t>South African Bureau of Standards (2017a)</w:t>
      </w:r>
    </w:p>
  </w:footnote>
  <w:footnote w:id="15">
    <w:p w14:paraId="57A7BB14" w14:textId="77777777" w:rsidR="00E37395" w:rsidRPr="00586CCF" w:rsidRDefault="00E37395" w:rsidP="008900B6">
      <w:pPr>
        <w:pStyle w:val="FootnoteText"/>
        <w:rPr>
          <w:lang w:val="en-ZA"/>
        </w:rPr>
      </w:pPr>
      <w:r w:rsidRPr="00586CCF">
        <w:rPr>
          <w:rStyle w:val="FootnoteReference"/>
          <w:rFonts w:ascii="Times New Roman" w:hAnsi="Times New Roman"/>
          <w:sz w:val="22"/>
        </w:rPr>
        <w:footnoteRef/>
      </w:r>
      <w:r w:rsidRPr="00586CCF">
        <w:t xml:space="preserve"> South African Bureau of Standards (2017b)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061A7C22"/>
    <w:lvl w:ilvl="0">
      <w:start w:val="1"/>
      <w:numFmt w:val="decimal"/>
      <w:pStyle w:val="Heading11"/>
      <w:lvlText w:val="%1."/>
      <w:lvlJc w:val="left"/>
      <w:pPr>
        <w:ind w:left="360" w:hanging="360"/>
      </w:pPr>
      <w:rPr>
        <w:rFonts w:hint="default"/>
        <w:b/>
      </w:rPr>
    </w:lvl>
    <w:lvl w:ilvl="1">
      <w:start w:val="1"/>
      <w:numFmt w:val="decimal"/>
      <w:pStyle w:val="Heading22"/>
      <w:isLgl/>
      <w:lvlText w:val="%1.%2."/>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3"/>
      <w:isLgl/>
      <w:lvlText w:val="%1.%2.%3."/>
      <w:lvlJc w:val="left"/>
      <w:pPr>
        <w:ind w:left="720" w:hanging="720"/>
      </w:pPr>
      <w:rPr>
        <w:rFonts w:hint="default"/>
        <w:b/>
      </w:rPr>
    </w:lvl>
    <w:lvl w:ilvl="3">
      <w:start w:val="1"/>
      <w:numFmt w:val="decimal"/>
      <w:pStyle w:val="Heading4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42B11CD"/>
    <w:multiLevelType w:val="multilevel"/>
    <w:tmpl w:val="0D98CB5E"/>
    <w:lvl w:ilvl="0">
      <w:start w:val="8"/>
      <w:numFmt w:val="decimal"/>
      <w:lvlText w:val="%1"/>
      <w:lvlJc w:val="left"/>
      <w:pPr>
        <w:ind w:left="480" w:hanging="480"/>
      </w:pPr>
      <w:rPr>
        <w:rFonts w:eastAsiaTheme="minorHAnsi" w:hint="default"/>
        <w:b/>
        <w:i/>
      </w:rPr>
    </w:lvl>
    <w:lvl w:ilvl="1">
      <w:start w:val="1"/>
      <w:numFmt w:val="decimal"/>
      <w:lvlText w:val="%1.%2"/>
      <w:lvlJc w:val="left"/>
      <w:pPr>
        <w:ind w:left="480" w:hanging="480"/>
      </w:pPr>
      <w:rPr>
        <w:rFonts w:eastAsiaTheme="minorHAnsi" w:hint="default"/>
        <w:b/>
        <w:i/>
      </w:rPr>
    </w:lvl>
    <w:lvl w:ilvl="2">
      <w:start w:val="1"/>
      <w:numFmt w:val="decimal"/>
      <w:lvlText w:val="%1.%2.%3"/>
      <w:lvlJc w:val="left"/>
      <w:pPr>
        <w:ind w:left="720" w:hanging="720"/>
      </w:pPr>
      <w:rPr>
        <w:rFonts w:eastAsiaTheme="minorHAnsi" w:hint="default"/>
        <w:b w:val="0"/>
        <w:i w:val="0"/>
      </w:rPr>
    </w:lvl>
    <w:lvl w:ilvl="3">
      <w:start w:val="1"/>
      <w:numFmt w:val="decimal"/>
      <w:lvlText w:val="%1.%2.%3.%4"/>
      <w:lvlJc w:val="left"/>
      <w:pPr>
        <w:ind w:left="720" w:hanging="720"/>
      </w:pPr>
      <w:rPr>
        <w:rFonts w:eastAsiaTheme="minorHAnsi" w:hint="default"/>
        <w:b/>
        <w:i/>
      </w:rPr>
    </w:lvl>
    <w:lvl w:ilvl="4">
      <w:start w:val="1"/>
      <w:numFmt w:val="decimal"/>
      <w:lvlText w:val="%1.%2.%3.%4.%5"/>
      <w:lvlJc w:val="left"/>
      <w:pPr>
        <w:ind w:left="1080" w:hanging="1080"/>
      </w:pPr>
      <w:rPr>
        <w:rFonts w:eastAsiaTheme="minorHAnsi" w:hint="default"/>
        <w:b/>
        <w:i/>
      </w:rPr>
    </w:lvl>
    <w:lvl w:ilvl="5">
      <w:start w:val="1"/>
      <w:numFmt w:val="decimal"/>
      <w:lvlText w:val="%1.%2.%3.%4.%5.%6"/>
      <w:lvlJc w:val="left"/>
      <w:pPr>
        <w:ind w:left="1080" w:hanging="1080"/>
      </w:pPr>
      <w:rPr>
        <w:rFonts w:eastAsiaTheme="minorHAnsi" w:hint="default"/>
        <w:b/>
        <w:i/>
      </w:rPr>
    </w:lvl>
    <w:lvl w:ilvl="6">
      <w:start w:val="1"/>
      <w:numFmt w:val="decimal"/>
      <w:lvlText w:val="%1.%2.%3.%4.%5.%6.%7"/>
      <w:lvlJc w:val="left"/>
      <w:pPr>
        <w:ind w:left="1440" w:hanging="1440"/>
      </w:pPr>
      <w:rPr>
        <w:rFonts w:eastAsiaTheme="minorHAnsi" w:hint="default"/>
        <w:b/>
        <w:i/>
      </w:rPr>
    </w:lvl>
    <w:lvl w:ilvl="7">
      <w:start w:val="1"/>
      <w:numFmt w:val="decimal"/>
      <w:lvlText w:val="%1.%2.%3.%4.%5.%6.%7.%8"/>
      <w:lvlJc w:val="left"/>
      <w:pPr>
        <w:ind w:left="1440" w:hanging="1440"/>
      </w:pPr>
      <w:rPr>
        <w:rFonts w:eastAsiaTheme="minorHAnsi" w:hint="default"/>
        <w:b/>
        <w:i/>
      </w:rPr>
    </w:lvl>
    <w:lvl w:ilvl="8">
      <w:start w:val="1"/>
      <w:numFmt w:val="decimal"/>
      <w:lvlText w:val="%1.%2.%3.%4.%5.%6.%7.%8.%9"/>
      <w:lvlJc w:val="left"/>
      <w:pPr>
        <w:ind w:left="1800" w:hanging="1800"/>
      </w:pPr>
      <w:rPr>
        <w:rFonts w:eastAsiaTheme="minorHAnsi" w:hint="default"/>
        <w:b/>
        <w:i/>
      </w:rPr>
    </w:lvl>
  </w:abstractNum>
  <w:abstractNum w:abstractNumId="2">
    <w:nsid w:val="0CE015B5"/>
    <w:multiLevelType w:val="hybridMultilevel"/>
    <w:tmpl w:val="C73E18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55C2C03"/>
    <w:multiLevelType w:val="multilevel"/>
    <w:tmpl w:val="3468CA60"/>
    <w:lvl w:ilvl="0">
      <w:start w:val="5"/>
      <w:numFmt w:val="decimal"/>
      <w:lvlText w:val="%1"/>
      <w:lvlJc w:val="left"/>
      <w:pPr>
        <w:ind w:left="360" w:hanging="360"/>
      </w:pPr>
      <w:rPr>
        <w:rFonts w:eastAsiaTheme="minorHAnsi"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
    <w:nsid w:val="17D3314F"/>
    <w:multiLevelType w:val="hybridMultilevel"/>
    <w:tmpl w:val="9ED492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87A27AB"/>
    <w:multiLevelType w:val="hybridMultilevel"/>
    <w:tmpl w:val="550C0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A57AE4"/>
    <w:multiLevelType w:val="hybridMultilevel"/>
    <w:tmpl w:val="963CF7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C1A4D0D"/>
    <w:multiLevelType w:val="hybridMultilevel"/>
    <w:tmpl w:val="58DEC7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CD959CE"/>
    <w:multiLevelType w:val="hybridMultilevel"/>
    <w:tmpl w:val="0F1E78CC"/>
    <w:lvl w:ilvl="0" w:tplc="1C090001">
      <w:start w:val="1"/>
      <w:numFmt w:val="bullet"/>
      <w:lvlText w:val=""/>
      <w:lvlJc w:val="left"/>
      <w:pPr>
        <w:ind w:left="367" w:hanging="360"/>
      </w:pPr>
      <w:rPr>
        <w:rFonts w:ascii="Symbol" w:hAnsi="Symbol" w:hint="default"/>
      </w:rPr>
    </w:lvl>
    <w:lvl w:ilvl="1" w:tplc="1C090003" w:tentative="1">
      <w:start w:val="1"/>
      <w:numFmt w:val="bullet"/>
      <w:lvlText w:val="o"/>
      <w:lvlJc w:val="left"/>
      <w:pPr>
        <w:ind w:left="1087" w:hanging="360"/>
      </w:pPr>
      <w:rPr>
        <w:rFonts w:ascii="Courier New" w:hAnsi="Courier New" w:cs="Courier New" w:hint="default"/>
      </w:rPr>
    </w:lvl>
    <w:lvl w:ilvl="2" w:tplc="1C090005" w:tentative="1">
      <w:start w:val="1"/>
      <w:numFmt w:val="bullet"/>
      <w:lvlText w:val=""/>
      <w:lvlJc w:val="left"/>
      <w:pPr>
        <w:ind w:left="1807" w:hanging="360"/>
      </w:pPr>
      <w:rPr>
        <w:rFonts w:ascii="Wingdings" w:hAnsi="Wingdings" w:hint="default"/>
      </w:rPr>
    </w:lvl>
    <w:lvl w:ilvl="3" w:tplc="1C090001" w:tentative="1">
      <w:start w:val="1"/>
      <w:numFmt w:val="bullet"/>
      <w:lvlText w:val=""/>
      <w:lvlJc w:val="left"/>
      <w:pPr>
        <w:ind w:left="2527" w:hanging="360"/>
      </w:pPr>
      <w:rPr>
        <w:rFonts w:ascii="Symbol" w:hAnsi="Symbol" w:hint="default"/>
      </w:rPr>
    </w:lvl>
    <w:lvl w:ilvl="4" w:tplc="1C090003" w:tentative="1">
      <w:start w:val="1"/>
      <w:numFmt w:val="bullet"/>
      <w:lvlText w:val="o"/>
      <w:lvlJc w:val="left"/>
      <w:pPr>
        <w:ind w:left="3247" w:hanging="360"/>
      </w:pPr>
      <w:rPr>
        <w:rFonts w:ascii="Courier New" w:hAnsi="Courier New" w:cs="Courier New" w:hint="default"/>
      </w:rPr>
    </w:lvl>
    <w:lvl w:ilvl="5" w:tplc="1C090005" w:tentative="1">
      <w:start w:val="1"/>
      <w:numFmt w:val="bullet"/>
      <w:lvlText w:val=""/>
      <w:lvlJc w:val="left"/>
      <w:pPr>
        <w:ind w:left="3967" w:hanging="360"/>
      </w:pPr>
      <w:rPr>
        <w:rFonts w:ascii="Wingdings" w:hAnsi="Wingdings" w:hint="default"/>
      </w:rPr>
    </w:lvl>
    <w:lvl w:ilvl="6" w:tplc="1C090001" w:tentative="1">
      <w:start w:val="1"/>
      <w:numFmt w:val="bullet"/>
      <w:lvlText w:val=""/>
      <w:lvlJc w:val="left"/>
      <w:pPr>
        <w:ind w:left="4687" w:hanging="360"/>
      </w:pPr>
      <w:rPr>
        <w:rFonts w:ascii="Symbol" w:hAnsi="Symbol" w:hint="default"/>
      </w:rPr>
    </w:lvl>
    <w:lvl w:ilvl="7" w:tplc="1C090003" w:tentative="1">
      <w:start w:val="1"/>
      <w:numFmt w:val="bullet"/>
      <w:lvlText w:val="o"/>
      <w:lvlJc w:val="left"/>
      <w:pPr>
        <w:ind w:left="5407" w:hanging="360"/>
      </w:pPr>
      <w:rPr>
        <w:rFonts w:ascii="Courier New" w:hAnsi="Courier New" w:cs="Courier New" w:hint="default"/>
      </w:rPr>
    </w:lvl>
    <w:lvl w:ilvl="8" w:tplc="1C090005" w:tentative="1">
      <w:start w:val="1"/>
      <w:numFmt w:val="bullet"/>
      <w:lvlText w:val=""/>
      <w:lvlJc w:val="left"/>
      <w:pPr>
        <w:ind w:left="6127" w:hanging="360"/>
      </w:pPr>
      <w:rPr>
        <w:rFonts w:ascii="Wingdings" w:hAnsi="Wingdings" w:hint="default"/>
      </w:rPr>
    </w:lvl>
  </w:abstractNum>
  <w:abstractNum w:abstractNumId="9">
    <w:nsid w:val="1F36199A"/>
    <w:multiLevelType w:val="multilevel"/>
    <w:tmpl w:val="B12C683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1766506"/>
    <w:multiLevelType w:val="hybridMultilevel"/>
    <w:tmpl w:val="A9082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E23D8F"/>
    <w:multiLevelType w:val="multilevel"/>
    <w:tmpl w:val="A1C45E86"/>
    <w:lvl w:ilvl="0">
      <w:start w:val="7"/>
      <w:numFmt w:val="decimal"/>
      <w:lvlText w:val="%1"/>
      <w:lvlJc w:val="left"/>
      <w:pPr>
        <w:ind w:left="480" w:hanging="480"/>
      </w:pPr>
      <w:rPr>
        <w:rFonts w:hint="default"/>
        <w:b/>
        <w:i/>
      </w:rPr>
    </w:lvl>
    <w:lvl w:ilvl="1">
      <w:start w:val="3"/>
      <w:numFmt w:val="decimal"/>
      <w:lvlText w:val="%1.%2"/>
      <w:lvlJc w:val="left"/>
      <w:pPr>
        <w:ind w:left="480" w:hanging="480"/>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2">
    <w:nsid w:val="25C810A3"/>
    <w:multiLevelType w:val="hybridMultilevel"/>
    <w:tmpl w:val="00FE8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6B80C44"/>
    <w:multiLevelType w:val="multilevel"/>
    <w:tmpl w:val="566029EC"/>
    <w:lvl w:ilvl="0">
      <w:start w:val="6"/>
      <w:numFmt w:val="decimal"/>
      <w:lvlText w:val="%1"/>
      <w:lvlJc w:val="left"/>
      <w:pPr>
        <w:ind w:left="480" w:hanging="480"/>
      </w:pPr>
      <w:rPr>
        <w:rFonts w:hint="default"/>
        <w:b/>
        <w:i/>
      </w:rPr>
    </w:lvl>
    <w:lvl w:ilvl="1">
      <w:start w:val="3"/>
      <w:numFmt w:val="decimal"/>
      <w:lvlText w:val="%1.%2"/>
      <w:lvlJc w:val="left"/>
      <w:pPr>
        <w:ind w:left="480" w:hanging="480"/>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4">
    <w:nsid w:val="32D316CB"/>
    <w:multiLevelType w:val="hybridMultilevel"/>
    <w:tmpl w:val="2E6AEABE"/>
    <w:lvl w:ilvl="0" w:tplc="663CA742">
      <w:start w:val="1"/>
      <w:numFmt w:val="bullet"/>
      <w:lvlText w:val=""/>
      <w:lvlJc w:val="left"/>
      <w:pPr>
        <w:ind w:left="360" w:hanging="360"/>
      </w:pPr>
      <w:rPr>
        <w:rFonts w:ascii="Symbol" w:hAnsi="Symbol" w:hint="default"/>
        <w:b w:val="0"/>
        <w:i w:val="0"/>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37F39A1"/>
    <w:multiLevelType w:val="multilevel"/>
    <w:tmpl w:val="291A444C"/>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6">
    <w:nsid w:val="3579250C"/>
    <w:multiLevelType w:val="multilevel"/>
    <w:tmpl w:val="4DF63A2A"/>
    <w:lvl w:ilvl="0">
      <w:start w:val="5"/>
      <w:numFmt w:val="decimal"/>
      <w:lvlText w:val="%1"/>
      <w:lvlJc w:val="left"/>
      <w:pPr>
        <w:ind w:left="480" w:hanging="480"/>
      </w:pPr>
      <w:rPr>
        <w:rFonts w:hint="default"/>
        <w:b/>
        <w:i/>
      </w:rPr>
    </w:lvl>
    <w:lvl w:ilvl="1">
      <w:start w:val="3"/>
      <w:numFmt w:val="decimal"/>
      <w:lvlText w:val="%1.%2"/>
      <w:lvlJc w:val="left"/>
      <w:pPr>
        <w:ind w:left="480" w:hanging="480"/>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7">
    <w:nsid w:val="36790EF7"/>
    <w:multiLevelType w:val="hybridMultilevel"/>
    <w:tmpl w:val="8C32C9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A730807"/>
    <w:multiLevelType w:val="multilevel"/>
    <w:tmpl w:val="62360AA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BB84E70"/>
    <w:multiLevelType w:val="hybridMultilevel"/>
    <w:tmpl w:val="BA4804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EE22A84"/>
    <w:multiLevelType w:val="multilevel"/>
    <w:tmpl w:val="800E421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0E4F1C"/>
    <w:multiLevelType w:val="hybridMultilevel"/>
    <w:tmpl w:val="7A826B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B0B3973"/>
    <w:multiLevelType w:val="multilevel"/>
    <w:tmpl w:val="4FA024A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9D6AEB"/>
    <w:multiLevelType w:val="hybridMultilevel"/>
    <w:tmpl w:val="F8F2137C"/>
    <w:lvl w:ilvl="0" w:tplc="1C090003">
      <w:start w:val="1"/>
      <w:numFmt w:val="bullet"/>
      <w:lvlText w:val="o"/>
      <w:lvlJc w:val="left"/>
      <w:pPr>
        <w:tabs>
          <w:tab w:val="num" w:pos="720"/>
        </w:tabs>
        <w:ind w:left="720" w:hanging="360"/>
      </w:pPr>
      <w:rPr>
        <w:rFonts w:ascii="Courier New" w:hAnsi="Courier New" w:cs="Courier New" w:hint="default"/>
      </w:rPr>
    </w:lvl>
    <w:lvl w:ilvl="1" w:tplc="DA02FFC0" w:tentative="1">
      <w:start w:val="1"/>
      <w:numFmt w:val="bullet"/>
      <w:lvlText w:val="•"/>
      <w:lvlJc w:val="left"/>
      <w:pPr>
        <w:tabs>
          <w:tab w:val="num" w:pos="1440"/>
        </w:tabs>
        <w:ind w:left="1440" w:hanging="360"/>
      </w:pPr>
      <w:rPr>
        <w:rFonts w:ascii="Times New Roman" w:hAnsi="Times New Roman" w:hint="default"/>
      </w:rPr>
    </w:lvl>
    <w:lvl w:ilvl="2" w:tplc="0440575E" w:tentative="1">
      <w:start w:val="1"/>
      <w:numFmt w:val="bullet"/>
      <w:lvlText w:val="•"/>
      <w:lvlJc w:val="left"/>
      <w:pPr>
        <w:tabs>
          <w:tab w:val="num" w:pos="2160"/>
        </w:tabs>
        <w:ind w:left="2160" w:hanging="360"/>
      </w:pPr>
      <w:rPr>
        <w:rFonts w:ascii="Times New Roman" w:hAnsi="Times New Roman" w:hint="default"/>
      </w:rPr>
    </w:lvl>
    <w:lvl w:ilvl="3" w:tplc="415CE7C6" w:tentative="1">
      <w:start w:val="1"/>
      <w:numFmt w:val="bullet"/>
      <w:lvlText w:val="•"/>
      <w:lvlJc w:val="left"/>
      <w:pPr>
        <w:tabs>
          <w:tab w:val="num" w:pos="2880"/>
        </w:tabs>
        <w:ind w:left="2880" w:hanging="360"/>
      </w:pPr>
      <w:rPr>
        <w:rFonts w:ascii="Times New Roman" w:hAnsi="Times New Roman" w:hint="default"/>
      </w:rPr>
    </w:lvl>
    <w:lvl w:ilvl="4" w:tplc="2D4E5552" w:tentative="1">
      <w:start w:val="1"/>
      <w:numFmt w:val="bullet"/>
      <w:lvlText w:val="•"/>
      <w:lvlJc w:val="left"/>
      <w:pPr>
        <w:tabs>
          <w:tab w:val="num" w:pos="3600"/>
        </w:tabs>
        <w:ind w:left="3600" w:hanging="360"/>
      </w:pPr>
      <w:rPr>
        <w:rFonts w:ascii="Times New Roman" w:hAnsi="Times New Roman" w:hint="default"/>
      </w:rPr>
    </w:lvl>
    <w:lvl w:ilvl="5" w:tplc="81EC9F64" w:tentative="1">
      <w:start w:val="1"/>
      <w:numFmt w:val="bullet"/>
      <w:lvlText w:val="•"/>
      <w:lvlJc w:val="left"/>
      <w:pPr>
        <w:tabs>
          <w:tab w:val="num" w:pos="4320"/>
        </w:tabs>
        <w:ind w:left="4320" w:hanging="360"/>
      </w:pPr>
      <w:rPr>
        <w:rFonts w:ascii="Times New Roman" w:hAnsi="Times New Roman" w:hint="default"/>
      </w:rPr>
    </w:lvl>
    <w:lvl w:ilvl="6" w:tplc="3CF4CFF0" w:tentative="1">
      <w:start w:val="1"/>
      <w:numFmt w:val="bullet"/>
      <w:lvlText w:val="•"/>
      <w:lvlJc w:val="left"/>
      <w:pPr>
        <w:tabs>
          <w:tab w:val="num" w:pos="5040"/>
        </w:tabs>
        <w:ind w:left="5040" w:hanging="360"/>
      </w:pPr>
      <w:rPr>
        <w:rFonts w:ascii="Times New Roman" w:hAnsi="Times New Roman" w:hint="default"/>
      </w:rPr>
    </w:lvl>
    <w:lvl w:ilvl="7" w:tplc="C9B24938" w:tentative="1">
      <w:start w:val="1"/>
      <w:numFmt w:val="bullet"/>
      <w:lvlText w:val="•"/>
      <w:lvlJc w:val="left"/>
      <w:pPr>
        <w:tabs>
          <w:tab w:val="num" w:pos="5760"/>
        </w:tabs>
        <w:ind w:left="5760" w:hanging="360"/>
      </w:pPr>
      <w:rPr>
        <w:rFonts w:ascii="Times New Roman" w:hAnsi="Times New Roman" w:hint="default"/>
      </w:rPr>
    </w:lvl>
    <w:lvl w:ilvl="8" w:tplc="52980C1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4E359CB"/>
    <w:multiLevelType w:val="multilevel"/>
    <w:tmpl w:val="3580E4E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F114E8"/>
    <w:multiLevelType w:val="hybridMultilevel"/>
    <w:tmpl w:val="8DA44E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E327CB7"/>
    <w:multiLevelType w:val="hybridMultilevel"/>
    <w:tmpl w:val="9B161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8C34B9A"/>
    <w:multiLevelType w:val="hybridMultilevel"/>
    <w:tmpl w:val="A63AA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940130E"/>
    <w:multiLevelType w:val="hybridMultilevel"/>
    <w:tmpl w:val="8C8C6C9A"/>
    <w:lvl w:ilvl="0" w:tplc="51E63B36">
      <w:start w:val="1"/>
      <w:numFmt w:val="bullet"/>
      <w:lvlText w:val=""/>
      <w:lvlJc w:val="righ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18E172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71F063A8"/>
    <w:multiLevelType w:val="hybridMultilevel"/>
    <w:tmpl w:val="92A8DF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3677E9F"/>
    <w:multiLevelType w:val="multilevel"/>
    <w:tmpl w:val="B6C2E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4E53755"/>
    <w:multiLevelType w:val="hybridMultilevel"/>
    <w:tmpl w:val="E1CA83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7BE13B6"/>
    <w:multiLevelType w:val="hybridMultilevel"/>
    <w:tmpl w:val="E8DA82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8193672"/>
    <w:multiLevelType w:val="hybridMultilevel"/>
    <w:tmpl w:val="D0AE2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8691470"/>
    <w:multiLevelType w:val="multilevel"/>
    <w:tmpl w:val="7F763CD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o"/>
      <w:lvlJc w:val="left"/>
      <w:pPr>
        <w:ind w:left="720" w:hanging="72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27"/>
  </w:num>
  <w:num w:numId="3">
    <w:abstractNumId w:val="25"/>
  </w:num>
  <w:num w:numId="4">
    <w:abstractNumId w:val="18"/>
  </w:num>
  <w:num w:numId="5">
    <w:abstractNumId w:val="22"/>
  </w:num>
  <w:num w:numId="6">
    <w:abstractNumId w:val="12"/>
  </w:num>
  <w:num w:numId="7">
    <w:abstractNumId w:val="33"/>
  </w:num>
  <w:num w:numId="8">
    <w:abstractNumId w:val="14"/>
  </w:num>
  <w:num w:numId="9">
    <w:abstractNumId w:val="0"/>
  </w:num>
  <w:num w:numId="10">
    <w:abstractNumId w:val="6"/>
  </w:num>
  <w:num w:numId="11">
    <w:abstractNumId w:val="17"/>
  </w:num>
  <w:num w:numId="12">
    <w:abstractNumId w:val="26"/>
  </w:num>
  <w:num w:numId="13">
    <w:abstractNumId w:val="10"/>
  </w:num>
  <w:num w:numId="14">
    <w:abstractNumId w:val="7"/>
  </w:num>
  <w:num w:numId="15">
    <w:abstractNumId w:val="28"/>
  </w:num>
  <w:num w:numId="16">
    <w:abstractNumId w:val="2"/>
  </w:num>
  <w:num w:numId="17">
    <w:abstractNumId w:val="5"/>
  </w:num>
  <w:num w:numId="18">
    <w:abstractNumId w:val="32"/>
  </w:num>
  <w:num w:numId="19">
    <w:abstractNumId w:val="4"/>
  </w:num>
  <w:num w:numId="20">
    <w:abstractNumId w:val="34"/>
  </w:num>
  <w:num w:numId="21">
    <w:abstractNumId w:val="21"/>
  </w:num>
  <w:num w:numId="22">
    <w:abstractNumId w:val="31"/>
  </w:num>
  <w:num w:numId="23">
    <w:abstractNumId w:val="15"/>
  </w:num>
  <w:num w:numId="24">
    <w:abstractNumId w:val="9"/>
  </w:num>
  <w:num w:numId="25">
    <w:abstractNumId w:val="8"/>
  </w:num>
  <w:num w:numId="26">
    <w:abstractNumId w:val="19"/>
  </w:num>
  <w:num w:numId="27">
    <w:abstractNumId w:val="23"/>
  </w:num>
  <w:num w:numId="28">
    <w:abstractNumId w:val="30"/>
  </w:num>
  <w:num w:numId="29">
    <w:abstractNumId w:val="35"/>
  </w:num>
  <w:num w:numId="30">
    <w:abstractNumId w:val="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num>
  <w:num w:numId="34">
    <w:abstractNumId w:val="24"/>
  </w:num>
  <w:num w:numId="35">
    <w:abstractNumId w:val="16"/>
  </w:num>
  <w:num w:numId="36">
    <w:abstractNumId w:val="11"/>
  </w:num>
  <w:num w:numId="3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79"/>
    <w:rsid w:val="00000FE1"/>
    <w:rsid w:val="000012D3"/>
    <w:rsid w:val="000025F3"/>
    <w:rsid w:val="0000393E"/>
    <w:rsid w:val="00005612"/>
    <w:rsid w:val="00005954"/>
    <w:rsid w:val="00005EEF"/>
    <w:rsid w:val="000063F2"/>
    <w:rsid w:val="00006B33"/>
    <w:rsid w:val="00007333"/>
    <w:rsid w:val="00007919"/>
    <w:rsid w:val="0001077C"/>
    <w:rsid w:val="000107B6"/>
    <w:rsid w:val="00010F99"/>
    <w:rsid w:val="00011242"/>
    <w:rsid w:val="000175DA"/>
    <w:rsid w:val="0002126E"/>
    <w:rsid w:val="00022EC6"/>
    <w:rsid w:val="000251DA"/>
    <w:rsid w:val="00025FC4"/>
    <w:rsid w:val="000277AF"/>
    <w:rsid w:val="00031D3C"/>
    <w:rsid w:val="00032B55"/>
    <w:rsid w:val="000351C1"/>
    <w:rsid w:val="0003762B"/>
    <w:rsid w:val="00037B11"/>
    <w:rsid w:val="00037D0F"/>
    <w:rsid w:val="00040CD7"/>
    <w:rsid w:val="00042756"/>
    <w:rsid w:val="0004459D"/>
    <w:rsid w:val="0004480A"/>
    <w:rsid w:val="000448B8"/>
    <w:rsid w:val="0004599D"/>
    <w:rsid w:val="00046501"/>
    <w:rsid w:val="00046998"/>
    <w:rsid w:val="00046E3A"/>
    <w:rsid w:val="000511D3"/>
    <w:rsid w:val="000521F4"/>
    <w:rsid w:val="000523AB"/>
    <w:rsid w:val="00052803"/>
    <w:rsid w:val="00052A85"/>
    <w:rsid w:val="00052D2E"/>
    <w:rsid w:val="00053FA5"/>
    <w:rsid w:val="00055A65"/>
    <w:rsid w:val="000565EF"/>
    <w:rsid w:val="00056B93"/>
    <w:rsid w:val="000571F4"/>
    <w:rsid w:val="0006006B"/>
    <w:rsid w:val="000603C6"/>
    <w:rsid w:val="000624C6"/>
    <w:rsid w:val="000646D2"/>
    <w:rsid w:val="00065013"/>
    <w:rsid w:val="000653E9"/>
    <w:rsid w:val="000665EA"/>
    <w:rsid w:val="00067A48"/>
    <w:rsid w:val="00067DB7"/>
    <w:rsid w:val="00070AE6"/>
    <w:rsid w:val="0007121D"/>
    <w:rsid w:val="00071704"/>
    <w:rsid w:val="00073A26"/>
    <w:rsid w:val="00073B82"/>
    <w:rsid w:val="000742C2"/>
    <w:rsid w:val="00075296"/>
    <w:rsid w:val="000758EF"/>
    <w:rsid w:val="00075A8C"/>
    <w:rsid w:val="000763A8"/>
    <w:rsid w:val="000777DA"/>
    <w:rsid w:val="0008247A"/>
    <w:rsid w:val="00082689"/>
    <w:rsid w:val="00083114"/>
    <w:rsid w:val="00084049"/>
    <w:rsid w:val="00084BAE"/>
    <w:rsid w:val="00084D0B"/>
    <w:rsid w:val="00085F16"/>
    <w:rsid w:val="000865B2"/>
    <w:rsid w:val="00087EC5"/>
    <w:rsid w:val="0009047D"/>
    <w:rsid w:val="00091948"/>
    <w:rsid w:val="000922DF"/>
    <w:rsid w:val="00095832"/>
    <w:rsid w:val="0009632C"/>
    <w:rsid w:val="0009676A"/>
    <w:rsid w:val="00097339"/>
    <w:rsid w:val="000A21C6"/>
    <w:rsid w:val="000A2704"/>
    <w:rsid w:val="000A5AAF"/>
    <w:rsid w:val="000B2A67"/>
    <w:rsid w:val="000B2C01"/>
    <w:rsid w:val="000B2C25"/>
    <w:rsid w:val="000B4712"/>
    <w:rsid w:val="000B4A4A"/>
    <w:rsid w:val="000B4BD3"/>
    <w:rsid w:val="000B6AF7"/>
    <w:rsid w:val="000B7B48"/>
    <w:rsid w:val="000C013A"/>
    <w:rsid w:val="000C022C"/>
    <w:rsid w:val="000C0870"/>
    <w:rsid w:val="000C0F2C"/>
    <w:rsid w:val="000C0F60"/>
    <w:rsid w:val="000C1981"/>
    <w:rsid w:val="000C1D84"/>
    <w:rsid w:val="000C6DE3"/>
    <w:rsid w:val="000C7A76"/>
    <w:rsid w:val="000D00A2"/>
    <w:rsid w:val="000D0EE6"/>
    <w:rsid w:val="000D2518"/>
    <w:rsid w:val="000D29D3"/>
    <w:rsid w:val="000D2B32"/>
    <w:rsid w:val="000D2B3D"/>
    <w:rsid w:val="000D31EE"/>
    <w:rsid w:val="000D5BFC"/>
    <w:rsid w:val="000E2FC3"/>
    <w:rsid w:val="000E33DD"/>
    <w:rsid w:val="000F2A9B"/>
    <w:rsid w:val="000F4139"/>
    <w:rsid w:val="000F4D14"/>
    <w:rsid w:val="000F5C97"/>
    <w:rsid w:val="000F6056"/>
    <w:rsid w:val="0010009C"/>
    <w:rsid w:val="001008AE"/>
    <w:rsid w:val="00103C66"/>
    <w:rsid w:val="00104657"/>
    <w:rsid w:val="00104C32"/>
    <w:rsid w:val="00104DE8"/>
    <w:rsid w:val="00105A68"/>
    <w:rsid w:val="00107BF0"/>
    <w:rsid w:val="001120B2"/>
    <w:rsid w:val="0011307B"/>
    <w:rsid w:val="001147F2"/>
    <w:rsid w:val="00115016"/>
    <w:rsid w:val="00121D1D"/>
    <w:rsid w:val="001232CF"/>
    <w:rsid w:val="00123F7E"/>
    <w:rsid w:val="00124445"/>
    <w:rsid w:val="00125173"/>
    <w:rsid w:val="0012735C"/>
    <w:rsid w:val="00130EC7"/>
    <w:rsid w:val="001310A4"/>
    <w:rsid w:val="00131FD8"/>
    <w:rsid w:val="0013664B"/>
    <w:rsid w:val="00140C99"/>
    <w:rsid w:val="001416E1"/>
    <w:rsid w:val="00142A96"/>
    <w:rsid w:val="001432D9"/>
    <w:rsid w:val="00144A3D"/>
    <w:rsid w:val="00144A76"/>
    <w:rsid w:val="00146DC2"/>
    <w:rsid w:val="00146E10"/>
    <w:rsid w:val="0015084D"/>
    <w:rsid w:val="0015122B"/>
    <w:rsid w:val="00151DF3"/>
    <w:rsid w:val="00152334"/>
    <w:rsid w:val="00153758"/>
    <w:rsid w:val="00154F14"/>
    <w:rsid w:val="00156146"/>
    <w:rsid w:val="00156925"/>
    <w:rsid w:val="00156F77"/>
    <w:rsid w:val="00157053"/>
    <w:rsid w:val="001608C0"/>
    <w:rsid w:val="00163652"/>
    <w:rsid w:val="001641A4"/>
    <w:rsid w:val="0016541C"/>
    <w:rsid w:val="001655D8"/>
    <w:rsid w:val="00165B38"/>
    <w:rsid w:val="00165F3F"/>
    <w:rsid w:val="00167F9D"/>
    <w:rsid w:val="0017107C"/>
    <w:rsid w:val="00171BB1"/>
    <w:rsid w:val="0017221E"/>
    <w:rsid w:val="00172B52"/>
    <w:rsid w:val="0017450A"/>
    <w:rsid w:val="0017606E"/>
    <w:rsid w:val="00176D49"/>
    <w:rsid w:val="0018002F"/>
    <w:rsid w:val="00181956"/>
    <w:rsid w:val="00183492"/>
    <w:rsid w:val="00183CF3"/>
    <w:rsid w:val="0018513B"/>
    <w:rsid w:val="00185FE7"/>
    <w:rsid w:val="00186062"/>
    <w:rsid w:val="001873B8"/>
    <w:rsid w:val="00193197"/>
    <w:rsid w:val="001937F2"/>
    <w:rsid w:val="001950CD"/>
    <w:rsid w:val="001A2940"/>
    <w:rsid w:val="001A2C4D"/>
    <w:rsid w:val="001A46E5"/>
    <w:rsid w:val="001A4EF9"/>
    <w:rsid w:val="001A635C"/>
    <w:rsid w:val="001B1630"/>
    <w:rsid w:val="001B1E0C"/>
    <w:rsid w:val="001B23E9"/>
    <w:rsid w:val="001B4C0E"/>
    <w:rsid w:val="001B4F10"/>
    <w:rsid w:val="001B68AD"/>
    <w:rsid w:val="001B6A4B"/>
    <w:rsid w:val="001C0CD1"/>
    <w:rsid w:val="001C1160"/>
    <w:rsid w:val="001C1C93"/>
    <w:rsid w:val="001C2654"/>
    <w:rsid w:val="001C59A9"/>
    <w:rsid w:val="001C6595"/>
    <w:rsid w:val="001C693C"/>
    <w:rsid w:val="001C6BD8"/>
    <w:rsid w:val="001C76F2"/>
    <w:rsid w:val="001D05E8"/>
    <w:rsid w:val="001D2E7D"/>
    <w:rsid w:val="001D406E"/>
    <w:rsid w:val="001D458D"/>
    <w:rsid w:val="001D4EB8"/>
    <w:rsid w:val="001D4FB5"/>
    <w:rsid w:val="001D62F5"/>
    <w:rsid w:val="001D63AC"/>
    <w:rsid w:val="001D6AFA"/>
    <w:rsid w:val="001E0835"/>
    <w:rsid w:val="001E0CAA"/>
    <w:rsid w:val="001E37D9"/>
    <w:rsid w:val="001E3DEC"/>
    <w:rsid w:val="001E6CB9"/>
    <w:rsid w:val="001E6CCA"/>
    <w:rsid w:val="001F01ED"/>
    <w:rsid w:val="001F0DD0"/>
    <w:rsid w:val="001F2184"/>
    <w:rsid w:val="001F28E7"/>
    <w:rsid w:val="001F2F6D"/>
    <w:rsid w:val="001F365E"/>
    <w:rsid w:val="001F50A7"/>
    <w:rsid w:val="001F5A87"/>
    <w:rsid w:val="001F77E0"/>
    <w:rsid w:val="00200309"/>
    <w:rsid w:val="00201E57"/>
    <w:rsid w:val="002027B3"/>
    <w:rsid w:val="002031AE"/>
    <w:rsid w:val="0020380C"/>
    <w:rsid w:val="002069FE"/>
    <w:rsid w:val="002109D6"/>
    <w:rsid w:val="00210F00"/>
    <w:rsid w:val="00211DF6"/>
    <w:rsid w:val="002124F1"/>
    <w:rsid w:val="0021322A"/>
    <w:rsid w:val="0021333A"/>
    <w:rsid w:val="00213559"/>
    <w:rsid w:val="00214459"/>
    <w:rsid w:val="0021569A"/>
    <w:rsid w:val="00217728"/>
    <w:rsid w:val="00217917"/>
    <w:rsid w:val="00223371"/>
    <w:rsid w:val="00223DF1"/>
    <w:rsid w:val="0022436F"/>
    <w:rsid w:val="0022536D"/>
    <w:rsid w:val="00227C9D"/>
    <w:rsid w:val="0023032F"/>
    <w:rsid w:val="00231EA9"/>
    <w:rsid w:val="00232F71"/>
    <w:rsid w:val="00234CA3"/>
    <w:rsid w:val="00235681"/>
    <w:rsid w:val="00236660"/>
    <w:rsid w:val="00236F99"/>
    <w:rsid w:val="00237DC7"/>
    <w:rsid w:val="002403C9"/>
    <w:rsid w:val="00240CB2"/>
    <w:rsid w:val="00240FC9"/>
    <w:rsid w:val="002417FA"/>
    <w:rsid w:val="00241C20"/>
    <w:rsid w:val="00242101"/>
    <w:rsid w:val="00242C39"/>
    <w:rsid w:val="00243AEB"/>
    <w:rsid w:val="00245091"/>
    <w:rsid w:val="002451B4"/>
    <w:rsid w:val="00246001"/>
    <w:rsid w:val="00246ADC"/>
    <w:rsid w:val="00246B21"/>
    <w:rsid w:val="002474FE"/>
    <w:rsid w:val="0024787C"/>
    <w:rsid w:val="00250A3B"/>
    <w:rsid w:val="00251596"/>
    <w:rsid w:val="00255B00"/>
    <w:rsid w:val="00260D44"/>
    <w:rsid w:val="002620D4"/>
    <w:rsid w:val="00262736"/>
    <w:rsid w:val="00262CE6"/>
    <w:rsid w:val="00263998"/>
    <w:rsid w:val="0026605A"/>
    <w:rsid w:val="00266E0F"/>
    <w:rsid w:val="00270B52"/>
    <w:rsid w:val="00272C9C"/>
    <w:rsid w:val="00273780"/>
    <w:rsid w:val="00273CE6"/>
    <w:rsid w:val="0027483C"/>
    <w:rsid w:val="0027746E"/>
    <w:rsid w:val="00280109"/>
    <w:rsid w:val="00280BB6"/>
    <w:rsid w:val="0028135E"/>
    <w:rsid w:val="00281A4A"/>
    <w:rsid w:val="00283959"/>
    <w:rsid w:val="0028486F"/>
    <w:rsid w:val="00285572"/>
    <w:rsid w:val="00286A1B"/>
    <w:rsid w:val="0028734A"/>
    <w:rsid w:val="00287403"/>
    <w:rsid w:val="0028785C"/>
    <w:rsid w:val="00287EDF"/>
    <w:rsid w:val="002905F8"/>
    <w:rsid w:val="00290976"/>
    <w:rsid w:val="002914AC"/>
    <w:rsid w:val="00292464"/>
    <w:rsid w:val="00293C7A"/>
    <w:rsid w:val="00294D47"/>
    <w:rsid w:val="00295051"/>
    <w:rsid w:val="002954A4"/>
    <w:rsid w:val="00295A42"/>
    <w:rsid w:val="00297759"/>
    <w:rsid w:val="00297A44"/>
    <w:rsid w:val="002A0370"/>
    <w:rsid w:val="002A1164"/>
    <w:rsid w:val="002A17B9"/>
    <w:rsid w:val="002A7519"/>
    <w:rsid w:val="002A7CA6"/>
    <w:rsid w:val="002B03F7"/>
    <w:rsid w:val="002B1772"/>
    <w:rsid w:val="002B2298"/>
    <w:rsid w:val="002B25A9"/>
    <w:rsid w:val="002B2667"/>
    <w:rsid w:val="002B683D"/>
    <w:rsid w:val="002B7220"/>
    <w:rsid w:val="002B7417"/>
    <w:rsid w:val="002B79F3"/>
    <w:rsid w:val="002B7AD6"/>
    <w:rsid w:val="002B7DDC"/>
    <w:rsid w:val="002C177A"/>
    <w:rsid w:val="002C2A74"/>
    <w:rsid w:val="002C2EC2"/>
    <w:rsid w:val="002C3061"/>
    <w:rsid w:val="002C484B"/>
    <w:rsid w:val="002C4A79"/>
    <w:rsid w:val="002C55F5"/>
    <w:rsid w:val="002C560A"/>
    <w:rsid w:val="002C59B3"/>
    <w:rsid w:val="002D03B0"/>
    <w:rsid w:val="002D1264"/>
    <w:rsid w:val="002D153D"/>
    <w:rsid w:val="002D3851"/>
    <w:rsid w:val="002D3AC5"/>
    <w:rsid w:val="002D7B37"/>
    <w:rsid w:val="002E02CD"/>
    <w:rsid w:val="002E0851"/>
    <w:rsid w:val="002E162B"/>
    <w:rsid w:val="002E2F36"/>
    <w:rsid w:val="002E3439"/>
    <w:rsid w:val="002E5DC2"/>
    <w:rsid w:val="002F164F"/>
    <w:rsid w:val="002F1D45"/>
    <w:rsid w:val="002F420A"/>
    <w:rsid w:val="002F4DCA"/>
    <w:rsid w:val="002F69A0"/>
    <w:rsid w:val="002F6E6A"/>
    <w:rsid w:val="003003A6"/>
    <w:rsid w:val="00303316"/>
    <w:rsid w:val="00305321"/>
    <w:rsid w:val="00305871"/>
    <w:rsid w:val="00305B12"/>
    <w:rsid w:val="00305DBE"/>
    <w:rsid w:val="003073E4"/>
    <w:rsid w:val="00307474"/>
    <w:rsid w:val="003100D1"/>
    <w:rsid w:val="00311241"/>
    <w:rsid w:val="00312DC4"/>
    <w:rsid w:val="00314091"/>
    <w:rsid w:val="0031563A"/>
    <w:rsid w:val="00316E0D"/>
    <w:rsid w:val="003171D7"/>
    <w:rsid w:val="003213C1"/>
    <w:rsid w:val="00321A78"/>
    <w:rsid w:val="00323EB3"/>
    <w:rsid w:val="0032604A"/>
    <w:rsid w:val="003270D3"/>
    <w:rsid w:val="00331323"/>
    <w:rsid w:val="003323CB"/>
    <w:rsid w:val="00333F50"/>
    <w:rsid w:val="00336161"/>
    <w:rsid w:val="0033759F"/>
    <w:rsid w:val="00342264"/>
    <w:rsid w:val="003442C8"/>
    <w:rsid w:val="00344903"/>
    <w:rsid w:val="00346A82"/>
    <w:rsid w:val="00350AF7"/>
    <w:rsid w:val="0035184D"/>
    <w:rsid w:val="00351A95"/>
    <w:rsid w:val="0035474F"/>
    <w:rsid w:val="00354F8E"/>
    <w:rsid w:val="003566D0"/>
    <w:rsid w:val="0035685F"/>
    <w:rsid w:val="00357342"/>
    <w:rsid w:val="003577DF"/>
    <w:rsid w:val="00360792"/>
    <w:rsid w:val="0036415E"/>
    <w:rsid w:val="003662AA"/>
    <w:rsid w:val="0036659D"/>
    <w:rsid w:val="0036683A"/>
    <w:rsid w:val="0037729A"/>
    <w:rsid w:val="00380024"/>
    <w:rsid w:val="0038016C"/>
    <w:rsid w:val="0038178D"/>
    <w:rsid w:val="003850AA"/>
    <w:rsid w:val="00385FDC"/>
    <w:rsid w:val="003875E8"/>
    <w:rsid w:val="00391312"/>
    <w:rsid w:val="0039278B"/>
    <w:rsid w:val="00393D98"/>
    <w:rsid w:val="0039434B"/>
    <w:rsid w:val="003956E3"/>
    <w:rsid w:val="00395C05"/>
    <w:rsid w:val="003962B4"/>
    <w:rsid w:val="003A08B1"/>
    <w:rsid w:val="003A15D1"/>
    <w:rsid w:val="003A1B66"/>
    <w:rsid w:val="003A257B"/>
    <w:rsid w:val="003A272F"/>
    <w:rsid w:val="003A3B4B"/>
    <w:rsid w:val="003A3FED"/>
    <w:rsid w:val="003A4EAB"/>
    <w:rsid w:val="003A6C5C"/>
    <w:rsid w:val="003A6E40"/>
    <w:rsid w:val="003A73E2"/>
    <w:rsid w:val="003B045C"/>
    <w:rsid w:val="003B2E56"/>
    <w:rsid w:val="003B603A"/>
    <w:rsid w:val="003B624E"/>
    <w:rsid w:val="003B6AB5"/>
    <w:rsid w:val="003C01A0"/>
    <w:rsid w:val="003C11B1"/>
    <w:rsid w:val="003C1D44"/>
    <w:rsid w:val="003C2C21"/>
    <w:rsid w:val="003C46A3"/>
    <w:rsid w:val="003C4D14"/>
    <w:rsid w:val="003C4D4D"/>
    <w:rsid w:val="003C73C3"/>
    <w:rsid w:val="003D18D3"/>
    <w:rsid w:val="003D191F"/>
    <w:rsid w:val="003D215E"/>
    <w:rsid w:val="003D3001"/>
    <w:rsid w:val="003D3968"/>
    <w:rsid w:val="003D44D3"/>
    <w:rsid w:val="003E3BBC"/>
    <w:rsid w:val="003E489E"/>
    <w:rsid w:val="003E65B7"/>
    <w:rsid w:val="003E79A3"/>
    <w:rsid w:val="003F273B"/>
    <w:rsid w:val="003F5479"/>
    <w:rsid w:val="003F589E"/>
    <w:rsid w:val="003F6055"/>
    <w:rsid w:val="003F6AF9"/>
    <w:rsid w:val="003F6CC6"/>
    <w:rsid w:val="003F7CE5"/>
    <w:rsid w:val="00402BD0"/>
    <w:rsid w:val="00403666"/>
    <w:rsid w:val="0040376A"/>
    <w:rsid w:val="00407968"/>
    <w:rsid w:val="00407B2F"/>
    <w:rsid w:val="00412C07"/>
    <w:rsid w:val="00413362"/>
    <w:rsid w:val="0041470D"/>
    <w:rsid w:val="00414A29"/>
    <w:rsid w:val="00415E30"/>
    <w:rsid w:val="00417D53"/>
    <w:rsid w:val="004205FB"/>
    <w:rsid w:val="00420C84"/>
    <w:rsid w:val="00421266"/>
    <w:rsid w:val="00422D1B"/>
    <w:rsid w:val="00424ABD"/>
    <w:rsid w:val="0042656A"/>
    <w:rsid w:val="004265FC"/>
    <w:rsid w:val="004276FA"/>
    <w:rsid w:val="0043070C"/>
    <w:rsid w:val="00432727"/>
    <w:rsid w:val="00432CE0"/>
    <w:rsid w:val="004349D4"/>
    <w:rsid w:val="004361FF"/>
    <w:rsid w:val="004369D8"/>
    <w:rsid w:val="00440E73"/>
    <w:rsid w:val="00440E85"/>
    <w:rsid w:val="00441E23"/>
    <w:rsid w:val="00441F43"/>
    <w:rsid w:val="00443956"/>
    <w:rsid w:val="00443C0F"/>
    <w:rsid w:val="004442ED"/>
    <w:rsid w:val="004444ED"/>
    <w:rsid w:val="00446381"/>
    <w:rsid w:val="00450323"/>
    <w:rsid w:val="00451234"/>
    <w:rsid w:val="00451E8D"/>
    <w:rsid w:val="00453A14"/>
    <w:rsid w:val="004543E7"/>
    <w:rsid w:val="00454E49"/>
    <w:rsid w:val="0045633C"/>
    <w:rsid w:val="004620D8"/>
    <w:rsid w:val="00463573"/>
    <w:rsid w:val="004648CE"/>
    <w:rsid w:val="00465BF4"/>
    <w:rsid w:val="0046726B"/>
    <w:rsid w:val="0046738B"/>
    <w:rsid w:val="00470781"/>
    <w:rsid w:val="00470F72"/>
    <w:rsid w:val="004712C3"/>
    <w:rsid w:val="00471356"/>
    <w:rsid w:val="00473DF1"/>
    <w:rsid w:val="0047435A"/>
    <w:rsid w:val="00475633"/>
    <w:rsid w:val="00476D41"/>
    <w:rsid w:val="004774A9"/>
    <w:rsid w:val="00477D4E"/>
    <w:rsid w:val="004813E2"/>
    <w:rsid w:val="004823CF"/>
    <w:rsid w:val="00483E06"/>
    <w:rsid w:val="00483F48"/>
    <w:rsid w:val="00485750"/>
    <w:rsid w:val="00486045"/>
    <w:rsid w:val="00486408"/>
    <w:rsid w:val="00487E6C"/>
    <w:rsid w:val="00490908"/>
    <w:rsid w:val="004909C3"/>
    <w:rsid w:val="004917E1"/>
    <w:rsid w:val="00491E59"/>
    <w:rsid w:val="00492A41"/>
    <w:rsid w:val="004953BD"/>
    <w:rsid w:val="00495BFA"/>
    <w:rsid w:val="00496461"/>
    <w:rsid w:val="00497403"/>
    <w:rsid w:val="004A0A6C"/>
    <w:rsid w:val="004A35EA"/>
    <w:rsid w:val="004A5D66"/>
    <w:rsid w:val="004A6481"/>
    <w:rsid w:val="004A73B0"/>
    <w:rsid w:val="004A7A6D"/>
    <w:rsid w:val="004B16DD"/>
    <w:rsid w:val="004B3C20"/>
    <w:rsid w:val="004B3E91"/>
    <w:rsid w:val="004B4156"/>
    <w:rsid w:val="004B5988"/>
    <w:rsid w:val="004B690B"/>
    <w:rsid w:val="004B6DC1"/>
    <w:rsid w:val="004C1390"/>
    <w:rsid w:val="004C219D"/>
    <w:rsid w:val="004C2815"/>
    <w:rsid w:val="004C391B"/>
    <w:rsid w:val="004C7CDB"/>
    <w:rsid w:val="004D054A"/>
    <w:rsid w:val="004D0E2D"/>
    <w:rsid w:val="004D114C"/>
    <w:rsid w:val="004D21EE"/>
    <w:rsid w:val="004D25D5"/>
    <w:rsid w:val="004D28E8"/>
    <w:rsid w:val="004D51A6"/>
    <w:rsid w:val="004E014C"/>
    <w:rsid w:val="004E138D"/>
    <w:rsid w:val="004E1533"/>
    <w:rsid w:val="004E46B8"/>
    <w:rsid w:val="004E7285"/>
    <w:rsid w:val="004E7FEA"/>
    <w:rsid w:val="004F01F6"/>
    <w:rsid w:val="004F0C23"/>
    <w:rsid w:val="004F14C1"/>
    <w:rsid w:val="004F4167"/>
    <w:rsid w:val="004F4340"/>
    <w:rsid w:val="004F5898"/>
    <w:rsid w:val="004F5C07"/>
    <w:rsid w:val="004F76DD"/>
    <w:rsid w:val="00502188"/>
    <w:rsid w:val="00502806"/>
    <w:rsid w:val="0050291B"/>
    <w:rsid w:val="00504072"/>
    <w:rsid w:val="0050500B"/>
    <w:rsid w:val="00505714"/>
    <w:rsid w:val="0050579E"/>
    <w:rsid w:val="005106E4"/>
    <w:rsid w:val="005109BA"/>
    <w:rsid w:val="00510A07"/>
    <w:rsid w:val="00510BB8"/>
    <w:rsid w:val="00510BD5"/>
    <w:rsid w:val="00510E29"/>
    <w:rsid w:val="005113A4"/>
    <w:rsid w:val="0051216C"/>
    <w:rsid w:val="00515CEC"/>
    <w:rsid w:val="00516056"/>
    <w:rsid w:val="00516BD3"/>
    <w:rsid w:val="00517B0A"/>
    <w:rsid w:val="005217CE"/>
    <w:rsid w:val="0052258D"/>
    <w:rsid w:val="00522D4F"/>
    <w:rsid w:val="00523390"/>
    <w:rsid w:val="00523BEC"/>
    <w:rsid w:val="00523EA1"/>
    <w:rsid w:val="00525714"/>
    <w:rsid w:val="0052690F"/>
    <w:rsid w:val="00526D5B"/>
    <w:rsid w:val="005345EE"/>
    <w:rsid w:val="00536378"/>
    <w:rsid w:val="005364D1"/>
    <w:rsid w:val="005376F5"/>
    <w:rsid w:val="005377DB"/>
    <w:rsid w:val="00540393"/>
    <w:rsid w:val="0054047C"/>
    <w:rsid w:val="00542C8E"/>
    <w:rsid w:val="0054394B"/>
    <w:rsid w:val="0054532A"/>
    <w:rsid w:val="00545D04"/>
    <w:rsid w:val="00550353"/>
    <w:rsid w:val="00551F99"/>
    <w:rsid w:val="00552430"/>
    <w:rsid w:val="0055396B"/>
    <w:rsid w:val="0055458E"/>
    <w:rsid w:val="00557529"/>
    <w:rsid w:val="00560637"/>
    <w:rsid w:val="00561F6F"/>
    <w:rsid w:val="0056210E"/>
    <w:rsid w:val="005628DA"/>
    <w:rsid w:val="005658F9"/>
    <w:rsid w:val="005709FA"/>
    <w:rsid w:val="0057143B"/>
    <w:rsid w:val="00571C7D"/>
    <w:rsid w:val="00571D98"/>
    <w:rsid w:val="0057255C"/>
    <w:rsid w:val="00573FC3"/>
    <w:rsid w:val="00575BDD"/>
    <w:rsid w:val="005766B2"/>
    <w:rsid w:val="00576A66"/>
    <w:rsid w:val="00576D77"/>
    <w:rsid w:val="00577457"/>
    <w:rsid w:val="005775B7"/>
    <w:rsid w:val="00581309"/>
    <w:rsid w:val="0058232A"/>
    <w:rsid w:val="005844F4"/>
    <w:rsid w:val="00584781"/>
    <w:rsid w:val="00584B12"/>
    <w:rsid w:val="0058600F"/>
    <w:rsid w:val="00586CCF"/>
    <w:rsid w:val="00586FB4"/>
    <w:rsid w:val="00594883"/>
    <w:rsid w:val="0059511A"/>
    <w:rsid w:val="00596A25"/>
    <w:rsid w:val="00597960"/>
    <w:rsid w:val="005A282D"/>
    <w:rsid w:val="005B0568"/>
    <w:rsid w:val="005B18EB"/>
    <w:rsid w:val="005B1CE3"/>
    <w:rsid w:val="005B25A6"/>
    <w:rsid w:val="005B279F"/>
    <w:rsid w:val="005B495B"/>
    <w:rsid w:val="005B4E98"/>
    <w:rsid w:val="005B5072"/>
    <w:rsid w:val="005B7ECC"/>
    <w:rsid w:val="005D016D"/>
    <w:rsid w:val="005D1637"/>
    <w:rsid w:val="005D1CA1"/>
    <w:rsid w:val="005D495A"/>
    <w:rsid w:val="005D58E8"/>
    <w:rsid w:val="005D5A0A"/>
    <w:rsid w:val="005D5CA7"/>
    <w:rsid w:val="005D6518"/>
    <w:rsid w:val="005D66A8"/>
    <w:rsid w:val="005E1179"/>
    <w:rsid w:val="005E1A23"/>
    <w:rsid w:val="005E1A3B"/>
    <w:rsid w:val="005E1AA1"/>
    <w:rsid w:val="005E27D0"/>
    <w:rsid w:val="005E444B"/>
    <w:rsid w:val="005E5F92"/>
    <w:rsid w:val="005E6274"/>
    <w:rsid w:val="005E7A28"/>
    <w:rsid w:val="005F0AD6"/>
    <w:rsid w:val="005F31BA"/>
    <w:rsid w:val="005F3400"/>
    <w:rsid w:val="005F3B4C"/>
    <w:rsid w:val="005F57E5"/>
    <w:rsid w:val="005F6051"/>
    <w:rsid w:val="005F66A8"/>
    <w:rsid w:val="005F681D"/>
    <w:rsid w:val="005F6919"/>
    <w:rsid w:val="005F7F25"/>
    <w:rsid w:val="00600D16"/>
    <w:rsid w:val="006022C5"/>
    <w:rsid w:val="006049BE"/>
    <w:rsid w:val="00604FA9"/>
    <w:rsid w:val="006058FA"/>
    <w:rsid w:val="0060626C"/>
    <w:rsid w:val="00607729"/>
    <w:rsid w:val="00612969"/>
    <w:rsid w:val="006133AB"/>
    <w:rsid w:val="00613C3C"/>
    <w:rsid w:val="006159AA"/>
    <w:rsid w:val="006163DD"/>
    <w:rsid w:val="0061715E"/>
    <w:rsid w:val="0062062B"/>
    <w:rsid w:val="00622602"/>
    <w:rsid w:val="00622AAD"/>
    <w:rsid w:val="00625420"/>
    <w:rsid w:val="00631E75"/>
    <w:rsid w:val="0063207C"/>
    <w:rsid w:val="00632119"/>
    <w:rsid w:val="0063405C"/>
    <w:rsid w:val="00634E05"/>
    <w:rsid w:val="00634E92"/>
    <w:rsid w:val="0063513A"/>
    <w:rsid w:val="006363DA"/>
    <w:rsid w:val="00636FB6"/>
    <w:rsid w:val="006407CE"/>
    <w:rsid w:val="0064214C"/>
    <w:rsid w:val="006434E3"/>
    <w:rsid w:val="0064451D"/>
    <w:rsid w:val="0064468C"/>
    <w:rsid w:val="00646826"/>
    <w:rsid w:val="00647653"/>
    <w:rsid w:val="006502AF"/>
    <w:rsid w:val="006503B1"/>
    <w:rsid w:val="00651C99"/>
    <w:rsid w:val="006521C7"/>
    <w:rsid w:val="006556AE"/>
    <w:rsid w:val="00660BFF"/>
    <w:rsid w:val="00663B5F"/>
    <w:rsid w:val="00664358"/>
    <w:rsid w:val="006657D5"/>
    <w:rsid w:val="00666B9B"/>
    <w:rsid w:val="0066719A"/>
    <w:rsid w:val="006708B3"/>
    <w:rsid w:val="0067273F"/>
    <w:rsid w:val="00675B63"/>
    <w:rsid w:val="00676638"/>
    <w:rsid w:val="0067687F"/>
    <w:rsid w:val="00677FCA"/>
    <w:rsid w:val="0068007D"/>
    <w:rsid w:val="00682889"/>
    <w:rsid w:val="00683D46"/>
    <w:rsid w:val="00684523"/>
    <w:rsid w:val="00686B04"/>
    <w:rsid w:val="00690DB2"/>
    <w:rsid w:val="006910AE"/>
    <w:rsid w:val="0069168C"/>
    <w:rsid w:val="00693267"/>
    <w:rsid w:val="00694534"/>
    <w:rsid w:val="006962EB"/>
    <w:rsid w:val="0069691F"/>
    <w:rsid w:val="00696B14"/>
    <w:rsid w:val="006A2CE1"/>
    <w:rsid w:val="006A37B2"/>
    <w:rsid w:val="006A3D82"/>
    <w:rsid w:val="006A447B"/>
    <w:rsid w:val="006A5A1B"/>
    <w:rsid w:val="006A7C1C"/>
    <w:rsid w:val="006B001D"/>
    <w:rsid w:val="006B106F"/>
    <w:rsid w:val="006B12FF"/>
    <w:rsid w:val="006B1CFA"/>
    <w:rsid w:val="006B47B6"/>
    <w:rsid w:val="006B47C8"/>
    <w:rsid w:val="006B4DB5"/>
    <w:rsid w:val="006B7DAB"/>
    <w:rsid w:val="006C0648"/>
    <w:rsid w:val="006C07AC"/>
    <w:rsid w:val="006C10F3"/>
    <w:rsid w:val="006C1592"/>
    <w:rsid w:val="006C2B48"/>
    <w:rsid w:val="006C2E90"/>
    <w:rsid w:val="006C49C3"/>
    <w:rsid w:val="006C4DE0"/>
    <w:rsid w:val="006C58C5"/>
    <w:rsid w:val="006C6387"/>
    <w:rsid w:val="006D06CB"/>
    <w:rsid w:val="006D18C5"/>
    <w:rsid w:val="006D5905"/>
    <w:rsid w:val="006D6883"/>
    <w:rsid w:val="006D78BE"/>
    <w:rsid w:val="006E0867"/>
    <w:rsid w:val="006E0F42"/>
    <w:rsid w:val="006E2730"/>
    <w:rsid w:val="006E2E9F"/>
    <w:rsid w:val="006E4789"/>
    <w:rsid w:val="006E5E4A"/>
    <w:rsid w:val="006F1959"/>
    <w:rsid w:val="006F202C"/>
    <w:rsid w:val="006F49CA"/>
    <w:rsid w:val="006F6B35"/>
    <w:rsid w:val="007004E3"/>
    <w:rsid w:val="00702F23"/>
    <w:rsid w:val="00703751"/>
    <w:rsid w:val="00704ED2"/>
    <w:rsid w:val="00706693"/>
    <w:rsid w:val="007070BF"/>
    <w:rsid w:val="00710330"/>
    <w:rsid w:val="00711473"/>
    <w:rsid w:val="007136DB"/>
    <w:rsid w:val="00713AB0"/>
    <w:rsid w:val="00713CD8"/>
    <w:rsid w:val="00714520"/>
    <w:rsid w:val="007156DB"/>
    <w:rsid w:val="007178AD"/>
    <w:rsid w:val="0072017F"/>
    <w:rsid w:val="00720F9E"/>
    <w:rsid w:val="00723E18"/>
    <w:rsid w:val="00725822"/>
    <w:rsid w:val="00725DCE"/>
    <w:rsid w:val="007273E5"/>
    <w:rsid w:val="00727EF0"/>
    <w:rsid w:val="00732FE3"/>
    <w:rsid w:val="007354AB"/>
    <w:rsid w:val="00735B7D"/>
    <w:rsid w:val="007367AD"/>
    <w:rsid w:val="007373FC"/>
    <w:rsid w:val="00740275"/>
    <w:rsid w:val="00740979"/>
    <w:rsid w:val="00741872"/>
    <w:rsid w:val="00742736"/>
    <w:rsid w:val="0074301F"/>
    <w:rsid w:val="00743631"/>
    <w:rsid w:val="00743A70"/>
    <w:rsid w:val="0074463D"/>
    <w:rsid w:val="0074642E"/>
    <w:rsid w:val="00746CE5"/>
    <w:rsid w:val="00747E65"/>
    <w:rsid w:val="00750520"/>
    <w:rsid w:val="00750777"/>
    <w:rsid w:val="00751549"/>
    <w:rsid w:val="00752DF4"/>
    <w:rsid w:val="007555D8"/>
    <w:rsid w:val="0076201F"/>
    <w:rsid w:val="00765B3D"/>
    <w:rsid w:val="00770D71"/>
    <w:rsid w:val="00771448"/>
    <w:rsid w:val="00775501"/>
    <w:rsid w:val="007769B4"/>
    <w:rsid w:val="00781905"/>
    <w:rsid w:val="00782E7F"/>
    <w:rsid w:val="0078588F"/>
    <w:rsid w:val="00787AF2"/>
    <w:rsid w:val="00791377"/>
    <w:rsid w:val="007922E8"/>
    <w:rsid w:val="007924A2"/>
    <w:rsid w:val="00794F74"/>
    <w:rsid w:val="00795324"/>
    <w:rsid w:val="00795EA0"/>
    <w:rsid w:val="007969B6"/>
    <w:rsid w:val="007974CA"/>
    <w:rsid w:val="007A1902"/>
    <w:rsid w:val="007A282A"/>
    <w:rsid w:val="007A3741"/>
    <w:rsid w:val="007A3B5D"/>
    <w:rsid w:val="007A491E"/>
    <w:rsid w:val="007A646C"/>
    <w:rsid w:val="007A6856"/>
    <w:rsid w:val="007A6E99"/>
    <w:rsid w:val="007A7838"/>
    <w:rsid w:val="007B41F7"/>
    <w:rsid w:val="007B42B7"/>
    <w:rsid w:val="007C01C3"/>
    <w:rsid w:val="007C0C15"/>
    <w:rsid w:val="007C1D2F"/>
    <w:rsid w:val="007C210F"/>
    <w:rsid w:val="007C3B9B"/>
    <w:rsid w:val="007C4568"/>
    <w:rsid w:val="007C4E5D"/>
    <w:rsid w:val="007C51C0"/>
    <w:rsid w:val="007C51CB"/>
    <w:rsid w:val="007D0111"/>
    <w:rsid w:val="007D0A28"/>
    <w:rsid w:val="007D0E14"/>
    <w:rsid w:val="007D2996"/>
    <w:rsid w:val="007D2DB6"/>
    <w:rsid w:val="007D36AE"/>
    <w:rsid w:val="007D3933"/>
    <w:rsid w:val="007D4177"/>
    <w:rsid w:val="007D4EC1"/>
    <w:rsid w:val="007D5A39"/>
    <w:rsid w:val="007D761C"/>
    <w:rsid w:val="007E1559"/>
    <w:rsid w:val="007E3409"/>
    <w:rsid w:val="007E379C"/>
    <w:rsid w:val="007E4A9A"/>
    <w:rsid w:val="007E6C54"/>
    <w:rsid w:val="007F1C22"/>
    <w:rsid w:val="007F3C42"/>
    <w:rsid w:val="007F515C"/>
    <w:rsid w:val="007F6380"/>
    <w:rsid w:val="00800664"/>
    <w:rsid w:val="008023D5"/>
    <w:rsid w:val="00803C7A"/>
    <w:rsid w:val="00805AD4"/>
    <w:rsid w:val="008060DB"/>
    <w:rsid w:val="0081104B"/>
    <w:rsid w:val="00811B06"/>
    <w:rsid w:val="00811D36"/>
    <w:rsid w:val="00811F74"/>
    <w:rsid w:val="00812A93"/>
    <w:rsid w:val="00814F10"/>
    <w:rsid w:val="00814F5A"/>
    <w:rsid w:val="00815196"/>
    <w:rsid w:val="00816452"/>
    <w:rsid w:val="00816EE3"/>
    <w:rsid w:val="00817DA3"/>
    <w:rsid w:val="00820629"/>
    <w:rsid w:val="00821C03"/>
    <w:rsid w:val="00822E1E"/>
    <w:rsid w:val="00823E8D"/>
    <w:rsid w:val="00824F81"/>
    <w:rsid w:val="008253A3"/>
    <w:rsid w:val="00825E29"/>
    <w:rsid w:val="008314C2"/>
    <w:rsid w:val="008317FC"/>
    <w:rsid w:val="00831FE5"/>
    <w:rsid w:val="0083285B"/>
    <w:rsid w:val="00833CCF"/>
    <w:rsid w:val="0083601C"/>
    <w:rsid w:val="00836778"/>
    <w:rsid w:val="0083769F"/>
    <w:rsid w:val="00841089"/>
    <w:rsid w:val="008417EB"/>
    <w:rsid w:val="0084193B"/>
    <w:rsid w:val="00845C4D"/>
    <w:rsid w:val="00845DD7"/>
    <w:rsid w:val="00847F23"/>
    <w:rsid w:val="00850EBE"/>
    <w:rsid w:val="00852648"/>
    <w:rsid w:val="00852CA0"/>
    <w:rsid w:val="00852E87"/>
    <w:rsid w:val="0085578E"/>
    <w:rsid w:val="00856631"/>
    <w:rsid w:val="00861BE1"/>
    <w:rsid w:val="00862249"/>
    <w:rsid w:val="0086273D"/>
    <w:rsid w:val="00864198"/>
    <w:rsid w:val="008644E7"/>
    <w:rsid w:val="00865F3F"/>
    <w:rsid w:val="00865FC1"/>
    <w:rsid w:val="008661E0"/>
    <w:rsid w:val="008673AB"/>
    <w:rsid w:val="00867620"/>
    <w:rsid w:val="0087013D"/>
    <w:rsid w:val="008711B1"/>
    <w:rsid w:val="008711FE"/>
    <w:rsid w:val="008726F5"/>
    <w:rsid w:val="008746E5"/>
    <w:rsid w:val="00874F48"/>
    <w:rsid w:val="0087732A"/>
    <w:rsid w:val="008774BF"/>
    <w:rsid w:val="008815F0"/>
    <w:rsid w:val="008844EA"/>
    <w:rsid w:val="008861EB"/>
    <w:rsid w:val="00887A4B"/>
    <w:rsid w:val="00887D40"/>
    <w:rsid w:val="008900B6"/>
    <w:rsid w:val="00891009"/>
    <w:rsid w:val="0089112F"/>
    <w:rsid w:val="00893ECE"/>
    <w:rsid w:val="00894672"/>
    <w:rsid w:val="00894911"/>
    <w:rsid w:val="00895D63"/>
    <w:rsid w:val="008965DA"/>
    <w:rsid w:val="0089688E"/>
    <w:rsid w:val="008970C2"/>
    <w:rsid w:val="0089739D"/>
    <w:rsid w:val="0089782B"/>
    <w:rsid w:val="008A0A5D"/>
    <w:rsid w:val="008A120D"/>
    <w:rsid w:val="008A1236"/>
    <w:rsid w:val="008A2DD8"/>
    <w:rsid w:val="008A738B"/>
    <w:rsid w:val="008B048F"/>
    <w:rsid w:val="008B1D51"/>
    <w:rsid w:val="008B2F60"/>
    <w:rsid w:val="008B335B"/>
    <w:rsid w:val="008B3829"/>
    <w:rsid w:val="008B3DA6"/>
    <w:rsid w:val="008B3E43"/>
    <w:rsid w:val="008B3F9B"/>
    <w:rsid w:val="008B5CC6"/>
    <w:rsid w:val="008B6C31"/>
    <w:rsid w:val="008C06E4"/>
    <w:rsid w:val="008C0700"/>
    <w:rsid w:val="008C0F67"/>
    <w:rsid w:val="008C13AA"/>
    <w:rsid w:val="008C20CE"/>
    <w:rsid w:val="008C3477"/>
    <w:rsid w:val="008C3AE5"/>
    <w:rsid w:val="008C3D81"/>
    <w:rsid w:val="008C7394"/>
    <w:rsid w:val="008D02A8"/>
    <w:rsid w:val="008D04C5"/>
    <w:rsid w:val="008D153A"/>
    <w:rsid w:val="008D386E"/>
    <w:rsid w:val="008D7B9F"/>
    <w:rsid w:val="008E17BD"/>
    <w:rsid w:val="008E1EB9"/>
    <w:rsid w:val="008E3256"/>
    <w:rsid w:val="008E56C3"/>
    <w:rsid w:val="008E6775"/>
    <w:rsid w:val="008E7866"/>
    <w:rsid w:val="008F0038"/>
    <w:rsid w:val="008F032E"/>
    <w:rsid w:val="008F0805"/>
    <w:rsid w:val="008F0CBD"/>
    <w:rsid w:val="008F2D76"/>
    <w:rsid w:val="008F2E17"/>
    <w:rsid w:val="008F45B7"/>
    <w:rsid w:val="008F5168"/>
    <w:rsid w:val="008F69AD"/>
    <w:rsid w:val="008F72BD"/>
    <w:rsid w:val="008F76A6"/>
    <w:rsid w:val="00901213"/>
    <w:rsid w:val="009018D3"/>
    <w:rsid w:val="00904BEE"/>
    <w:rsid w:val="009059C6"/>
    <w:rsid w:val="00906B0A"/>
    <w:rsid w:val="00906DCD"/>
    <w:rsid w:val="00906FF0"/>
    <w:rsid w:val="009117A5"/>
    <w:rsid w:val="00913C4E"/>
    <w:rsid w:val="00914875"/>
    <w:rsid w:val="00916660"/>
    <w:rsid w:val="0091667C"/>
    <w:rsid w:val="00917272"/>
    <w:rsid w:val="00920EEE"/>
    <w:rsid w:val="00922F86"/>
    <w:rsid w:val="00923392"/>
    <w:rsid w:val="00923EF6"/>
    <w:rsid w:val="009247E2"/>
    <w:rsid w:val="0092532F"/>
    <w:rsid w:val="009260A6"/>
    <w:rsid w:val="00933576"/>
    <w:rsid w:val="00933F5F"/>
    <w:rsid w:val="00934EC6"/>
    <w:rsid w:val="00934F8A"/>
    <w:rsid w:val="009365F3"/>
    <w:rsid w:val="00941175"/>
    <w:rsid w:val="00941818"/>
    <w:rsid w:val="00942964"/>
    <w:rsid w:val="009429D9"/>
    <w:rsid w:val="00942F4C"/>
    <w:rsid w:val="00944C1D"/>
    <w:rsid w:val="00947A35"/>
    <w:rsid w:val="00950C95"/>
    <w:rsid w:val="00950FFC"/>
    <w:rsid w:val="00951441"/>
    <w:rsid w:val="009517E7"/>
    <w:rsid w:val="00952E44"/>
    <w:rsid w:val="00955D40"/>
    <w:rsid w:val="00956191"/>
    <w:rsid w:val="0096029C"/>
    <w:rsid w:val="00961665"/>
    <w:rsid w:val="00963997"/>
    <w:rsid w:val="00964365"/>
    <w:rsid w:val="00964B85"/>
    <w:rsid w:val="00965683"/>
    <w:rsid w:val="00966370"/>
    <w:rsid w:val="00966D24"/>
    <w:rsid w:val="00970005"/>
    <w:rsid w:val="009700CE"/>
    <w:rsid w:val="0097104A"/>
    <w:rsid w:val="009736F2"/>
    <w:rsid w:val="009741EB"/>
    <w:rsid w:val="00974482"/>
    <w:rsid w:val="009767F0"/>
    <w:rsid w:val="00977EE3"/>
    <w:rsid w:val="009822C6"/>
    <w:rsid w:val="00982A96"/>
    <w:rsid w:val="00983C54"/>
    <w:rsid w:val="009845C0"/>
    <w:rsid w:val="00985D10"/>
    <w:rsid w:val="00990E1A"/>
    <w:rsid w:val="0099140A"/>
    <w:rsid w:val="009914FD"/>
    <w:rsid w:val="0099185C"/>
    <w:rsid w:val="00992317"/>
    <w:rsid w:val="009925D2"/>
    <w:rsid w:val="00992C96"/>
    <w:rsid w:val="00995F1A"/>
    <w:rsid w:val="009960CC"/>
    <w:rsid w:val="00996535"/>
    <w:rsid w:val="009A06DD"/>
    <w:rsid w:val="009A082D"/>
    <w:rsid w:val="009A0D1E"/>
    <w:rsid w:val="009A3C23"/>
    <w:rsid w:val="009A3D84"/>
    <w:rsid w:val="009A5210"/>
    <w:rsid w:val="009A56D2"/>
    <w:rsid w:val="009A5B19"/>
    <w:rsid w:val="009B25B5"/>
    <w:rsid w:val="009B2709"/>
    <w:rsid w:val="009B4D1F"/>
    <w:rsid w:val="009B507F"/>
    <w:rsid w:val="009B5D86"/>
    <w:rsid w:val="009B625C"/>
    <w:rsid w:val="009C0A02"/>
    <w:rsid w:val="009C143A"/>
    <w:rsid w:val="009C1E99"/>
    <w:rsid w:val="009C283C"/>
    <w:rsid w:val="009C3314"/>
    <w:rsid w:val="009C5BA2"/>
    <w:rsid w:val="009C6143"/>
    <w:rsid w:val="009D0B41"/>
    <w:rsid w:val="009D2123"/>
    <w:rsid w:val="009D2EBF"/>
    <w:rsid w:val="009D3198"/>
    <w:rsid w:val="009D3A36"/>
    <w:rsid w:val="009D4170"/>
    <w:rsid w:val="009D469F"/>
    <w:rsid w:val="009D5D24"/>
    <w:rsid w:val="009D6CFE"/>
    <w:rsid w:val="009E2449"/>
    <w:rsid w:val="009E321A"/>
    <w:rsid w:val="009E429C"/>
    <w:rsid w:val="009E4457"/>
    <w:rsid w:val="009E45CC"/>
    <w:rsid w:val="009E6574"/>
    <w:rsid w:val="009F03FF"/>
    <w:rsid w:val="009F581C"/>
    <w:rsid w:val="009F5F60"/>
    <w:rsid w:val="009F6ED3"/>
    <w:rsid w:val="009F7880"/>
    <w:rsid w:val="00A00153"/>
    <w:rsid w:val="00A00D78"/>
    <w:rsid w:val="00A02C1A"/>
    <w:rsid w:val="00A02EA4"/>
    <w:rsid w:val="00A0321D"/>
    <w:rsid w:val="00A03230"/>
    <w:rsid w:val="00A03A7A"/>
    <w:rsid w:val="00A03E7D"/>
    <w:rsid w:val="00A055F7"/>
    <w:rsid w:val="00A064D7"/>
    <w:rsid w:val="00A07232"/>
    <w:rsid w:val="00A12A21"/>
    <w:rsid w:val="00A15734"/>
    <w:rsid w:val="00A16AF7"/>
    <w:rsid w:val="00A17B1B"/>
    <w:rsid w:val="00A203EE"/>
    <w:rsid w:val="00A21CE6"/>
    <w:rsid w:val="00A22D11"/>
    <w:rsid w:val="00A23365"/>
    <w:rsid w:val="00A23CAE"/>
    <w:rsid w:val="00A2593A"/>
    <w:rsid w:val="00A25F41"/>
    <w:rsid w:val="00A26253"/>
    <w:rsid w:val="00A319F0"/>
    <w:rsid w:val="00A321CA"/>
    <w:rsid w:val="00A322C3"/>
    <w:rsid w:val="00A32F4E"/>
    <w:rsid w:val="00A333B8"/>
    <w:rsid w:val="00A33E46"/>
    <w:rsid w:val="00A3430F"/>
    <w:rsid w:val="00A35FC1"/>
    <w:rsid w:val="00A360EF"/>
    <w:rsid w:val="00A36701"/>
    <w:rsid w:val="00A367AE"/>
    <w:rsid w:val="00A36D78"/>
    <w:rsid w:val="00A40820"/>
    <w:rsid w:val="00A41195"/>
    <w:rsid w:val="00A416EE"/>
    <w:rsid w:val="00A422D1"/>
    <w:rsid w:val="00A42E4D"/>
    <w:rsid w:val="00A4383D"/>
    <w:rsid w:val="00A43C48"/>
    <w:rsid w:val="00A4550F"/>
    <w:rsid w:val="00A462F0"/>
    <w:rsid w:val="00A47166"/>
    <w:rsid w:val="00A474C6"/>
    <w:rsid w:val="00A47E24"/>
    <w:rsid w:val="00A513EB"/>
    <w:rsid w:val="00A535C3"/>
    <w:rsid w:val="00A5451A"/>
    <w:rsid w:val="00A5739F"/>
    <w:rsid w:val="00A57858"/>
    <w:rsid w:val="00A60992"/>
    <w:rsid w:val="00A62DBC"/>
    <w:rsid w:val="00A632DA"/>
    <w:rsid w:val="00A63A94"/>
    <w:rsid w:val="00A655B1"/>
    <w:rsid w:val="00A675BC"/>
    <w:rsid w:val="00A70375"/>
    <w:rsid w:val="00A71128"/>
    <w:rsid w:val="00A71B54"/>
    <w:rsid w:val="00A72EB9"/>
    <w:rsid w:val="00A7448C"/>
    <w:rsid w:val="00A7449B"/>
    <w:rsid w:val="00A75C41"/>
    <w:rsid w:val="00A76F2D"/>
    <w:rsid w:val="00A76F56"/>
    <w:rsid w:val="00A77766"/>
    <w:rsid w:val="00A77CA6"/>
    <w:rsid w:val="00A844E4"/>
    <w:rsid w:val="00A85DC8"/>
    <w:rsid w:val="00A922F2"/>
    <w:rsid w:val="00A92588"/>
    <w:rsid w:val="00A93353"/>
    <w:rsid w:val="00A935F1"/>
    <w:rsid w:val="00A9394F"/>
    <w:rsid w:val="00A93992"/>
    <w:rsid w:val="00A93FC4"/>
    <w:rsid w:val="00A96505"/>
    <w:rsid w:val="00AA059B"/>
    <w:rsid w:val="00AA1241"/>
    <w:rsid w:val="00AA1523"/>
    <w:rsid w:val="00AA1B0C"/>
    <w:rsid w:val="00AA203C"/>
    <w:rsid w:val="00AA2CF7"/>
    <w:rsid w:val="00AA365D"/>
    <w:rsid w:val="00AA4A96"/>
    <w:rsid w:val="00AA6BDD"/>
    <w:rsid w:val="00AA7172"/>
    <w:rsid w:val="00AB01DA"/>
    <w:rsid w:val="00AB0363"/>
    <w:rsid w:val="00AB0561"/>
    <w:rsid w:val="00AB63A9"/>
    <w:rsid w:val="00AC0279"/>
    <w:rsid w:val="00AC0BB6"/>
    <w:rsid w:val="00AC10C1"/>
    <w:rsid w:val="00AC1344"/>
    <w:rsid w:val="00AC6CC9"/>
    <w:rsid w:val="00AD02DD"/>
    <w:rsid w:val="00AD0BEB"/>
    <w:rsid w:val="00AD0EB1"/>
    <w:rsid w:val="00AD1367"/>
    <w:rsid w:val="00AD1E33"/>
    <w:rsid w:val="00AD207E"/>
    <w:rsid w:val="00AD2A9D"/>
    <w:rsid w:val="00AD2EC4"/>
    <w:rsid w:val="00AD3EA9"/>
    <w:rsid w:val="00AE0DCC"/>
    <w:rsid w:val="00AE0E2E"/>
    <w:rsid w:val="00AE27F6"/>
    <w:rsid w:val="00AE3972"/>
    <w:rsid w:val="00AE3E9E"/>
    <w:rsid w:val="00AE470B"/>
    <w:rsid w:val="00AE7491"/>
    <w:rsid w:val="00AE7AD5"/>
    <w:rsid w:val="00AF0B4F"/>
    <w:rsid w:val="00AF2169"/>
    <w:rsid w:val="00AF3020"/>
    <w:rsid w:val="00AF32DA"/>
    <w:rsid w:val="00AF53FE"/>
    <w:rsid w:val="00AF5E4E"/>
    <w:rsid w:val="00AF63A9"/>
    <w:rsid w:val="00AF662F"/>
    <w:rsid w:val="00AF6BDE"/>
    <w:rsid w:val="00AF7F34"/>
    <w:rsid w:val="00AF7FF7"/>
    <w:rsid w:val="00B00C1D"/>
    <w:rsid w:val="00B00E82"/>
    <w:rsid w:val="00B06AB6"/>
    <w:rsid w:val="00B06C51"/>
    <w:rsid w:val="00B07106"/>
    <w:rsid w:val="00B0797E"/>
    <w:rsid w:val="00B10320"/>
    <w:rsid w:val="00B12E13"/>
    <w:rsid w:val="00B13008"/>
    <w:rsid w:val="00B14250"/>
    <w:rsid w:val="00B14281"/>
    <w:rsid w:val="00B15E87"/>
    <w:rsid w:val="00B179BC"/>
    <w:rsid w:val="00B23629"/>
    <w:rsid w:val="00B23B63"/>
    <w:rsid w:val="00B23F0D"/>
    <w:rsid w:val="00B2586C"/>
    <w:rsid w:val="00B26DDE"/>
    <w:rsid w:val="00B30348"/>
    <w:rsid w:val="00B33DE4"/>
    <w:rsid w:val="00B34A89"/>
    <w:rsid w:val="00B35C32"/>
    <w:rsid w:val="00B37440"/>
    <w:rsid w:val="00B408F2"/>
    <w:rsid w:val="00B4419F"/>
    <w:rsid w:val="00B458EB"/>
    <w:rsid w:val="00B471DA"/>
    <w:rsid w:val="00B5455C"/>
    <w:rsid w:val="00B56760"/>
    <w:rsid w:val="00B56E6E"/>
    <w:rsid w:val="00B60CCB"/>
    <w:rsid w:val="00B61F36"/>
    <w:rsid w:val="00B62126"/>
    <w:rsid w:val="00B63D07"/>
    <w:rsid w:val="00B65501"/>
    <w:rsid w:val="00B66308"/>
    <w:rsid w:val="00B674D3"/>
    <w:rsid w:val="00B67C5D"/>
    <w:rsid w:val="00B67CAE"/>
    <w:rsid w:val="00B70C0F"/>
    <w:rsid w:val="00B7142E"/>
    <w:rsid w:val="00B71933"/>
    <w:rsid w:val="00B7215E"/>
    <w:rsid w:val="00B72ED9"/>
    <w:rsid w:val="00B73585"/>
    <w:rsid w:val="00B73AC8"/>
    <w:rsid w:val="00B74374"/>
    <w:rsid w:val="00B7645F"/>
    <w:rsid w:val="00B76F30"/>
    <w:rsid w:val="00B7736F"/>
    <w:rsid w:val="00B77AE6"/>
    <w:rsid w:val="00B808D3"/>
    <w:rsid w:val="00B80E23"/>
    <w:rsid w:val="00B81490"/>
    <w:rsid w:val="00B81F96"/>
    <w:rsid w:val="00B835D8"/>
    <w:rsid w:val="00B836EC"/>
    <w:rsid w:val="00B83BD7"/>
    <w:rsid w:val="00B85C96"/>
    <w:rsid w:val="00B92537"/>
    <w:rsid w:val="00B92F0E"/>
    <w:rsid w:val="00B93B49"/>
    <w:rsid w:val="00B952B7"/>
    <w:rsid w:val="00B9571B"/>
    <w:rsid w:val="00B959EA"/>
    <w:rsid w:val="00B96559"/>
    <w:rsid w:val="00B97677"/>
    <w:rsid w:val="00BA1ADB"/>
    <w:rsid w:val="00BA42C2"/>
    <w:rsid w:val="00BA4324"/>
    <w:rsid w:val="00BA6DAA"/>
    <w:rsid w:val="00BB159D"/>
    <w:rsid w:val="00BB1F34"/>
    <w:rsid w:val="00BB593B"/>
    <w:rsid w:val="00BB78C0"/>
    <w:rsid w:val="00BB7EB5"/>
    <w:rsid w:val="00BC1129"/>
    <w:rsid w:val="00BC321B"/>
    <w:rsid w:val="00BC461E"/>
    <w:rsid w:val="00BC4C9F"/>
    <w:rsid w:val="00BC78A1"/>
    <w:rsid w:val="00BC7C22"/>
    <w:rsid w:val="00BD05A4"/>
    <w:rsid w:val="00BD0ECE"/>
    <w:rsid w:val="00BD1195"/>
    <w:rsid w:val="00BD1929"/>
    <w:rsid w:val="00BD215C"/>
    <w:rsid w:val="00BE0EE0"/>
    <w:rsid w:val="00BE1C5F"/>
    <w:rsid w:val="00BE255D"/>
    <w:rsid w:val="00BE2740"/>
    <w:rsid w:val="00BE2E6C"/>
    <w:rsid w:val="00BE40CA"/>
    <w:rsid w:val="00BE453A"/>
    <w:rsid w:val="00BF1252"/>
    <w:rsid w:val="00BF2B60"/>
    <w:rsid w:val="00BF4C81"/>
    <w:rsid w:val="00BF7349"/>
    <w:rsid w:val="00BF7DA8"/>
    <w:rsid w:val="00C003B2"/>
    <w:rsid w:val="00C011CA"/>
    <w:rsid w:val="00C01503"/>
    <w:rsid w:val="00C0548E"/>
    <w:rsid w:val="00C05885"/>
    <w:rsid w:val="00C05C5D"/>
    <w:rsid w:val="00C061A6"/>
    <w:rsid w:val="00C07B49"/>
    <w:rsid w:val="00C07E44"/>
    <w:rsid w:val="00C10441"/>
    <w:rsid w:val="00C11091"/>
    <w:rsid w:val="00C1382B"/>
    <w:rsid w:val="00C14410"/>
    <w:rsid w:val="00C14E8A"/>
    <w:rsid w:val="00C156F9"/>
    <w:rsid w:val="00C1594D"/>
    <w:rsid w:val="00C15E8E"/>
    <w:rsid w:val="00C166E2"/>
    <w:rsid w:val="00C27937"/>
    <w:rsid w:val="00C37A88"/>
    <w:rsid w:val="00C407DE"/>
    <w:rsid w:val="00C40A25"/>
    <w:rsid w:val="00C41334"/>
    <w:rsid w:val="00C43A73"/>
    <w:rsid w:val="00C43BA4"/>
    <w:rsid w:val="00C44EB8"/>
    <w:rsid w:val="00C45193"/>
    <w:rsid w:val="00C50A9C"/>
    <w:rsid w:val="00C53751"/>
    <w:rsid w:val="00C537EB"/>
    <w:rsid w:val="00C568FA"/>
    <w:rsid w:val="00C571C3"/>
    <w:rsid w:val="00C6505A"/>
    <w:rsid w:val="00C66AA0"/>
    <w:rsid w:val="00C671B9"/>
    <w:rsid w:val="00C6781C"/>
    <w:rsid w:val="00C67EDD"/>
    <w:rsid w:val="00C71D1A"/>
    <w:rsid w:val="00C72090"/>
    <w:rsid w:val="00C73DF7"/>
    <w:rsid w:val="00C73E8E"/>
    <w:rsid w:val="00C823C9"/>
    <w:rsid w:val="00C8315D"/>
    <w:rsid w:val="00C84336"/>
    <w:rsid w:val="00C85D07"/>
    <w:rsid w:val="00C9052F"/>
    <w:rsid w:val="00C906D2"/>
    <w:rsid w:val="00C953FD"/>
    <w:rsid w:val="00C95750"/>
    <w:rsid w:val="00C96B94"/>
    <w:rsid w:val="00CA2BC9"/>
    <w:rsid w:val="00CA45FC"/>
    <w:rsid w:val="00CA6DF3"/>
    <w:rsid w:val="00CA7EC7"/>
    <w:rsid w:val="00CB004B"/>
    <w:rsid w:val="00CB065E"/>
    <w:rsid w:val="00CB1855"/>
    <w:rsid w:val="00CB1BC8"/>
    <w:rsid w:val="00CB1EFB"/>
    <w:rsid w:val="00CB337D"/>
    <w:rsid w:val="00CB38CC"/>
    <w:rsid w:val="00CB3B00"/>
    <w:rsid w:val="00CB3CF7"/>
    <w:rsid w:val="00CB3E29"/>
    <w:rsid w:val="00CB4363"/>
    <w:rsid w:val="00CB4726"/>
    <w:rsid w:val="00CB476E"/>
    <w:rsid w:val="00CB4C28"/>
    <w:rsid w:val="00CB5DDB"/>
    <w:rsid w:val="00CB67EC"/>
    <w:rsid w:val="00CB7038"/>
    <w:rsid w:val="00CC0091"/>
    <w:rsid w:val="00CC074D"/>
    <w:rsid w:val="00CC218D"/>
    <w:rsid w:val="00CC309A"/>
    <w:rsid w:val="00CC5E3A"/>
    <w:rsid w:val="00CC6054"/>
    <w:rsid w:val="00CC66A1"/>
    <w:rsid w:val="00CC67CA"/>
    <w:rsid w:val="00CC6F77"/>
    <w:rsid w:val="00CC722A"/>
    <w:rsid w:val="00CD1AF6"/>
    <w:rsid w:val="00CD49F7"/>
    <w:rsid w:val="00CD4FB2"/>
    <w:rsid w:val="00CD7FD2"/>
    <w:rsid w:val="00CE20D1"/>
    <w:rsid w:val="00CE31B0"/>
    <w:rsid w:val="00CE58F9"/>
    <w:rsid w:val="00CE5CC4"/>
    <w:rsid w:val="00CE6863"/>
    <w:rsid w:val="00CE7270"/>
    <w:rsid w:val="00CF30ED"/>
    <w:rsid w:val="00CF4ECC"/>
    <w:rsid w:val="00CF63A4"/>
    <w:rsid w:val="00CF6CFD"/>
    <w:rsid w:val="00CF6F68"/>
    <w:rsid w:val="00D00940"/>
    <w:rsid w:val="00D01C55"/>
    <w:rsid w:val="00D029FA"/>
    <w:rsid w:val="00D043A7"/>
    <w:rsid w:val="00D07C8B"/>
    <w:rsid w:val="00D11308"/>
    <w:rsid w:val="00D11FC9"/>
    <w:rsid w:val="00D12071"/>
    <w:rsid w:val="00D12D02"/>
    <w:rsid w:val="00D16755"/>
    <w:rsid w:val="00D1722A"/>
    <w:rsid w:val="00D1735E"/>
    <w:rsid w:val="00D17F10"/>
    <w:rsid w:val="00D217FF"/>
    <w:rsid w:val="00D21B4F"/>
    <w:rsid w:val="00D21DDB"/>
    <w:rsid w:val="00D21F9D"/>
    <w:rsid w:val="00D2275B"/>
    <w:rsid w:val="00D22CD4"/>
    <w:rsid w:val="00D25006"/>
    <w:rsid w:val="00D27997"/>
    <w:rsid w:val="00D27DC1"/>
    <w:rsid w:val="00D326B3"/>
    <w:rsid w:val="00D328F3"/>
    <w:rsid w:val="00D33AB4"/>
    <w:rsid w:val="00D33D61"/>
    <w:rsid w:val="00D33E2A"/>
    <w:rsid w:val="00D415AB"/>
    <w:rsid w:val="00D4261D"/>
    <w:rsid w:val="00D42BE4"/>
    <w:rsid w:val="00D43009"/>
    <w:rsid w:val="00D47558"/>
    <w:rsid w:val="00D504BF"/>
    <w:rsid w:val="00D52E6D"/>
    <w:rsid w:val="00D53A31"/>
    <w:rsid w:val="00D5513C"/>
    <w:rsid w:val="00D56BBE"/>
    <w:rsid w:val="00D6084A"/>
    <w:rsid w:val="00D6141B"/>
    <w:rsid w:val="00D62CBD"/>
    <w:rsid w:val="00D62E8D"/>
    <w:rsid w:val="00D6587A"/>
    <w:rsid w:val="00D666B2"/>
    <w:rsid w:val="00D6675A"/>
    <w:rsid w:val="00D66BEA"/>
    <w:rsid w:val="00D67CDE"/>
    <w:rsid w:val="00D73C44"/>
    <w:rsid w:val="00D76EDC"/>
    <w:rsid w:val="00D77AB5"/>
    <w:rsid w:val="00D81674"/>
    <w:rsid w:val="00D84646"/>
    <w:rsid w:val="00D87439"/>
    <w:rsid w:val="00D908DB"/>
    <w:rsid w:val="00D915E4"/>
    <w:rsid w:val="00D92941"/>
    <w:rsid w:val="00D9339C"/>
    <w:rsid w:val="00D942DD"/>
    <w:rsid w:val="00DA0B10"/>
    <w:rsid w:val="00DA2213"/>
    <w:rsid w:val="00DA22BC"/>
    <w:rsid w:val="00DA2A4D"/>
    <w:rsid w:val="00DA38C9"/>
    <w:rsid w:val="00DA3EAD"/>
    <w:rsid w:val="00DA48F1"/>
    <w:rsid w:val="00DA4AD8"/>
    <w:rsid w:val="00DA5E0D"/>
    <w:rsid w:val="00DA6D04"/>
    <w:rsid w:val="00DA6E98"/>
    <w:rsid w:val="00DB112C"/>
    <w:rsid w:val="00DB17AE"/>
    <w:rsid w:val="00DB17BD"/>
    <w:rsid w:val="00DB3D78"/>
    <w:rsid w:val="00DB40A9"/>
    <w:rsid w:val="00DB49D6"/>
    <w:rsid w:val="00DB6107"/>
    <w:rsid w:val="00DB7D1E"/>
    <w:rsid w:val="00DC046D"/>
    <w:rsid w:val="00DC04F9"/>
    <w:rsid w:val="00DC070F"/>
    <w:rsid w:val="00DC2410"/>
    <w:rsid w:val="00DC4370"/>
    <w:rsid w:val="00DC4CB9"/>
    <w:rsid w:val="00DC681A"/>
    <w:rsid w:val="00DC69B2"/>
    <w:rsid w:val="00DD01B4"/>
    <w:rsid w:val="00DD365F"/>
    <w:rsid w:val="00DD3E17"/>
    <w:rsid w:val="00DD4883"/>
    <w:rsid w:val="00DD7401"/>
    <w:rsid w:val="00DE0967"/>
    <w:rsid w:val="00DE0D70"/>
    <w:rsid w:val="00DE0DFA"/>
    <w:rsid w:val="00DE1212"/>
    <w:rsid w:val="00DE270D"/>
    <w:rsid w:val="00DE44C0"/>
    <w:rsid w:val="00DE4E20"/>
    <w:rsid w:val="00DE59BD"/>
    <w:rsid w:val="00DE69FE"/>
    <w:rsid w:val="00DF00A7"/>
    <w:rsid w:val="00DF13EE"/>
    <w:rsid w:val="00DF28B2"/>
    <w:rsid w:val="00DF4B74"/>
    <w:rsid w:val="00DF649F"/>
    <w:rsid w:val="00DF6899"/>
    <w:rsid w:val="00DF793B"/>
    <w:rsid w:val="00E0465A"/>
    <w:rsid w:val="00E046FC"/>
    <w:rsid w:val="00E05FD1"/>
    <w:rsid w:val="00E066E3"/>
    <w:rsid w:val="00E113EE"/>
    <w:rsid w:val="00E11D92"/>
    <w:rsid w:val="00E15032"/>
    <w:rsid w:val="00E15367"/>
    <w:rsid w:val="00E1685F"/>
    <w:rsid w:val="00E176D3"/>
    <w:rsid w:val="00E20A08"/>
    <w:rsid w:val="00E21058"/>
    <w:rsid w:val="00E21307"/>
    <w:rsid w:val="00E21B08"/>
    <w:rsid w:val="00E230BD"/>
    <w:rsid w:val="00E23AAC"/>
    <w:rsid w:val="00E23FD9"/>
    <w:rsid w:val="00E2508C"/>
    <w:rsid w:val="00E268ED"/>
    <w:rsid w:val="00E26AEA"/>
    <w:rsid w:val="00E26BA4"/>
    <w:rsid w:val="00E278B6"/>
    <w:rsid w:val="00E27A44"/>
    <w:rsid w:val="00E308DD"/>
    <w:rsid w:val="00E30D65"/>
    <w:rsid w:val="00E34829"/>
    <w:rsid w:val="00E34B05"/>
    <w:rsid w:val="00E3586A"/>
    <w:rsid w:val="00E368EF"/>
    <w:rsid w:val="00E37395"/>
    <w:rsid w:val="00E40660"/>
    <w:rsid w:val="00E41D48"/>
    <w:rsid w:val="00E435B3"/>
    <w:rsid w:val="00E44ACB"/>
    <w:rsid w:val="00E47F76"/>
    <w:rsid w:val="00E50CB4"/>
    <w:rsid w:val="00E50E39"/>
    <w:rsid w:val="00E52768"/>
    <w:rsid w:val="00E52B33"/>
    <w:rsid w:val="00E532B5"/>
    <w:rsid w:val="00E548B2"/>
    <w:rsid w:val="00E55A62"/>
    <w:rsid w:val="00E55AB4"/>
    <w:rsid w:val="00E55FB4"/>
    <w:rsid w:val="00E5614C"/>
    <w:rsid w:val="00E60FC0"/>
    <w:rsid w:val="00E61406"/>
    <w:rsid w:val="00E63650"/>
    <w:rsid w:val="00E65FB1"/>
    <w:rsid w:val="00E70289"/>
    <w:rsid w:val="00E70474"/>
    <w:rsid w:val="00E71466"/>
    <w:rsid w:val="00E73178"/>
    <w:rsid w:val="00E80D3C"/>
    <w:rsid w:val="00E81CE3"/>
    <w:rsid w:val="00E8229A"/>
    <w:rsid w:val="00E840AC"/>
    <w:rsid w:val="00E84FE5"/>
    <w:rsid w:val="00E865B3"/>
    <w:rsid w:val="00E87739"/>
    <w:rsid w:val="00E92572"/>
    <w:rsid w:val="00E92ABC"/>
    <w:rsid w:val="00E937DD"/>
    <w:rsid w:val="00E94CCF"/>
    <w:rsid w:val="00EA0864"/>
    <w:rsid w:val="00EA0B71"/>
    <w:rsid w:val="00EA1B1D"/>
    <w:rsid w:val="00EA21FD"/>
    <w:rsid w:val="00EA2775"/>
    <w:rsid w:val="00EA3EA3"/>
    <w:rsid w:val="00EA4365"/>
    <w:rsid w:val="00EA51BD"/>
    <w:rsid w:val="00EA6594"/>
    <w:rsid w:val="00EA7D71"/>
    <w:rsid w:val="00EB13AA"/>
    <w:rsid w:val="00EB1854"/>
    <w:rsid w:val="00EB47C6"/>
    <w:rsid w:val="00EB5CC3"/>
    <w:rsid w:val="00EB653A"/>
    <w:rsid w:val="00EB6E83"/>
    <w:rsid w:val="00EB7DD1"/>
    <w:rsid w:val="00EC0CD0"/>
    <w:rsid w:val="00EC252D"/>
    <w:rsid w:val="00EC401D"/>
    <w:rsid w:val="00EC4A3C"/>
    <w:rsid w:val="00EC681A"/>
    <w:rsid w:val="00ED044F"/>
    <w:rsid w:val="00ED1F1B"/>
    <w:rsid w:val="00ED36CC"/>
    <w:rsid w:val="00ED3B1E"/>
    <w:rsid w:val="00ED4B90"/>
    <w:rsid w:val="00ED4E3B"/>
    <w:rsid w:val="00ED4E52"/>
    <w:rsid w:val="00EE03ED"/>
    <w:rsid w:val="00EE2A84"/>
    <w:rsid w:val="00EE4600"/>
    <w:rsid w:val="00EE63BB"/>
    <w:rsid w:val="00EE7869"/>
    <w:rsid w:val="00EF04AD"/>
    <w:rsid w:val="00EF0C57"/>
    <w:rsid w:val="00EF3F10"/>
    <w:rsid w:val="00EF4081"/>
    <w:rsid w:val="00EF4CF2"/>
    <w:rsid w:val="00EF516C"/>
    <w:rsid w:val="00EF59F3"/>
    <w:rsid w:val="00EF776C"/>
    <w:rsid w:val="00F006DE"/>
    <w:rsid w:val="00F01E7D"/>
    <w:rsid w:val="00F01F02"/>
    <w:rsid w:val="00F02030"/>
    <w:rsid w:val="00F03150"/>
    <w:rsid w:val="00F07C6B"/>
    <w:rsid w:val="00F11EF3"/>
    <w:rsid w:val="00F124DF"/>
    <w:rsid w:val="00F12867"/>
    <w:rsid w:val="00F14F5E"/>
    <w:rsid w:val="00F15A9E"/>
    <w:rsid w:val="00F16B24"/>
    <w:rsid w:val="00F17B75"/>
    <w:rsid w:val="00F20A86"/>
    <w:rsid w:val="00F21317"/>
    <w:rsid w:val="00F224E1"/>
    <w:rsid w:val="00F23C84"/>
    <w:rsid w:val="00F247D7"/>
    <w:rsid w:val="00F25CC5"/>
    <w:rsid w:val="00F3058F"/>
    <w:rsid w:val="00F3060C"/>
    <w:rsid w:val="00F30DD9"/>
    <w:rsid w:val="00F37A88"/>
    <w:rsid w:val="00F4012F"/>
    <w:rsid w:val="00F40C17"/>
    <w:rsid w:val="00F41E53"/>
    <w:rsid w:val="00F457F5"/>
    <w:rsid w:val="00F47849"/>
    <w:rsid w:val="00F505CE"/>
    <w:rsid w:val="00F51B8B"/>
    <w:rsid w:val="00F52730"/>
    <w:rsid w:val="00F55F22"/>
    <w:rsid w:val="00F56CFE"/>
    <w:rsid w:val="00F57A9C"/>
    <w:rsid w:val="00F62881"/>
    <w:rsid w:val="00F62E09"/>
    <w:rsid w:val="00F63D23"/>
    <w:rsid w:val="00F63FF1"/>
    <w:rsid w:val="00F650B5"/>
    <w:rsid w:val="00F6572D"/>
    <w:rsid w:val="00F65874"/>
    <w:rsid w:val="00F66E75"/>
    <w:rsid w:val="00F7022C"/>
    <w:rsid w:val="00F70363"/>
    <w:rsid w:val="00F713BC"/>
    <w:rsid w:val="00F722AD"/>
    <w:rsid w:val="00F74CCF"/>
    <w:rsid w:val="00F74CFF"/>
    <w:rsid w:val="00F74D3B"/>
    <w:rsid w:val="00F74D47"/>
    <w:rsid w:val="00F750C0"/>
    <w:rsid w:val="00F75EFC"/>
    <w:rsid w:val="00F7669B"/>
    <w:rsid w:val="00F76893"/>
    <w:rsid w:val="00F81C06"/>
    <w:rsid w:val="00F83A4B"/>
    <w:rsid w:val="00F84D46"/>
    <w:rsid w:val="00F85210"/>
    <w:rsid w:val="00F852C4"/>
    <w:rsid w:val="00F906E8"/>
    <w:rsid w:val="00F9223E"/>
    <w:rsid w:val="00F9265A"/>
    <w:rsid w:val="00F9288D"/>
    <w:rsid w:val="00F92E1F"/>
    <w:rsid w:val="00F96E85"/>
    <w:rsid w:val="00F97BB9"/>
    <w:rsid w:val="00F97BC5"/>
    <w:rsid w:val="00FA0BB8"/>
    <w:rsid w:val="00FA1E87"/>
    <w:rsid w:val="00FA418B"/>
    <w:rsid w:val="00FA49FF"/>
    <w:rsid w:val="00FA71E1"/>
    <w:rsid w:val="00FA761A"/>
    <w:rsid w:val="00FB17B0"/>
    <w:rsid w:val="00FB3861"/>
    <w:rsid w:val="00FB3B19"/>
    <w:rsid w:val="00FB47CF"/>
    <w:rsid w:val="00FB53EE"/>
    <w:rsid w:val="00FB573B"/>
    <w:rsid w:val="00FB6119"/>
    <w:rsid w:val="00FB69E3"/>
    <w:rsid w:val="00FC0556"/>
    <w:rsid w:val="00FC1F76"/>
    <w:rsid w:val="00FC3E55"/>
    <w:rsid w:val="00FC4D14"/>
    <w:rsid w:val="00FC512D"/>
    <w:rsid w:val="00FC5D82"/>
    <w:rsid w:val="00FC73CE"/>
    <w:rsid w:val="00FC7A57"/>
    <w:rsid w:val="00FD15CD"/>
    <w:rsid w:val="00FD2BB0"/>
    <w:rsid w:val="00FD3549"/>
    <w:rsid w:val="00FD44F3"/>
    <w:rsid w:val="00FD50AD"/>
    <w:rsid w:val="00FD51AF"/>
    <w:rsid w:val="00FE1040"/>
    <w:rsid w:val="00FE1574"/>
    <w:rsid w:val="00FE391E"/>
    <w:rsid w:val="00FE515E"/>
    <w:rsid w:val="00FE64EF"/>
    <w:rsid w:val="00FE67C7"/>
    <w:rsid w:val="00FE6881"/>
    <w:rsid w:val="00FE6EA8"/>
    <w:rsid w:val="00FE7524"/>
    <w:rsid w:val="00FF0A5C"/>
    <w:rsid w:val="00FF4842"/>
    <w:rsid w:val="00FF61D2"/>
    <w:rsid w:val="00FF64B2"/>
    <w:rsid w:val="00FF650C"/>
    <w:rsid w:val="00FF6EA1"/>
    <w:rsid w:val="00FF78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4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49"/>
    <w:rPr>
      <w:rFonts w:ascii="Arial" w:hAnsi="Arial"/>
    </w:rPr>
  </w:style>
  <w:style w:type="paragraph" w:styleId="Heading1">
    <w:name w:val="heading 1"/>
    <w:basedOn w:val="Normal"/>
    <w:next w:val="Normal"/>
    <w:link w:val="Heading1Char"/>
    <w:uiPriority w:val="9"/>
    <w:qFormat/>
    <w:rsid w:val="007507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07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3AB4"/>
    <w:pPr>
      <w:keepNext/>
      <w:keepLines/>
      <w:spacing w:before="200"/>
      <w:jc w:val="left"/>
      <w:outlineLvl w:val="2"/>
    </w:pPr>
    <w:rPr>
      <w:rFonts w:asciiTheme="majorHAnsi" w:eastAsiaTheme="majorEastAsia" w:hAnsiTheme="majorHAnsi" w:cstheme="majorBidi"/>
      <w:b/>
      <w:bCs/>
      <w:color w:val="4F81BD" w:themeColor="accent1"/>
      <w:spacing w:val="6"/>
      <w:sz w:val="18"/>
      <w:szCs w:val="18"/>
      <w:lang w:val="en-GB" w:eastAsia="en-GB"/>
    </w:rPr>
  </w:style>
  <w:style w:type="paragraph" w:styleId="Heading6">
    <w:name w:val="heading 6"/>
    <w:basedOn w:val="Normal"/>
    <w:next w:val="Normal"/>
    <w:link w:val="Heading6Char"/>
    <w:uiPriority w:val="9"/>
    <w:semiHidden/>
    <w:unhideWhenUsed/>
    <w:qFormat/>
    <w:rsid w:val="0074301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70474"/>
    <w:pPr>
      <w:keepNext/>
      <w:keepLines/>
      <w:spacing w:before="40"/>
      <w:jc w:val="left"/>
      <w:outlineLvl w:val="6"/>
    </w:pPr>
    <w:rPr>
      <w:rFonts w:asciiTheme="majorHAnsi" w:eastAsiaTheme="majorEastAsia" w:hAnsiTheme="majorHAnsi" w:cstheme="majorBidi"/>
      <w:i/>
      <w:iCs/>
      <w:color w:val="243F60" w:themeColor="accent1" w:themeShade="7F"/>
      <w:spacing w:val="6"/>
      <w:sz w:val="18"/>
      <w:szCs w:val="18"/>
      <w:lang w:val="en-GB" w:eastAsia="en-GB"/>
    </w:rPr>
  </w:style>
  <w:style w:type="paragraph" w:styleId="Heading9">
    <w:name w:val="heading 9"/>
    <w:basedOn w:val="Normal"/>
    <w:next w:val="Normal"/>
    <w:link w:val="Heading9Char"/>
    <w:uiPriority w:val="9"/>
    <w:semiHidden/>
    <w:unhideWhenUsed/>
    <w:qFormat/>
    <w:rsid w:val="00613C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0279"/>
    <w:pPr>
      <w:ind w:left="720"/>
      <w:contextualSpacing/>
    </w:pPr>
  </w:style>
  <w:style w:type="paragraph" w:styleId="Header">
    <w:name w:val="header"/>
    <w:basedOn w:val="Normal"/>
    <w:link w:val="HeaderChar"/>
    <w:unhideWhenUsed/>
    <w:rsid w:val="00AC0279"/>
    <w:pPr>
      <w:tabs>
        <w:tab w:val="center" w:pos="4513"/>
        <w:tab w:val="right" w:pos="9026"/>
      </w:tabs>
      <w:spacing w:line="240" w:lineRule="auto"/>
    </w:pPr>
  </w:style>
  <w:style w:type="character" w:customStyle="1" w:styleId="HeaderChar">
    <w:name w:val="Header Char"/>
    <w:basedOn w:val="DefaultParagraphFont"/>
    <w:link w:val="Header"/>
    <w:rsid w:val="00AC0279"/>
  </w:style>
  <w:style w:type="paragraph" w:styleId="Footer">
    <w:name w:val="footer"/>
    <w:basedOn w:val="Normal"/>
    <w:link w:val="FooterChar"/>
    <w:uiPriority w:val="99"/>
    <w:unhideWhenUsed/>
    <w:rsid w:val="00AC0279"/>
    <w:pPr>
      <w:tabs>
        <w:tab w:val="center" w:pos="4513"/>
        <w:tab w:val="right" w:pos="9026"/>
      </w:tabs>
      <w:spacing w:line="240" w:lineRule="auto"/>
    </w:pPr>
  </w:style>
  <w:style w:type="character" w:customStyle="1" w:styleId="FooterChar">
    <w:name w:val="Footer Char"/>
    <w:basedOn w:val="DefaultParagraphFont"/>
    <w:link w:val="Footer"/>
    <w:uiPriority w:val="99"/>
    <w:rsid w:val="00AC0279"/>
  </w:style>
  <w:style w:type="paragraph" w:styleId="FootnoteText">
    <w:name w:val="footnote text"/>
    <w:aliases w:val="Footnote Text Char Char,fn Char,ft"/>
    <w:basedOn w:val="Normal"/>
    <w:link w:val="FootnoteTextChar1"/>
    <w:autoRedefine/>
    <w:qFormat/>
    <w:rsid w:val="008900B6"/>
    <w:pPr>
      <w:spacing w:line="360" w:lineRule="auto"/>
    </w:pPr>
    <w:rPr>
      <w:rFonts w:ascii="Times New Roman" w:eastAsia="MS Mincho" w:hAnsi="Times New Roman" w:cs="Times New Roman"/>
      <w:bCs/>
      <w:sz w:val="24"/>
      <w:lang w:val="en-GB" w:eastAsia="en-GB"/>
    </w:rPr>
  </w:style>
  <w:style w:type="character" w:customStyle="1" w:styleId="FootnoteTextChar">
    <w:name w:val="Footnote Text Char"/>
    <w:aliases w:val="Footnote Text Char1 Char,Footnote Text Char Char Char,fn Char Char,ft Char"/>
    <w:basedOn w:val="DefaultParagraphFont"/>
    <w:rsid w:val="005844F4"/>
    <w:rPr>
      <w:sz w:val="20"/>
      <w:szCs w:val="20"/>
    </w:rPr>
  </w:style>
  <w:style w:type="character" w:styleId="FootnoteReference">
    <w:name w:val="footnote reference"/>
    <w:aliases w:val="ftref,Ref,de nota al pie"/>
    <w:rsid w:val="005844F4"/>
    <w:rPr>
      <w:rFonts w:ascii="Arial" w:hAnsi="Arial"/>
      <w:sz w:val="20"/>
      <w:vertAlign w:val="superscript"/>
    </w:rPr>
  </w:style>
  <w:style w:type="character" w:customStyle="1" w:styleId="FootnoteTextChar1">
    <w:name w:val="Footnote Text Char1"/>
    <w:aliases w:val="Footnote Text Char Char Char1,fn Char Char1,ft Char1"/>
    <w:link w:val="FootnoteText"/>
    <w:locked/>
    <w:rsid w:val="008900B6"/>
    <w:rPr>
      <w:rFonts w:ascii="Times New Roman" w:eastAsia="MS Mincho" w:hAnsi="Times New Roman" w:cs="Times New Roman"/>
      <w:bCs/>
      <w:sz w:val="24"/>
      <w:lang w:val="en-GB" w:eastAsia="en-GB"/>
    </w:rPr>
  </w:style>
  <w:style w:type="paragraph" w:styleId="BodyTextIndent2">
    <w:name w:val="Body Text Indent 2"/>
    <w:basedOn w:val="Normal"/>
    <w:link w:val="BodyTextIndent2Char"/>
    <w:rsid w:val="005844F4"/>
    <w:pPr>
      <w:spacing w:after="120" w:line="480" w:lineRule="auto"/>
      <w:ind w:left="283"/>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rsid w:val="005844F4"/>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682889"/>
  </w:style>
  <w:style w:type="numbering" w:styleId="111111">
    <w:name w:val="Outline List 2"/>
    <w:basedOn w:val="NoList"/>
    <w:rsid w:val="00EF4081"/>
    <w:pPr>
      <w:numPr>
        <w:numId w:val="1"/>
      </w:numPr>
    </w:pPr>
  </w:style>
  <w:style w:type="character" w:styleId="PageNumber">
    <w:name w:val="page number"/>
    <w:basedOn w:val="DefaultParagraphFont"/>
    <w:rsid w:val="00EF4081"/>
  </w:style>
  <w:style w:type="paragraph" w:styleId="BalloonText">
    <w:name w:val="Balloon Text"/>
    <w:basedOn w:val="Normal"/>
    <w:link w:val="BalloonTextChar"/>
    <w:uiPriority w:val="99"/>
    <w:semiHidden/>
    <w:unhideWhenUsed/>
    <w:rsid w:val="00952E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44"/>
    <w:rPr>
      <w:rFonts w:ascii="Tahoma" w:hAnsi="Tahoma" w:cs="Tahoma"/>
      <w:sz w:val="16"/>
      <w:szCs w:val="16"/>
    </w:rPr>
  </w:style>
  <w:style w:type="character" w:customStyle="1" w:styleId="Heading3Char">
    <w:name w:val="Heading 3 Char"/>
    <w:basedOn w:val="DefaultParagraphFont"/>
    <w:link w:val="Heading3"/>
    <w:uiPriority w:val="9"/>
    <w:rsid w:val="00D33AB4"/>
    <w:rPr>
      <w:rFonts w:asciiTheme="majorHAnsi" w:eastAsiaTheme="majorEastAsia" w:hAnsiTheme="majorHAnsi" w:cstheme="majorBidi"/>
      <w:b/>
      <w:bCs/>
      <w:color w:val="4F81BD" w:themeColor="accent1"/>
      <w:spacing w:val="6"/>
      <w:sz w:val="18"/>
      <w:szCs w:val="18"/>
      <w:lang w:val="en-GB" w:eastAsia="en-GB"/>
    </w:rPr>
  </w:style>
  <w:style w:type="character" w:styleId="Emphasis">
    <w:name w:val="Emphasis"/>
    <w:basedOn w:val="DefaultParagraphFont"/>
    <w:uiPriority w:val="20"/>
    <w:qFormat/>
    <w:rsid w:val="00D33AB4"/>
    <w:rPr>
      <w:i/>
      <w:iCs/>
    </w:rPr>
  </w:style>
  <w:style w:type="character" w:customStyle="1" w:styleId="apple-converted-space">
    <w:name w:val="apple-converted-space"/>
    <w:basedOn w:val="DefaultParagraphFont"/>
    <w:rsid w:val="00D33AB4"/>
  </w:style>
  <w:style w:type="paragraph" w:customStyle="1" w:styleId="footnote">
    <w:name w:val="footnote"/>
    <w:basedOn w:val="Normal"/>
    <w:link w:val="footnoteChar"/>
    <w:rsid w:val="00EC0CD0"/>
    <w:pPr>
      <w:jc w:val="left"/>
    </w:pPr>
    <w:rPr>
      <w:rFonts w:eastAsia="Times New Roman" w:cs="Times New Roman"/>
      <w:color w:val="000000"/>
      <w:spacing w:val="6"/>
      <w:sz w:val="18"/>
      <w:szCs w:val="18"/>
      <w:vertAlign w:val="subscript"/>
      <w:lang w:val="en-GB" w:eastAsia="en-GB"/>
    </w:rPr>
  </w:style>
  <w:style w:type="character" w:customStyle="1" w:styleId="footnoteChar">
    <w:name w:val="footnote Char"/>
    <w:link w:val="footnote"/>
    <w:rsid w:val="00EC0CD0"/>
    <w:rPr>
      <w:rFonts w:ascii="Arial" w:eastAsia="Times New Roman" w:hAnsi="Arial" w:cs="Times New Roman"/>
      <w:color w:val="000000"/>
      <w:spacing w:val="6"/>
      <w:sz w:val="18"/>
      <w:szCs w:val="18"/>
      <w:vertAlign w:val="subscript"/>
      <w:lang w:val="en-GB" w:eastAsia="en-GB"/>
    </w:rPr>
  </w:style>
  <w:style w:type="character" w:styleId="CommentReference">
    <w:name w:val="annotation reference"/>
    <w:basedOn w:val="DefaultParagraphFont"/>
    <w:uiPriority w:val="99"/>
    <w:semiHidden/>
    <w:unhideWhenUsed/>
    <w:rsid w:val="00EC0CD0"/>
    <w:rPr>
      <w:sz w:val="16"/>
      <w:szCs w:val="16"/>
    </w:rPr>
  </w:style>
  <w:style w:type="paragraph" w:styleId="CommentText">
    <w:name w:val="annotation text"/>
    <w:basedOn w:val="Normal"/>
    <w:link w:val="CommentTextChar"/>
    <w:uiPriority w:val="99"/>
    <w:semiHidden/>
    <w:unhideWhenUsed/>
    <w:rsid w:val="00EC0CD0"/>
    <w:pPr>
      <w:spacing w:line="240" w:lineRule="auto"/>
      <w:jc w:val="left"/>
    </w:pPr>
    <w:rPr>
      <w:rFonts w:eastAsia="Times New Roman" w:cs="Times New Roman"/>
      <w:color w:val="000000"/>
      <w:spacing w:val="6"/>
      <w:sz w:val="20"/>
      <w:szCs w:val="20"/>
      <w:lang w:val="en-GB" w:eastAsia="en-GB"/>
    </w:rPr>
  </w:style>
  <w:style w:type="character" w:customStyle="1" w:styleId="CommentTextChar">
    <w:name w:val="Comment Text Char"/>
    <w:basedOn w:val="DefaultParagraphFont"/>
    <w:link w:val="CommentText"/>
    <w:uiPriority w:val="99"/>
    <w:semiHidden/>
    <w:rsid w:val="00EC0CD0"/>
    <w:rPr>
      <w:rFonts w:ascii="Arial" w:eastAsia="Times New Roman" w:hAnsi="Arial" w:cs="Times New Roman"/>
      <w:color w:val="000000"/>
      <w:spacing w:val="6"/>
      <w:sz w:val="20"/>
      <w:szCs w:val="20"/>
      <w:lang w:val="en-GB" w:eastAsia="en-GB"/>
    </w:rPr>
  </w:style>
  <w:style w:type="table" w:styleId="TableGrid">
    <w:name w:val="Table Grid"/>
    <w:basedOn w:val="TableNormal"/>
    <w:uiPriority w:val="39"/>
    <w:rsid w:val="00EC0CD0"/>
    <w:pPr>
      <w:spacing w:after="200" w:line="276" w:lineRule="auto"/>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1_1"/>
    <w:basedOn w:val="ListParagraph"/>
    <w:link w:val="Heading11Char"/>
    <w:qFormat/>
    <w:rsid w:val="002451B4"/>
    <w:pPr>
      <w:numPr>
        <w:numId w:val="9"/>
      </w:numPr>
      <w:spacing w:line="300" w:lineRule="exact"/>
    </w:pPr>
    <w:rPr>
      <w:rFonts w:ascii="Arial Bold" w:hAnsi="Arial Bold" w:cs="Arial"/>
      <w:b/>
      <w:caps/>
      <w:szCs w:val="24"/>
      <w:lang w:val="en-GB"/>
    </w:rPr>
  </w:style>
  <w:style w:type="paragraph" w:customStyle="1" w:styleId="Heading22">
    <w:name w:val="Heading2_2"/>
    <w:basedOn w:val="Normal"/>
    <w:link w:val="Heading22Char"/>
    <w:qFormat/>
    <w:rsid w:val="00EF0C57"/>
    <w:pPr>
      <w:numPr>
        <w:ilvl w:val="1"/>
        <w:numId w:val="9"/>
      </w:numPr>
      <w:spacing w:line="360" w:lineRule="auto"/>
    </w:pPr>
    <w:rPr>
      <w:rFonts w:ascii="Times New Roman" w:hAnsi="Times New Roman" w:cs="Times New Roman"/>
      <w:b/>
      <w:sz w:val="24"/>
      <w:szCs w:val="24"/>
    </w:rPr>
  </w:style>
  <w:style w:type="character" w:customStyle="1" w:styleId="Heading11Char">
    <w:name w:val="Heading1_1 Char"/>
    <w:basedOn w:val="ListParagraphChar"/>
    <w:link w:val="Heading11"/>
    <w:rsid w:val="002451B4"/>
    <w:rPr>
      <w:rFonts w:ascii="Arial Bold" w:hAnsi="Arial Bold" w:cs="Arial"/>
      <w:b/>
      <w:caps/>
      <w:szCs w:val="24"/>
      <w:lang w:val="en-GB"/>
    </w:rPr>
  </w:style>
  <w:style w:type="paragraph" w:customStyle="1" w:styleId="Heading33">
    <w:name w:val="Heading 3_3"/>
    <w:basedOn w:val="ListParagraph"/>
    <w:link w:val="Heading33Char"/>
    <w:qFormat/>
    <w:rsid w:val="004265FC"/>
    <w:pPr>
      <w:numPr>
        <w:ilvl w:val="2"/>
        <w:numId w:val="9"/>
      </w:numPr>
      <w:spacing w:line="360" w:lineRule="auto"/>
    </w:pPr>
    <w:rPr>
      <w:rFonts w:cs="Arial"/>
      <w:b/>
      <w:szCs w:val="24"/>
      <w:lang w:val="en-GB"/>
    </w:rPr>
  </w:style>
  <w:style w:type="character" w:customStyle="1" w:styleId="Heading22Char">
    <w:name w:val="Heading2_2 Char"/>
    <w:basedOn w:val="DefaultParagraphFont"/>
    <w:link w:val="Heading22"/>
    <w:rsid w:val="00EF0C57"/>
    <w:rPr>
      <w:rFonts w:ascii="Times New Roman" w:hAnsi="Times New Roman" w:cs="Times New Roman"/>
      <w:b/>
      <w:sz w:val="24"/>
      <w:szCs w:val="24"/>
    </w:rPr>
  </w:style>
  <w:style w:type="paragraph" w:customStyle="1" w:styleId="Heading44">
    <w:name w:val="Heading 4_4"/>
    <w:basedOn w:val="ListParagraph"/>
    <w:link w:val="Heading44Char"/>
    <w:qFormat/>
    <w:rsid w:val="006F202C"/>
    <w:pPr>
      <w:numPr>
        <w:ilvl w:val="3"/>
        <w:numId w:val="9"/>
      </w:numPr>
      <w:spacing w:line="300" w:lineRule="exact"/>
    </w:pPr>
    <w:rPr>
      <w:rFonts w:cs="Arial"/>
      <w:b/>
      <w:szCs w:val="24"/>
      <w:lang w:val="en-GB"/>
    </w:rPr>
  </w:style>
  <w:style w:type="character" w:customStyle="1" w:styleId="Heading33Char">
    <w:name w:val="Heading 3_3 Char"/>
    <w:basedOn w:val="ListParagraphChar"/>
    <w:link w:val="Heading33"/>
    <w:rsid w:val="004265FC"/>
    <w:rPr>
      <w:rFonts w:ascii="Arial" w:hAnsi="Arial" w:cs="Arial"/>
      <w:b/>
      <w:szCs w:val="24"/>
      <w:lang w:val="en-GB"/>
    </w:rPr>
  </w:style>
  <w:style w:type="character" w:customStyle="1" w:styleId="Heading44Char">
    <w:name w:val="Heading 4_4 Char"/>
    <w:basedOn w:val="ListParagraphChar"/>
    <w:link w:val="Heading44"/>
    <w:rsid w:val="006F202C"/>
    <w:rPr>
      <w:rFonts w:ascii="Arial" w:hAnsi="Arial" w:cs="Arial"/>
      <w:b/>
      <w:szCs w:val="24"/>
      <w:lang w:val="en-GB"/>
    </w:rPr>
  </w:style>
  <w:style w:type="character" w:customStyle="1" w:styleId="Heading1Char">
    <w:name w:val="Heading 1 Char"/>
    <w:basedOn w:val="DefaultParagraphFont"/>
    <w:link w:val="Heading1"/>
    <w:uiPriority w:val="9"/>
    <w:rsid w:val="0075077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50777"/>
    <w:pPr>
      <w:spacing w:after="100"/>
    </w:pPr>
  </w:style>
  <w:style w:type="character" w:customStyle="1" w:styleId="Heading2Char">
    <w:name w:val="Heading 2 Char"/>
    <w:basedOn w:val="DefaultParagraphFont"/>
    <w:link w:val="Heading2"/>
    <w:uiPriority w:val="9"/>
    <w:rsid w:val="0075077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50777"/>
    <w:pPr>
      <w:spacing w:after="100"/>
      <w:ind w:left="220"/>
    </w:pPr>
  </w:style>
  <w:style w:type="paragraph" w:styleId="TOC3">
    <w:name w:val="toc 3"/>
    <w:basedOn w:val="Normal"/>
    <w:next w:val="Normal"/>
    <w:autoRedefine/>
    <w:uiPriority w:val="39"/>
    <w:unhideWhenUsed/>
    <w:rsid w:val="00750777"/>
    <w:pPr>
      <w:spacing w:after="100"/>
      <w:ind w:left="440"/>
    </w:pPr>
  </w:style>
  <w:style w:type="paragraph" w:styleId="TOC4">
    <w:name w:val="toc 4"/>
    <w:basedOn w:val="Normal"/>
    <w:next w:val="Normal"/>
    <w:autoRedefine/>
    <w:uiPriority w:val="39"/>
    <w:unhideWhenUsed/>
    <w:rsid w:val="00750777"/>
    <w:pPr>
      <w:spacing w:after="100"/>
      <w:ind w:left="660"/>
    </w:pPr>
  </w:style>
  <w:style w:type="character" w:styleId="Hyperlink">
    <w:name w:val="Hyperlink"/>
    <w:basedOn w:val="DefaultParagraphFont"/>
    <w:uiPriority w:val="99"/>
    <w:unhideWhenUsed/>
    <w:rsid w:val="00750777"/>
    <w:rPr>
      <w:color w:val="0000FF" w:themeColor="hyperlink"/>
      <w:u w:val="single"/>
    </w:rPr>
  </w:style>
  <w:style w:type="paragraph" w:customStyle="1" w:styleId="Appendices">
    <w:name w:val="Appendices"/>
    <w:basedOn w:val="Normal"/>
    <w:link w:val="AppendicesChar"/>
    <w:qFormat/>
    <w:rsid w:val="00522D4F"/>
    <w:pPr>
      <w:spacing w:line="300" w:lineRule="exact"/>
    </w:pPr>
    <w:rPr>
      <w:rFonts w:ascii="Arial Bold" w:eastAsia="Calibri" w:hAnsi="Arial Bold" w:cs="Arial"/>
      <w:b/>
      <w:caps/>
      <w:szCs w:val="24"/>
      <w:lang w:val="en-GB"/>
    </w:rPr>
  </w:style>
  <w:style w:type="paragraph" w:styleId="TOC5">
    <w:name w:val="toc 5"/>
    <w:basedOn w:val="Normal"/>
    <w:next w:val="Normal"/>
    <w:autoRedefine/>
    <w:uiPriority w:val="39"/>
    <w:unhideWhenUsed/>
    <w:rsid w:val="00540393"/>
    <w:pPr>
      <w:spacing w:after="100" w:line="276" w:lineRule="auto"/>
      <w:ind w:left="880"/>
      <w:jc w:val="left"/>
    </w:pPr>
    <w:rPr>
      <w:rFonts w:asciiTheme="minorHAnsi" w:eastAsiaTheme="minorEastAsia" w:hAnsiTheme="minorHAnsi"/>
      <w:lang w:eastAsia="en-ZA"/>
    </w:rPr>
  </w:style>
  <w:style w:type="character" w:customStyle="1" w:styleId="AppendicesChar">
    <w:name w:val="Appendices Char"/>
    <w:basedOn w:val="DefaultParagraphFont"/>
    <w:link w:val="Appendices"/>
    <w:rsid w:val="00522D4F"/>
    <w:rPr>
      <w:rFonts w:ascii="Arial Bold" w:eastAsia="Calibri" w:hAnsi="Arial Bold" w:cs="Arial"/>
      <w:b/>
      <w:caps/>
      <w:szCs w:val="24"/>
      <w:lang w:val="en-GB"/>
    </w:rPr>
  </w:style>
  <w:style w:type="paragraph" w:styleId="TOC6">
    <w:name w:val="toc 6"/>
    <w:basedOn w:val="Normal"/>
    <w:next w:val="Normal"/>
    <w:autoRedefine/>
    <w:uiPriority w:val="39"/>
    <w:unhideWhenUsed/>
    <w:rsid w:val="00540393"/>
    <w:pPr>
      <w:spacing w:after="100" w:line="276" w:lineRule="auto"/>
      <w:ind w:left="1100"/>
      <w:jc w:val="left"/>
    </w:pPr>
    <w:rPr>
      <w:rFonts w:asciiTheme="minorHAnsi" w:eastAsiaTheme="minorEastAsia" w:hAnsiTheme="minorHAnsi"/>
      <w:lang w:eastAsia="en-ZA"/>
    </w:rPr>
  </w:style>
  <w:style w:type="paragraph" w:styleId="TOC7">
    <w:name w:val="toc 7"/>
    <w:basedOn w:val="Normal"/>
    <w:next w:val="Normal"/>
    <w:autoRedefine/>
    <w:uiPriority w:val="39"/>
    <w:unhideWhenUsed/>
    <w:rsid w:val="00540393"/>
    <w:pPr>
      <w:spacing w:after="100" w:line="276" w:lineRule="auto"/>
      <w:ind w:left="1320"/>
      <w:jc w:val="left"/>
    </w:pPr>
    <w:rPr>
      <w:rFonts w:asciiTheme="minorHAnsi" w:eastAsiaTheme="minorEastAsia" w:hAnsiTheme="minorHAnsi"/>
      <w:lang w:eastAsia="en-ZA"/>
    </w:rPr>
  </w:style>
  <w:style w:type="paragraph" w:styleId="TOC8">
    <w:name w:val="toc 8"/>
    <w:basedOn w:val="Normal"/>
    <w:next w:val="Normal"/>
    <w:autoRedefine/>
    <w:uiPriority w:val="39"/>
    <w:unhideWhenUsed/>
    <w:rsid w:val="00540393"/>
    <w:pPr>
      <w:spacing w:after="100" w:line="276" w:lineRule="auto"/>
      <w:ind w:left="1540"/>
      <w:jc w:val="left"/>
    </w:pPr>
    <w:rPr>
      <w:rFonts w:asciiTheme="minorHAnsi" w:eastAsiaTheme="minorEastAsia" w:hAnsiTheme="minorHAnsi"/>
      <w:lang w:eastAsia="en-ZA"/>
    </w:rPr>
  </w:style>
  <w:style w:type="paragraph" w:styleId="TOC9">
    <w:name w:val="toc 9"/>
    <w:basedOn w:val="Normal"/>
    <w:next w:val="Normal"/>
    <w:autoRedefine/>
    <w:uiPriority w:val="39"/>
    <w:unhideWhenUsed/>
    <w:rsid w:val="00540393"/>
    <w:pPr>
      <w:spacing w:after="100" w:line="276" w:lineRule="auto"/>
      <w:ind w:left="1760"/>
      <w:jc w:val="left"/>
    </w:pPr>
    <w:rPr>
      <w:rFonts w:asciiTheme="minorHAnsi" w:eastAsiaTheme="minorEastAsia" w:hAnsiTheme="minorHAnsi"/>
      <w:lang w:eastAsia="en-ZA"/>
    </w:rPr>
  </w:style>
  <w:style w:type="paragraph" w:styleId="BodyText2">
    <w:name w:val="Body Text 2"/>
    <w:basedOn w:val="Normal"/>
    <w:link w:val="BodyText2Char"/>
    <w:uiPriority w:val="99"/>
    <w:unhideWhenUsed/>
    <w:rsid w:val="00F11EF3"/>
    <w:pPr>
      <w:spacing w:after="120" w:line="480" w:lineRule="auto"/>
    </w:pPr>
  </w:style>
  <w:style w:type="character" w:customStyle="1" w:styleId="BodyText2Char">
    <w:name w:val="Body Text 2 Char"/>
    <w:basedOn w:val="DefaultParagraphFont"/>
    <w:link w:val="BodyText2"/>
    <w:uiPriority w:val="99"/>
    <w:rsid w:val="00F11EF3"/>
    <w:rPr>
      <w:rFonts w:ascii="Arial" w:hAnsi="Arial"/>
    </w:rPr>
  </w:style>
  <w:style w:type="character" w:customStyle="1" w:styleId="Heading6Char">
    <w:name w:val="Heading 6 Char"/>
    <w:basedOn w:val="DefaultParagraphFont"/>
    <w:link w:val="Heading6"/>
    <w:uiPriority w:val="9"/>
    <w:semiHidden/>
    <w:rsid w:val="0074301F"/>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unhideWhenUsed/>
    <w:rsid w:val="0074301F"/>
    <w:pPr>
      <w:spacing w:line="240" w:lineRule="auto"/>
      <w:jc w:val="left"/>
    </w:pPr>
    <w:rPr>
      <w:rFonts w:eastAsia="Times New Roman"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74301F"/>
    <w:rPr>
      <w:rFonts w:ascii="Arial" w:eastAsia="Times New Roman" w:hAnsi="Arial" w:cs="Times New Roman"/>
      <w:color w:val="000000"/>
      <w:spacing w:val="6"/>
      <w:sz w:val="20"/>
      <w:szCs w:val="20"/>
      <w:lang w:val="en-GB" w:eastAsia="en-GB"/>
    </w:rPr>
  </w:style>
  <w:style w:type="paragraph" w:customStyle="1" w:styleId="Default">
    <w:name w:val="Default"/>
    <w:rsid w:val="00FF64B2"/>
    <w:pPr>
      <w:autoSpaceDE w:val="0"/>
      <w:autoSpaceDN w:val="0"/>
      <w:adjustRightInd w:val="0"/>
      <w:spacing w:line="240" w:lineRule="auto"/>
      <w:jc w:val="left"/>
    </w:pPr>
    <w:rPr>
      <w:rFonts w:ascii="Arial" w:hAnsi="Arial" w:cs="Arial"/>
      <w:color w:val="000000"/>
      <w:sz w:val="24"/>
      <w:szCs w:val="24"/>
    </w:rPr>
  </w:style>
  <w:style w:type="character" w:customStyle="1" w:styleId="Heading9Char">
    <w:name w:val="Heading 9 Char"/>
    <w:basedOn w:val="DefaultParagraphFont"/>
    <w:link w:val="Heading9"/>
    <w:uiPriority w:val="9"/>
    <w:semiHidden/>
    <w:rsid w:val="00613C3C"/>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970005"/>
    <w:pPr>
      <w:jc w:val="both"/>
    </w:pPr>
    <w:rPr>
      <w:rFonts w:eastAsia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970005"/>
    <w:rPr>
      <w:rFonts w:ascii="Arial" w:eastAsia="Times New Roman" w:hAnsi="Arial" w:cs="Times New Roman"/>
      <w:b/>
      <w:bCs/>
      <w:color w:val="000000"/>
      <w:spacing w:val="6"/>
      <w:sz w:val="20"/>
      <w:szCs w:val="20"/>
      <w:lang w:val="en-GB" w:eastAsia="en-GB"/>
    </w:rPr>
  </w:style>
  <w:style w:type="paragraph" w:styleId="Caption">
    <w:name w:val="caption"/>
    <w:basedOn w:val="Normal"/>
    <w:next w:val="Normal"/>
    <w:uiPriority w:val="35"/>
    <w:unhideWhenUsed/>
    <w:qFormat/>
    <w:rsid w:val="00542C8E"/>
    <w:rPr>
      <w:b/>
      <w:bCs/>
      <w:szCs w:val="18"/>
    </w:rPr>
  </w:style>
  <w:style w:type="paragraph" w:styleId="Revision">
    <w:name w:val="Revision"/>
    <w:hidden/>
    <w:uiPriority w:val="99"/>
    <w:semiHidden/>
    <w:rsid w:val="005E1A23"/>
    <w:pPr>
      <w:spacing w:line="240" w:lineRule="auto"/>
      <w:jc w:val="left"/>
    </w:pPr>
    <w:rPr>
      <w:rFonts w:ascii="Arial" w:hAnsi="Arial"/>
    </w:rPr>
  </w:style>
  <w:style w:type="paragraph" w:styleId="BodyText3">
    <w:name w:val="Body Text 3"/>
    <w:basedOn w:val="Normal"/>
    <w:link w:val="BodyText3Char"/>
    <w:uiPriority w:val="99"/>
    <w:semiHidden/>
    <w:unhideWhenUsed/>
    <w:rsid w:val="00E60FC0"/>
    <w:pPr>
      <w:spacing w:after="120"/>
    </w:pPr>
    <w:rPr>
      <w:sz w:val="16"/>
      <w:szCs w:val="16"/>
    </w:rPr>
  </w:style>
  <w:style w:type="character" w:customStyle="1" w:styleId="BodyText3Char">
    <w:name w:val="Body Text 3 Char"/>
    <w:basedOn w:val="DefaultParagraphFont"/>
    <w:link w:val="BodyText3"/>
    <w:uiPriority w:val="99"/>
    <w:semiHidden/>
    <w:rsid w:val="00E60FC0"/>
    <w:rPr>
      <w:rFonts w:ascii="Arial" w:hAnsi="Arial"/>
      <w:sz w:val="16"/>
      <w:szCs w:val="16"/>
    </w:rPr>
  </w:style>
  <w:style w:type="paragraph" w:styleId="NormalWeb">
    <w:name w:val="Normal (Web)"/>
    <w:basedOn w:val="Normal"/>
    <w:uiPriority w:val="99"/>
    <w:unhideWhenUsed/>
    <w:rsid w:val="0069691F"/>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customStyle="1" w:styleId="TableGrid1">
    <w:name w:val="Table Grid1"/>
    <w:basedOn w:val="TableNormal"/>
    <w:next w:val="TableGrid"/>
    <w:uiPriority w:val="39"/>
    <w:rsid w:val="00C50A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E0F42"/>
    <w:pPr>
      <w:spacing w:after="120"/>
    </w:pPr>
  </w:style>
  <w:style w:type="character" w:customStyle="1" w:styleId="BodyTextChar">
    <w:name w:val="Body Text Char"/>
    <w:basedOn w:val="DefaultParagraphFont"/>
    <w:link w:val="BodyText"/>
    <w:uiPriority w:val="99"/>
    <w:rsid w:val="006E0F42"/>
    <w:rPr>
      <w:rFonts w:ascii="Arial" w:hAnsi="Arial"/>
    </w:rPr>
  </w:style>
  <w:style w:type="character" w:customStyle="1" w:styleId="st">
    <w:name w:val="st"/>
    <w:basedOn w:val="DefaultParagraphFont"/>
    <w:rsid w:val="00992317"/>
  </w:style>
  <w:style w:type="character" w:customStyle="1" w:styleId="Heading7Char">
    <w:name w:val="Heading 7 Char"/>
    <w:basedOn w:val="DefaultParagraphFont"/>
    <w:link w:val="Heading7"/>
    <w:uiPriority w:val="9"/>
    <w:rsid w:val="00E70474"/>
    <w:rPr>
      <w:rFonts w:asciiTheme="majorHAnsi" w:eastAsiaTheme="majorEastAsia" w:hAnsiTheme="majorHAnsi" w:cstheme="majorBidi"/>
      <w:i/>
      <w:iCs/>
      <w:color w:val="243F60" w:themeColor="accent1" w:themeShade="7F"/>
      <w:spacing w:val="6"/>
      <w:sz w:val="18"/>
      <w:szCs w:val="18"/>
      <w:lang w:val="en-GB" w:eastAsia="en-GB"/>
    </w:rPr>
  </w:style>
  <w:style w:type="character" w:customStyle="1" w:styleId="tgc">
    <w:name w:val="_tgc"/>
    <w:basedOn w:val="DefaultParagraphFont"/>
    <w:rsid w:val="001B6A4B"/>
  </w:style>
  <w:style w:type="table" w:customStyle="1" w:styleId="GridTable4-Accent31">
    <w:name w:val="Grid Table 4 - Accent 31"/>
    <w:basedOn w:val="TableNormal"/>
    <w:uiPriority w:val="49"/>
    <w:rsid w:val="003956E3"/>
    <w:pPr>
      <w:spacing w:line="240" w:lineRule="auto"/>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2">
    <w:name w:val="A2"/>
    <w:uiPriority w:val="99"/>
    <w:rsid w:val="00660BFF"/>
    <w:rPr>
      <w:rFonts w:cs="Futura Bk BT"/>
      <w:color w:val="000000"/>
      <w:sz w:val="20"/>
      <w:szCs w:val="20"/>
    </w:rPr>
  </w:style>
  <w:style w:type="paragraph" w:styleId="NoSpacing">
    <w:name w:val="No Spacing"/>
    <w:uiPriority w:val="1"/>
    <w:qFormat/>
    <w:rsid w:val="00660BFF"/>
    <w:pPr>
      <w:spacing w:line="240" w:lineRule="auto"/>
    </w:pPr>
    <w:rPr>
      <w:rFonts w:ascii="Arial" w:eastAsia="Calibri" w:hAnsi="Arial" w:cs="Times New Roman"/>
    </w:rPr>
  </w:style>
  <w:style w:type="paragraph" w:customStyle="1" w:styleId="Listparagraph2">
    <w:name w:val="List paragraph 2"/>
    <w:basedOn w:val="Heading22"/>
    <w:link w:val="Listparagraph2Char"/>
    <w:qFormat/>
    <w:rsid w:val="00DF13EE"/>
    <w:rPr>
      <w:b w:val="0"/>
    </w:rPr>
  </w:style>
  <w:style w:type="paragraph" w:customStyle="1" w:styleId="Listparagraph3">
    <w:name w:val="List paragraph 3"/>
    <w:basedOn w:val="Heading33"/>
    <w:link w:val="Listparagraph3Char"/>
    <w:qFormat/>
    <w:rsid w:val="000665EA"/>
    <w:rPr>
      <w:rFonts w:ascii="Times New Roman" w:hAnsi="Times New Roman" w:cs="Times New Roman"/>
      <w:b w:val="0"/>
      <w:sz w:val="24"/>
    </w:rPr>
  </w:style>
  <w:style w:type="character" w:customStyle="1" w:styleId="Listparagraph2Char">
    <w:name w:val="List paragraph 2 Char"/>
    <w:basedOn w:val="Heading22Char"/>
    <w:link w:val="Listparagraph2"/>
    <w:rsid w:val="00DF13EE"/>
    <w:rPr>
      <w:rFonts w:ascii="Times New Roman" w:hAnsi="Times New Roman" w:cs="Times New Roman"/>
      <w:b w:val="0"/>
      <w:sz w:val="24"/>
      <w:szCs w:val="24"/>
    </w:rPr>
  </w:style>
  <w:style w:type="character" w:customStyle="1" w:styleId="Listparagraph3Char">
    <w:name w:val="List paragraph 3 Char"/>
    <w:basedOn w:val="Heading33Char"/>
    <w:link w:val="Listparagraph3"/>
    <w:rsid w:val="000665EA"/>
    <w:rPr>
      <w:rFonts w:ascii="Times New Roman" w:hAnsi="Times New Roman" w:cs="Times New Roman"/>
      <w:b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49"/>
    <w:rPr>
      <w:rFonts w:ascii="Arial" w:hAnsi="Arial"/>
    </w:rPr>
  </w:style>
  <w:style w:type="paragraph" w:styleId="Heading1">
    <w:name w:val="heading 1"/>
    <w:basedOn w:val="Normal"/>
    <w:next w:val="Normal"/>
    <w:link w:val="Heading1Char"/>
    <w:uiPriority w:val="9"/>
    <w:qFormat/>
    <w:rsid w:val="007507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07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3AB4"/>
    <w:pPr>
      <w:keepNext/>
      <w:keepLines/>
      <w:spacing w:before="200"/>
      <w:jc w:val="left"/>
      <w:outlineLvl w:val="2"/>
    </w:pPr>
    <w:rPr>
      <w:rFonts w:asciiTheme="majorHAnsi" w:eastAsiaTheme="majorEastAsia" w:hAnsiTheme="majorHAnsi" w:cstheme="majorBidi"/>
      <w:b/>
      <w:bCs/>
      <w:color w:val="4F81BD" w:themeColor="accent1"/>
      <w:spacing w:val="6"/>
      <w:sz w:val="18"/>
      <w:szCs w:val="18"/>
      <w:lang w:val="en-GB" w:eastAsia="en-GB"/>
    </w:rPr>
  </w:style>
  <w:style w:type="paragraph" w:styleId="Heading6">
    <w:name w:val="heading 6"/>
    <w:basedOn w:val="Normal"/>
    <w:next w:val="Normal"/>
    <w:link w:val="Heading6Char"/>
    <w:uiPriority w:val="9"/>
    <w:semiHidden/>
    <w:unhideWhenUsed/>
    <w:qFormat/>
    <w:rsid w:val="0074301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70474"/>
    <w:pPr>
      <w:keepNext/>
      <w:keepLines/>
      <w:spacing w:before="40"/>
      <w:jc w:val="left"/>
      <w:outlineLvl w:val="6"/>
    </w:pPr>
    <w:rPr>
      <w:rFonts w:asciiTheme="majorHAnsi" w:eastAsiaTheme="majorEastAsia" w:hAnsiTheme="majorHAnsi" w:cstheme="majorBidi"/>
      <w:i/>
      <w:iCs/>
      <w:color w:val="243F60" w:themeColor="accent1" w:themeShade="7F"/>
      <w:spacing w:val="6"/>
      <w:sz w:val="18"/>
      <w:szCs w:val="18"/>
      <w:lang w:val="en-GB" w:eastAsia="en-GB"/>
    </w:rPr>
  </w:style>
  <w:style w:type="paragraph" w:styleId="Heading9">
    <w:name w:val="heading 9"/>
    <w:basedOn w:val="Normal"/>
    <w:next w:val="Normal"/>
    <w:link w:val="Heading9Char"/>
    <w:uiPriority w:val="9"/>
    <w:semiHidden/>
    <w:unhideWhenUsed/>
    <w:qFormat/>
    <w:rsid w:val="00613C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0279"/>
    <w:pPr>
      <w:ind w:left="720"/>
      <w:contextualSpacing/>
    </w:pPr>
  </w:style>
  <w:style w:type="paragraph" w:styleId="Header">
    <w:name w:val="header"/>
    <w:basedOn w:val="Normal"/>
    <w:link w:val="HeaderChar"/>
    <w:unhideWhenUsed/>
    <w:rsid w:val="00AC0279"/>
    <w:pPr>
      <w:tabs>
        <w:tab w:val="center" w:pos="4513"/>
        <w:tab w:val="right" w:pos="9026"/>
      </w:tabs>
      <w:spacing w:line="240" w:lineRule="auto"/>
    </w:pPr>
  </w:style>
  <w:style w:type="character" w:customStyle="1" w:styleId="HeaderChar">
    <w:name w:val="Header Char"/>
    <w:basedOn w:val="DefaultParagraphFont"/>
    <w:link w:val="Header"/>
    <w:rsid w:val="00AC0279"/>
  </w:style>
  <w:style w:type="paragraph" w:styleId="Footer">
    <w:name w:val="footer"/>
    <w:basedOn w:val="Normal"/>
    <w:link w:val="FooterChar"/>
    <w:uiPriority w:val="99"/>
    <w:unhideWhenUsed/>
    <w:rsid w:val="00AC0279"/>
    <w:pPr>
      <w:tabs>
        <w:tab w:val="center" w:pos="4513"/>
        <w:tab w:val="right" w:pos="9026"/>
      </w:tabs>
      <w:spacing w:line="240" w:lineRule="auto"/>
    </w:pPr>
  </w:style>
  <w:style w:type="character" w:customStyle="1" w:styleId="FooterChar">
    <w:name w:val="Footer Char"/>
    <w:basedOn w:val="DefaultParagraphFont"/>
    <w:link w:val="Footer"/>
    <w:uiPriority w:val="99"/>
    <w:rsid w:val="00AC0279"/>
  </w:style>
  <w:style w:type="paragraph" w:styleId="FootnoteText">
    <w:name w:val="footnote text"/>
    <w:aliases w:val="Footnote Text Char Char,fn Char,ft"/>
    <w:basedOn w:val="Normal"/>
    <w:link w:val="FootnoteTextChar1"/>
    <w:autoRedefine/>
    <w:qFormat/>
    <w:rsid w:val="008900B6"/>
    <w:pPr>
      <w:spacing w:line="360" w:lineRule="auto"/>
    </w:pPr>
    <w:rPr>
      <w:rFonts w:ascii="Times New Roman" w:eastAsia="MS Mincho" w:hAnsi="Times New Roman" w:cs="Times New Roman"/>
      <w:bCs/>
      <w:sz w:val="24"/>
      <w:lang w:val="en-GB" w:eastAsia="en-GB"/>
    </w:rPr>
  </w:style>
  <w:style w:type="character" w:customStyle="1" w:styleId="FootnoteTextChar">
    <w:name w:val="Footnote Text Char"/>
    <w:aliases w:val="Footnote Text Char1 Char,Footnote Text Char Char Char,fn Char Char,ft Char"/>
    <w:basedOn w:val="DefaultParagraphFont"/>
    <w:rsid w:val="005844F4"/>
    <w:rPr>
      <w:sz w:val="20"/>
      <w:szCs w:val="20"/>
    </w:rPr>
  </w:style>
  <w:style w:type="character" w:styleId="FootnoteReference">
    <w:name w:val="footnote reference"/>
    <w:aliases w:val="ftref,Ref,de nota al pie"/>
    <w:rsid w:val="005844F4"/>
    <w:rPr>
      <w:rFonts w:ascii="Arial" w:hAnsi="Arial"/>
      <w:sz w:val="20"/>
      <w:vertAlign w:val="superscript"/>
    </w:rPr>
  </w:style>
  <w:style w:type="character" w:customStyle="1" w:styleId="FootnoteTextChar1">
    <w:name w:val="Footnote Text Char1"/>
    <w:aliases w:val="Footnote Text Char Char Char1,fn Char Char1,ft Char1"/>
    <w:link w:val="FootnoteText"/>
    <w:locked/>
    <w:rsid w:val="008900B6"/>
    <w:rPr>
      <w:rFonts w:ascii="Times New Roman" w:eastAsia="MS Mincho" w:hAnsi="Times New Roman" w:cs="Times New Roman"/>
      <w:bCs/>
      <w:sz w:val="24"/>
      <w:lang w:val="en-GB" w:eastAsia="en-GB"/>
    </w:rPr>
  </w:style>
  <w:style w:type="paragraph" w:styleId="BodyTextIndent2">
    <w:name w:val="Body Text Indent 2"/>
    <w:basedOn w:val="Normal"/>
    <w:link w:val="BodyTextIndent2Char"/>
    <w:rsid w:val="005844F4"/>
    <w:pPr>
      <w:spacing w:after="120" w:line="480" w:lineRule="auto"/>
      <w:ind w:left="283"/>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rsid w:val="005844F4"/>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682889"/>
  </w:style>
  <w:style w:type="numbering" w:styleId="111111">
    <w:name w:val="Outline List 2"/>
    <w:basedOn w:val="NoList"/>
    <w:rsid w:val="00EF4081"/>
    <w:pPr>
      <w:numPr>
        <w:numId w:val="1"/>
      </w:numPr>
    </w:pPr>
  </w:style>
  <w:style w:type="character" w:styleId="PageNumber">
    <w:name w:val="page number"/>
    <w:basedOn w:val="DefaultParagraphFont"/>
    <w:rsid w:val="00EF4081"/>
  </w:style>
  <w:style w:type="paragraph" w:styleId="BalloonText">
    <w:name w:val="Balloon Text"/>
    <w:basedOn w:val="Normal"/>
    <w:link w:val="BalloonTextChar"/>
    <w:uiPriority w:val="99"/>
    <w:semiHidden/>
    <w:unhideWhenUsed/>
    <w:rsid w:val="00952E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44"/>
    <w:rPr>
      <w:rFonts w:ascii="Tahoma" w:hAnsi="Tahoma" w:cs="Tahoma"/>
      <w:sz w:val="16"/>
      <w:szCs w:val="16"/>
    </w:rPr>
  </w:style>
  <w:style w:type="character" w:customStyle="1" w:styleId="Heading3Char">
    <w:name w:val="Heading 3 Char"/>
    <w:basedOn w:val="DefaultParagraphFont"/>
    <w:link w:val="Heading3"/>
    <w:uiPriority w:val="9"/>
    <w:rsid w:val="00D33AB4"/>
    <w:rPr>
      <w:rFonts w:asciiTheme="majorHAnsi" w:eastAsiaTheme="majorEastAsia" w:hAnsiTheme="majorHAnsi" w:cstheme="majorBidi"/>
      <w:b/>
      <w:bCs/>
      <w:color w:val="4F81BD" w:themeColor="accent1"/>
      <w:spacing w:val="6"/>
      <w:sz w:val="18"/>
      <w:szCs w:val="18"/>
      <w:lang w:val="en-GB" w:eastAsia="en-GB"/>
    </w:rPr>
  </w:style>
  <w:style w:type="character" w:styleId="Emphasis">
    <w:name w:val="Emphasis"/>
    <w:basedOn w:val="DefaultParagraphFont"/>
    <w:uiPriority w:val="20"/>
    <w:qFormat/>
    <w:rsid w:val="00D33AB4"/>
    <w:rPr>
      <w:i/>
      <w:iCs/>
    </w:rPr>
  </w:style>
  <w:style w:type="character" w:customStyle="1" w:styleId="apple-converted-space">
    <w:name w:val="apple-converted-space"/>
    <w:basedOn w:val="DefaultParagraphFont"/>
    <w:rsid w:val="00D33AB4"/>
  </w:style>
  <w:style w:type="paragraph" w:customStyle="1" w:styleId="footnote">
    <w:name w:val="footnote"/>
    <w:basedOn w:val="Normal"/>
    <w:link w:val="footnoteChar"/>
    <w:rsid w:val="00EC0CD0"/>
    <w:pPr>
      <w:jc w:val="left"/>
    </w:pPr>
    <w:rPr>
      <w:rFonts w:eastAsia="Times New Roman" w:cs="Times New Roman"/>
      <w:color w:val="000000"/>
      <w:spacing w:val="6"/>
      <w:sz w:val="18"/>
      <w:szCs w:val="18"/>
      <w:vertAlign w:val="subscript"/>
      <w:lang w:val="en-GB" w:eastAsia="en-GB"/>
    </w:rPr>
  </w:style>
  <w:style w:type="character" w:customStyle="1" w:styleId="footnoteChar">
    <w:name w:val="footnote Char"/>
    <w:link w:val="footnote"/>
    <w:rsid w:val="00EC0CD0"/>
    <w:rPr>
      <w:rFonts w:ascii="Arial" w:eastAsia="Times New Roman" w:hAnsi="Arial" w:cs="Times New Roman"/>
      <w:color w:val="000000"/>
      <w:spacing w:val="6"/>
      <w:sz w:val="18"/>
      <w:szCs w:val="18"/>
      <w:vertAlign w:val="subscript"/>
      <w:lang w:val="en-GB" w:eastAsia="en-GB"/>
    </w:rPr>
  </w:style>
  <w:style w:type="character" w:styleId="CommentReference">
    <w:name w:val="annotation reference"/>
    <w:basedOn w:val="DefaultParagraphFont"/>
    <w:uiPriority w:val="99"/>
    <w:semiHidden/>
    <w:unhideWhenUsed/>
    <w:rsid w:val="00EC0CD0"/>
    <w:rPr>
      <w:sz w:val="16"/>
      <w:szCs w:val="16"/>
    </w:rPr>
  </w:style>
  <w:style w:type="paragraph" w:styleId="CommentText">
    <w:name w:val="annotation text"/>
    <w:basedOn w:val="Normal"/>
    <w:link w:val="CommentTextChar"/>
    <w:uiPriority w:val="99"/>
    <w:semiHidden/>
    <w:unhideWhenUsed/>
    <w:rsid w:val="00EC0CD0"/>
    <w:pPr>
      <w:spacing w:line="240" w:lineRule="auto"/>
      <w:jc w:val="left"/>
    </w:pPr>
    <w:rPr>
      <w:rFonts w:eastAsia="Times New Roman" w:cs="Times New Roman"/>
      <w:color w:val="000000"/>
      <w:spacing w:val="6"/>
      <w:sz w:val="20"/>
      <w:szCs w:val="20"/>
      <w:lang w:val="en-GB" w:eastAsia="en-GB"/>
    </w:rPr>
  </w:style>
  <w:style w:type="character" w:customStyle="1" w:styleId="CommentTextChar">
    <w:name w:val="Comment Text Char"/>
    <w:basedOn w:val="DefaultParagraphFont"/>
    <w:link w:val="CommentText"/>
    <w:uiPriority w:val="99"/>
    <w:semiHidden/>
    <w:rsid w:val="00EC0CD0"/>
    <w:rPr>
      <w:rFonts w:ascii="Arial" w:eastAsia="Times New Roman" w:hAnsi="Arial" w:cs="Times New Roman"/>
      <w:color w:val="000000"/>
      <w:spacing w:val="6"/>
      <w:sz w:val="20"/>
      <w:szCs w:val="20"/>
      <w:lang w:val="en-GB" w:eastAsia="en-GB"/>
    </w:rPr>
  </w:style>
  <w:style w:type="table" w:styleId="TableGrid">
    <w:name w:val="Table Grid"/>
    <w:basedOn w:val="TableNormal"/>
    <w:uiPriority w:val="39"/>
    <w:rsid w:val="00EC0CD0"/>
    <w:pPr>
      <w:spacing w:after="200" w:line="276" w:lineRule="auto"/>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1_1"/>
    <w:basedOn w:val="ListParagraph"/>
    <w:link w:val="Heading11Char"/>
    <w:qFormat/>
    <w:rsid w:val="002451B4"/>
    <w:pPr>
      <w:numPr>
        <w:numId w:val="9"/>
      </w:numPr>
      <w:spacing w:line="300" w:lineRule="exact"/>
    </w:pPr>
    <w:rPr>
      <w:rFonts w:ascii="Arial Bold" w:hAnsi="Arial Bold" w:cs="Arial"/>
      <w:b/>
      <w:caps/>
      <w:szCs w:val="24"/>
      <w:lang w:val="en-GB"/>
    </w:rPr>
  </w:style>
  <w:style w:type="paragraph" w:customStyle="1" w:styleId="Heading22">
    <w:name w:val="Heading2_2"/>
    <w:basedOn w:val="Normal"/>
    <w:link w:val="Heading22Char"/>
    <w:qFormat/>
    <w:rsid w:val="00EF0C57"/>
    <w:pPr>
      <w:numPr>
        <w:ilvl w:val="1"/>
        <w:numId w:val="9"/>
      </w:numPr>
      <w:spacing w:line="360" w:lineRule="auto"/>
    </w:pPr>
    <w:rPr>
      <w:rFonts w:ascii="Times New Roman" w:hAnsi="Times New Roman" w:cs="Times New Roman"/>
      <w:b/>
      <w:sz w:val="24"/>
      <w:szCs w:val="24"/>
    </w:rPr>
  </w:style>
  <w:style w:type="character" w:customStyle="1" w:styleId="Heading11Char">
    <w:name w:val="Heading1_1 Char"/>
    <w:basedOn w:val="ListParagraphChar"/>
    <w:link w:val="Heading11"/>
    <w:rsid w:val="002451B4"/>
    <w:rPr>
      <w:rFonts w:ascii="Arial Bold" w:hAnsi="Arial Bold" w:cs="Arial"/>
      <w:b/>
      <w:caps/>
      <w:szCs w:val="24"/>
      <w:lang w:val="en-GB"/>
    </w:rPr>
  </w:style>
  <w:style w:type="paragraph" w:customStyle="1" w:styleId="Heading33">
    <w:name w:val="Heading 3_3"/>
    <w:basedOn w:val="ListParagraph"/>
    <w:link w:val="Heading33Char"/>
    <w:qFormat/>
    <w:rsid w:val="004265FC"/>
    <w:pPr>
      <w:numPr>
        <w:ilvl w:val="2"/>
        <w:numId w:val="9"/>
      </w:numPr>
      <w:spacing w:line="360" w:lineRule="auto"/>
    </w:pPr>
    <w:rPr>
      <w:rFonts w:cs="Arial"/>
      <w:b/>
      <w:szCs w:val="24"/>
      <w:lang w:val="en-GB"/>
    </w:rPr>
  </w:style>
  <w:style w:type="character" w:customStyle="1" w:styleId="Heading22Char">
    <w:name w:val="Heading2_2 Char"/>
    <w:basedOn w:val="DefaultParagraphFont"/>
    <w:link w:val="Heading22"/>
    <w:rsid w:val="00EF0C57"/>
    <w:rPr>
      <w:rFonts w:ascii="Times New Roman" w:hAnsi="Times New Roman" w:cs="Times New Roman"/>
      <w:b/>
      <w:sz w:val="24"/>
      <w:szCs w:val="24"/>
    </w:rPr>
  </w:style>
  <w:style w:type="paragraph" w:customStyle="1" w:styleId="Heading44">
    <w:name w:val="Heading 4_4"/>
    <w:basedOn w:val="ListParagraph"/>
    <w:link w:val="Heading44Char"/>
    <w:qFormat/>
    <w:rsid w:val="006F202C"/>
    <w:pPr>
      <w:numPr>
        <w:ilvl w:val="3"/>
        <w:numId w:val="9"/>
      </w:numPr>
      <w:spacing w:line="300" w:lineRule="exact"/>
    </w:pPr>
    <w:rPr>
      <w:rFonts w:cs="Arial"/>
      <w:b/>
      <w:szCs w:val="24"/>
      <w:lang w:val="en-GB"/>
    </w:rPr>
  </w:style>
  <w:style w:type="character" w:customStyle="1" w:styleId="Heading33Char">
    <w:name w:val="Heading 3_3 Char"/>
    <w:basedOn w:val="ListParagraphChar"/>
    <w:link w:val="Heading33"/>
    <w:rsid w:val="004265FC"/>
    <w:rPr>
      <w:rFonts w:ascii="Arial" w:hAnsi="Arial" w:cs="Arial"/>
      <w:b/>
      <w:szCs w:val="24"/>
      <w:lang w:val="en-GB"/>
    </w:rPr>
  </w:style>
  <w:style w:type="character" w:customStyle="1" w:styleId="Heading44Char">
    <w:name w:val="Heading 4_4 Char"/>
    <w:basedOn w:val="ListParagraphChar"/>
    <w:link w:val="Heading44"/>
    <w:rsid w:val="006F202C"/>
    <w:rPr>
      <w:rFonts w:ascii="Arial" w:hAnsi="Arial" w:cs="Arial"/>
      <w:b/>
      <w:szCs w:val="24"/>
      <w:lang w:val="en-GB"/>
    </w:rPr>
  </w:style>
  <w:style w:type="character" w:customStyle="1" w:styleId="Heading1Char">
    <w:name w:val="Heading 1 Char"/>
    <w:basedOn w:val="DefaultParagraphFont"/>
    <w:link w:val="Heading1"/>
    <w:uiPriority w:val="9"/>
    <w:rsid w:val="0075077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50777"/>
    <w:pPr>
      <w:spacing w:after="100"/>
    </w:pPr>
  </w:style>
  <w:style w:type="character" w:customStyle="1" w:styleId="Heading2Char">
    <w:name w:val="Heading 2 Char"/>
    <w:basedOn w:val="DefaultParagraphFont"/>
    <w:link w:val="Heading2"/>
    <w:uiPriority w:val="9"/>
    <w:rsid w:val="0075077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50777"/>
    <w:pPr>
      <w:spacing w:after="100"/>
      <w:ind w:left="220"/>
    </w:pPr>
  </w:style>
  <w:style w:type="paragraph" w:styleId="TOC3">
    <w:name w:val="toc 3"/>
    <w:basedOn w:val="Normal"/>
    <w:next w:val="Normal"/>
    <w:autoRedefine/>
    <w:uiPriority w:val="39"/>
    <w:unhideWhenUsed/>
    <w:rsid w:val="00750777"/>
    <w:pPr>
      <w:spacing w:after="100"/>
      <w:ind w:left="440"/>
    </w:pPr>
  </w:style>
  <w:style w:type="paragraph" w:styleId="TOC4">
    <w:name w:val="toc 4"/>
    <w:basedOn w:val="Normal"/>
    <w:next w:val="Normal"/>
    <w:autoRedefine/>
    <w:uiPriority w:val="39"/>
    <w:unhideWhenUsed/>
    <w:rsid w:val="00750777"/>
    <w:pPr>
      <w:spacing w:after="100"/>
      <w:ind w:left="660"/>
    </w:pPr>
  </w:style>
  <w:style w:type="character" w:styleId="Hyperlink">
    <w:name w:val="Hyperlink"/>
    <w:basedOn w:val="DefaultParagraphFont"/>
    <w:uiPriority w:val="99"/>
    <w:unhideWhenUsed/>
    <w:rsid w:val="00750777"/>
    <w:rPr>
      <w:color w:val="0000FF" w:themeColor="hyperlink"/>
      <w:u w:val="single"/>
    </w:rPr>
  </w:style>
  <w:style w:type="paragraph" w:customStyle="1" w:styleId="Appendices">
    <w:name w:val="Appendices"/>
    <w:basedOn w:val="Normal"/>
    <w:link w:val="AppendicesChar"/>
    <w:qFormat/>
    <w:rsid w:val="00522D4F"/>
    <w:pPr>
      <w:spacing w:line="300" w:lineRule="exact"/>
    </w:pPr>
    <w:rPr>
      <w:rFonts w:ascii="Arial Bold" w:eastAsia="Calibri" w:hAnsi="Arial Bold" w:cs="Arial"/>
      <w:b/>
      <w:caps/>
      <w:szCs w:val="24"/>
      <w:lang w:val="en-GB"/>
    </w:rPr>
  </w:style>
  <w:style w:type="paragraph" w:styleId="TOC5">
    <w:name w:val="toc 5"/>
    <w:basedOn w:val="Normal"/>
    <w:next w:val="Normal"/>
    <w:autoRedefine/>
    <w:uiPriority w:val="39"/>
    <w:unhideWhenUsed/>
    <w:rsid w:val="00540393"/>
    <w:pPr>
      <w:spacing w:after="100" w:line="276" w:lineRule="auto"/>
      <w:ind w:left="880"/>
      <w:jc w:val="left"/>
    </w:pPr>
    <w:rPr>
      <w:rFonts w:asciiTheme="minorHAnsi" w:eastAsiaTheme="minorEastAsia" w:hAnsiTheme="minorHAnsi"/>
      <w:lang w:eastAsia="en-ZA"/>
    </w:rPr>
  </w:style>
  <w:style w:type="character" w:customStyle="1" w:styleId="AppendicesChar">
    <w:name w:val="Appendices Char"/>
    <w:basedOn w:val="DefaultParagraphFont"/>
    <w:link w:val="Appendices"/>
    <w:rsid w:val="00522D4F"/>
    <w:rPr>
      <w:rFonts w:ascii="Arial Bold" w:eastAsia="Calibri" w:hAnsi="Arial Bold" w:cs="Arial"/>
      <w:b/>
      <w:caps/>
      <w:szCs w:val="24"/>
      <w:lang w:val="en-GB"/>
    </w:rPr>
  </w:style>
  <w:style w:type="paragraph" w:styleId="TOC6">
    <w:name w:val="toc 6"/>
    <w:basedOn w:val="Normal"/>
    <w:next w:val="Normal"/>
    <w:autoRedefine/>
    <w:uiPriority w:val="39"/>
    <w:unhideWhenUsed/>
    <w:rsid w:val="00540393"/>
    <w:pPr>
      <w:spacing w:after="100" w:line="276" w:lineRule="auto"/>
      <w:ind w:left="1100"/>
      <w:jc w:val="left"/>
    </w:pPr>
    <w:rPr>
      <w:rFonts w:asciiTheme="minorHAnsi" w:eastAsiaTheme="minorEastAsia" w:hAnsiTheme="minorHAnsi"/>
      <w:lang w:eastAsia="en-ZA"/>
    </w:rPr>
  </w:style>
  <w:style w:type="paragraph" w:styleId="TOC7">
    <w:name w:val="toc 7"/>
    <w:basedOn w:val="Normal"/>
    <w:next w:val="Normal"/>
    <w:autoRedefine/>
    <w:uiPriority w:val="39"/>
    <w:unhideWhenUsed/>
    <w:rsid w:val="00540393"/>
    <w:pPr>
      <w:spacing w:after="100" w:line="276" w:lineRule="auto"/>
      <w:ind w:left="1320"/>
      <w:jc w:val="left"/>
    </w:pPr>
    <w:rPr>
      <w:rFonts w:asciiTheme="minorHAnsi" w:eastAsiaTheme="minorEastAsia" w:hAnsiTheme="minorHAnsi"/>
      <w:lang w:eastAsia="en-ZA"/>
    </w:rPr>
  </w:style>
  <w:style w:type="paragraph" w:styleId="TOC8">
    <w:name w:val="toc 8"/>
    <w:basedOn w:val="Normal"/>
    <w:next w:val="Normal"/>
    <w:autoRedefine/>
    <w:uiPriority w:val="39"/>
    <w:unhideWhenUsed/>
    <w:rsid w:val="00540393"/>
    <w:pPr>
      <w:spacing w:after="100" w:line="276" w:lineRule="auto"/>
      <w:ind w:left="1540"/>
      <w:jc w:val="left"/>
    </w:pPr>
    <w:rPr>
      <w:rFonts w:asciiTheme="minorHAnsi" w:eastAsiaTheme="minorEastAsia" w:hAnsiTheme="minorHAnsi"/>
      <w:lang w:eastAsia="en-ZA"/>
    </w:rPr>
  </w:style>
  <w:style w:type="paragraph" w:styleId="TOC9">
    <w:name w:val="toc 9"/>
    <w:basedOn w:val="Normal"/>
    <w:next w:val="Normal"/>
    <w:autoRedefine/>
    <w:uiPriority w:val="39"/>
    <w:unhideWhenUsed/>
    <w:rsid w:val="00540393"/>
    <w:pPr>
      <w:spacing w:after="100" w:line="276" w:lineRule="auto"/>
      <w:ind w:left="1760"/>
      <w:jc w:val="left"/>
    </w:pPr>
    <w:rPr>
      <w:rFonts w:asciiTheme="minorHAnsi" w:eastAsiaTheme="minorEastAsia" w:hAnsiTheme="minorHAnsi"/>
      <w:lang w:eastAsia="en-ZA"/>
    </w:rPr>
  </w:style>
  <w:style w:type="paragraph" w:styleId="BodyText2">
    <w:name w:val="Body Text 2"/>
    <w:basedOn w:val="Normal"/>
    <w:link w:val="BodyText2Char"/>
    <w:uiPriority w:val="99"/>
    <w:unhideWhenUsed/>
    <w:rsid w:val="00F11EF3"/>
    <w:pPr>
      <w:spacing w:after="120" w:line="480" w:lineRule="auto"/>
    </w:pPr>
  </w:style>
  <w:style w:type="character" w:customStyle="1" w:styleId="BodyText2Char">
    <w:name w:val="Body Text 2 Char"/>
    <w:basedOn w:val="DefaultParagraphFont"/>
    <w:link w:val="BodyText2"/>
    <w:uiPriority w:val="99"/>
    <w:rsid w:val="00F11EF3"/>
    <w:rPr>
      <w:rFonts w:ascii="Arial" w:hAnsi="Arial"/>
    </w:rPr>
  </w:style>
  <w:style w:type="character" w:customStyle="1" w:styleId="Heading6Char">
    <w:name w:val="Heading 6 Char"/>
    <w:basedOn w:val="DefaultParagraphFont"/>
    <w:link w:val="Heading6"/>
    <w:uiPriority w:val="9"/>
    <w:semiHidden/>
    <w:rsid w:val="0074301F"/>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unhideWhenUsed/>
    <w:rsid w:val="0074301F"/>
    <w:pPr>
      <w:spacing w:line="240" w:lineRule="auto"/>
      <w:jc w:val="left"/>
    </w:pPr>
    <w:rPr>
      <w:rFonts w:eastAsia="Times New Roman"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74301F"/>
    <w:rPr>
      <w:rFonts w:ascii="Arial" w:eastAsia="Times New Roman" w:hAnsi="Arial" w:cs="Times New Roman"/>
      <w:color w:val="000000"/>
      <w:spacing w:val="6"/>
      <w:sz w:val="20"/>
      <w:szCs w:val="20"/>
      <w:lang w:val="en-GB" w:eastAsia="en-GB"/>
    </w:rPr>
  </w:style>
  <w:style w:type="paragraph" w:customStyle="1" w:styleId="Default">
    <w:name w:val="Default"/>
    <w:rsid w:val="00FF64B2"/>
    <w:pPr>
      <w:autoSpaceDE w:val="0"/>
      <w:autoSpaceDN w:val="0"/>
      <w:adjustRightInd w:val="0"/>
      <w:spacing w:line="240" w:lineRule="auto"/>
      <w:jc w:val="left"/>
    </w:pPr>
    <w:rPr>
      <w:rFonts w:ascii="Arial" w:hAnsi="Arial" w:cs="Arial"/>
      <w:color w:val="000000"/>
      <w:sz w:val="24"/>
      <w:szCs w:val="24"/>
    </w:rPr>
  </w:style>
  <w:style w:type="character" w:customStyle="1" w:styleId="Heading9Char">
    <w:name w:val="Heading 9 Char"/>
    <w:basedOn w:val="DefaultParagraphFont"/>
    <w:link w:val="Heading9"/>
    <w:uiPriority w:val="9"/>
    <w:semiHidden/>
    <w:rsid w:val="00613C3C"/>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970005"/>
    <w:pPr>
      <w:jc w:val="both"/>
    </w:pPr>
    <w:rPr>
      <w:rFonts w:eastAsia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970005"/>
    <w:rPr>
      <w:rFonts w:ascii="Arial" w:eastAsia="Times New Roman" w:hAnsi="Arial" w:cs="Times New Roman"/>
      <w:b/>
      <w:bCs/>
      <w:color w:val="000000"/>
      <w:spacing w:val="6"/>
      <w:sz w:val="20"/>
      <w:szCs w:val="20"/>
      <w:lang w:val="en-GB" w:eastAsia="en-GB"/>
    </w:rPr>
  </w:style>
  <w:style w:type="paragraph" w:styleId="Caption">
    <w:name w:val="caption"/>
    <w:basedOn w:val="Normal"/>
    <w:next w:val="Normal"/>
    <w:uiPriority w:val="35"/>
    <w:unhideWhenUsed/>
    <w:qFormat/>
    <w:rsid w:val="00542C8E"/>
    <w:rPr>
      <w:b/>
      <w:bCs/>
      <w:szCs w:val="18"/>
    </w:rPr>
  </w:style>
  <w:style w:type="paragraph" w:styleId="Revision">
    <w:name w:val="Revision"/>
    <w:hidden/>
    <w:uiPriority w:val="99"/>
    <w:semiHidden/>
    <w:rsid w:val="005E1A23"/>
    <w:pPr>
      <w:spacing w:line="240" w:lineRule="auto"/>
      <w:jc w:val="left"/>
    </w:pPr>
    <w:rPr>
      <w:rFonts w:ascii="Arial" w:hAnsi="Arial"/>
    </w:rPr>
  </w:style>
  <w:style w:type="paragraph" w:styleId="BodyText3">
    <w:name w:val="Body Text 3"/>
    <w:basedOn w:val="Normal"/>
    <w:link w:val="BodyText3Char"/>
    <w:uiPriority w:val="99"/>
    <w:semiHidden/>
    <w:unhideWhenUsed/>
    <w:rsid w:val="00E60FC0"/>
    <w:pPr>
      <w:spacing w:after="120"/>
    </w:pPr>
    <w:rPr>
      <w:sz w:val="16"/>
      <w:szCs w:val="16"/>
    </w:rPr>
  </w:style>
  <w:style w:type="character" w:customStyle="1" w:styleId="BodyText3Char">
    <w:name w:val="Body Text 3 Char"/>
    <w:basedOn w:val="DefaultParagraphFont"/>
    <w:link w:val="BodyText3"/>
    <w:uiPriority w:val="99"/>
    <w:semiHidden/>
    <w:rsid w:val="00E60FC0"/>
    <w:rPr>
      <w:rFonts w:ascii="Arial" w:hAnsi="Arial"/>
      <w:sz w:val="16"/>
      <w:szCs w:val="16"/>
    </w:rPr>
  </w:style>
  <w:style w:type="paragraph" w:styleId="NormalWeb">
    <w:name w:val="Normal (Web)"/>
    <w:basedOn w:val="Normal"/>
    <w:uiPriority w:val="99"/>
    <w:unhideWhenUsed/>
    <w:rsid w:val="0069691F"/>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customStyle="1" w:styleId="TableGrid1">
    <w:name w:val="Table Grid1"/>
    <w:basedOn w:val="TableNormal"/>
    <w:next w:val="TableGrid"/>
    <w:uiPriority w:val="39"/>
    <w:rsid w:val="00C50A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E0F42"/>
    <w:pPr>
      <w:spacing w:after="120"/>
    </w:pPr>
  </w:style>
  <w:style w:type="character" w:customStyle="1" w:styleId="BodyTextChar">
    <w:name w:val="Body Text Char"/>
    <w:basedOn w:val="DefaultParagraphFont"/>
    <w:link w:val="BodyText"/>
    <w:uiPriority w:val="99"/>
    <w:rsid w:val="006E0F42"/>
    <w:rPr>
      <w:rFonts w:ascii="Arial" w:hAnsi="Arial"/>
    </w:rPr>
  </w:style>
  <w:style w:type="character" w:customStyle="1" w:styleId="st">
    <w:name w:val="st"/>
    <w:basedOn w:val="DefaultParagraphFont"/>
    <w:rsid w:val="00992317"/>
  </w:style>
  <w:style w:type="character" w:customStyle="1" w:styleId="Heading7Char">
    <w:name w:val="Heading 7 Char"/>
    <w:basedOn w:val="DefaultParagraphFont"/>
    <w:link w:val="Heading7"/>
    <w:uiPriority w:val="9"/>
    <w:rsid w:val="00E70474"/>
    <w:rPr>
      <w:rFonts w:asciiTheme="majorHAnsi" w:eastAsiaTheme="majorEastAsia" w:hAnsiTheme="majorHAnsi" w:cstheme="majorBidi"/>
      <w:i/>
      <w:iCs/>
      <w:color w:val="243F60" w:themeColor="accent1" w:themeShade="7F"/>
      <w:spacing w:val="6"/>
      <w:sz w:val="18"/>
      <w:szCs w:val="18"/>
      <w:lang w:val="en-GB" w:eastAsia="en-GB"/>
    </w:rPr>
  </w:style>
  <w:style w:type="character" w:customStyle="1" w:styleId="tgc">
    <w:name w:val="_tgc"/>
    <w:basedOn w:val="DefaultParagraphFont"/>
    <w:rsid w:val="001B6A4B"/>
  </w:style>
  <w:style w:type="table" w:customStyle="1" w:styleId="GridTable4-Accent31">
    <w:name w:val="Grid Table 4 - Accent 31"/>
    <w:basedOn w:val="TableNormal"/>
    <w:uiPriority w:val="49"/>
    <w:rsid w:val="003956E3"/>
    <w:pPr>
      <w:spacing w:line="240" w:lineRule="auto"/>
      <w:jc w:val="left"/>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2">
    <w:name w:val="A2"/>
    <w:uiPriority w:val="99"/>
    <w:rsid w:val="00660BFF"/>
    <w:rPr>
      <w:rFonts w:cs="Futura Bk BT"/>
      <w:color w:val="000000"/>
      <w:sz w:val="20"/>
      <w:szCs w:val="20"/>
    </w:rPr>
  </w:style>
  <w:style w:type="paragraph" w:styleId="NoSpacing">
    <w:name w:val="No Spacing"/>
    <w:uiPriority w:val="1"/>
    <w:qFormat/>
    <w:rsid w:val="00660BFF"/>
    <w:pPr>
      <w:spacing w:line="240" w:lineRule="auto"/>
    </w:pPr>
    <w:rPr>
      <w:rFonts w:ascii="Arial" w:eastAsia="Calibri" w:hAnsi="Arial" w:cs="Times New Roman"/>
    </w:rPr>
  </w:style>
  <w:style w:type="paragraph" w:customStyle="1" w:styleId="Listparagraph2">
    <w:name w:val="List paragraph 2"/>
    <w:basedOn w:val="Heading22"/>
    <w:link w:val="Listparagraph2Char"/>
    <w:qFormat/>
    <w:rsid w:val="00DF13EE"/>
    <w:rPr>
      <w:b w:val="0"/>
    </w:rPr>
  </w:style>
  <w:style w:type="paragraph" w:customStyle="1" w:styleId="Listparagraph3">
    <w:name w:val="List paragraph 3"/>
    <w:basedOn w:val="Heading33"/>
    <w:link w:val="Listparagraph3Char"/>
    <w:qFormat/>
    <w:rsid w:val="000665EA"/>
    <w:rPr>
      <w:rFonts w:ascii="Times New Roman" w:hAnsi="Times New Roman" w:cs="Times New Roman"/>
      <w:b w:val="0"/>
      <w:sz w:val="24"/>
    </w:rPr>
  </w:style>
  <w:style w:type="character" w:customStyle="1" w:styleId="Listparagraph2Char">
    <w:name w:val="List paragraph 2 Char"/>
    <w:basedOn w:val="Heading22Char"/>
    <w:link w:val="Listparagraph2"/>
    <w:rsid w:val="00DF13EE"/>
    <w:rPr>
      <w:rFonts w:ascii="Times New Roman" w:hAnsi="Times New Roman" w:cs="Times New Roman"/>
      <w:b w:val="0"/>
      <w:sz w:val="24"/>
      <w:szCs w:val="24"/>
    </w:rPr>
  </w:style>
  <w:style w:type="character" w:customStyle="1" w:styleId="Listparagraph3Char">
    <w:name w:val="List paragraph 3 Char"/>
    <w:basedOn w:val="Heading33Char"/>
    <w:link w:val="Listparagraph3"/>
    <w:rsid w:val="000665EA"/>
    <w:rPr>
      <w:rFonts w:ascii="Times New Roman" w:hAnsi="Times New Roman" w:cs="Times New Roman"/>
      <w:b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50">
      <w:bodyDiv w:val="1"/>
      <w:marLeft w:val="0"/>
      <w:marRight w:val="0"/>
      <w:marTop w:val="0"/>
      <w:marBottom w:val="0"/>
      <w:divBdr>
        <w:top w:val="none" w:sz="0" w:space="0" w:color="auto"/>
        <w:left w:val="none" w:sz="0" w:space="0" w:color="auto"/>
        <w:bottom w:val="none" w:sz="0" w:space="0" w:color="auto"/>
        <w:right w:val="none" w:sz="0" w:space="0" w:color="auto"/>
      </w:divBdr>
    </w:div>
    <w:div w:id="15624046">
      <w:bodyDiv w:val="1"/>
      <w:marLeft w:val="0"/>
      <w:marRight w:val="0"/>
      <w:marTop w:val="0"/>
      <w:marBottom w:val="0"/>
      <w:divBdr>
        <w:top w:val="none" w:sz="0" w:space="0" w:color="auto"/>
        <w:left w:val="none" w:sz="0" w:space="0" w:color="auto"/>
        <w:bottom w:val="none" w:sz="0" w:space="0" w:color="auto"/>
        <w:right w:val="none" w:sz="0" w:space="0" w:color="auto"/>
      </w:divBdr>
    </w:div>
    <w:div w:id="19749611">
      <w:bodyDiv w:val="1"/>
      <w:marLeft w:val="0"/>
      <w:marRight w:val="0"/>
      <w:marTop w:val="0"/>
      <w:marBottom w:val="0"/>
      <w:divBdr>
        <w:top w:val="none" w:sz="0" w:space="0" w:color="auto"/>
        <w:left w:val="none" w:sz="0" w:space="0" w:color="auto"/>
        <w:bottom w:val="none" w:sz="0" w:space="0" w:color="auto"/>
        <w:right w:val="none" w:sz="0" w:space="0" w:color="auto"/>
      </w:divBdr>
    </w:div>
    <w:div w:id="36901907">
      <w:bodyDiv w:val="1"/>
      <w:marLeft w:val="0"/>
      <w:marRight w:val="0"/>
      <w:marTop w:val="0"/>
      <w:marBottom w:val="0"/>
      <w:divBdr>
        <w:top w:val="none" w:sz="0" w:space="0" w:color="auto"/>
        <w:left w:val="none" w:sz="0" w:space="0" w:color="auto"/>
        <w:bottom w:val="none" w:sz="0" w:space="0" w:color="auto"/>
        <w:right w:val="none" w:sz="0" w:space="0" w:color="auto"/>
      </w:divBdr>
    </w:div>
    <w:div w:id="75323491">
      <w:bodyDiv w:val="1"/>
      <w:marLeft w:val="0"/>
      <w:marRight w:val="0"/>
      <w:marTop w:val="0"/>
      <w:marBottom w:val="0"/>
      <w:divBdr>
        <w:top w:val="none" w:sz="0" w:space="0" w:color="auto"/>
        <w:left w:val="none" w:sz="0" w:space="0" w:color="auto"/>
        <w:bottom w:val="none" w:sz="0" w:space="0" w:color="auto"/>
        <w:right w:val="none" w:sz="0" w:space="0" w:color="auto"/>
      </w:divBdr>
      <w:divsChild>
        <w:div w:id="959725916">
          <w:marLeft w:val="547"/>
          <w:marRight w:val="0"/>
          <w:marTop w:val="96"/>
          <w:marBottom w:val="0"/>
          <w:divBdr>
            <w:top w:val="none" w:sz="0" w:space="0" w:color="auto"/>
            <w:left w:val="none" w:sz="0" w:space="0" w:color="auto"/>
            <w:bottom w:val="none" w:sz="0" w:space="0" w:color="auto"/>
            <w:right w:val="none" w:sz="0" w:space="0" w:color="auto"/>
          </w:divBdr>
        </w:div>
        <w:div w:id="1745105856">
          <w:marLeft w:val="547"/>
          <w:marRight w:val="0"/>
          <w:marTop w:val="96"/>
          <w:marBottom w:val="0"/>
          <w:divBdr>
            <w:top w:val="none" w:sz="0" w:space="0" w:color="auto"/>
            <w:left w:val="none" w:sz="0" w:space="0" w:color="auto"/>
            <w:bottom w:val="none" w:sz="0" w:space="0" w:color="auto"/>
            <w:right w:val="none" w:sz="0" w:space="0" w:color="auto"/>
          </w:divBdr>
        </w:div>
        <w:div w:id="1063481018">
          <w:marLeft w:val="547"/>
          <w:marRight w:val="0"/>
          <w:marTop w:val="96"/>
          <w:marBottom w:val="0"/>
          <w:divBdr>
            <w:top w:val="none" w:sz="0" w:space="0" w:color="auto"/>
            <w:left w:val="none" w:sz="0" w:space="0" w:color="auto"/>
            <w:bottom w:val="none" w:sz="0" w:space="0" w:color="auto"/>
            <w:right w:val="none" w:sz="0" w:space="0" w:color="auto"/>
          </w:divBdr>
        </w:div>
      </w:divsChild>
    </w:div>
    <w:div w:id="89860219">
      <w:bodyDiv w:val="1"/>
      <w:marLeft w:val="0"/>
      <w:marRight w:val="0"/>
      <w:marTop w:val="0"/>
      <w:marBottom w:val="0"/>
      <w:divBdr>
        <w:top w:val="none" w:sz="0" w:space="0" w:color="auto"/>
        <w:left w:val="none" w:sz="0" w:space="0" w:color="auto"/>
        <w:bottom w:val="none" w:sz="0" w:space="0" w:color="auto"/>
        <w:right w:val="none" w:sz="0" w:space="0" w:color="auto"/>
      </w:divBdr>
      <w:divsChild>
        <w:div w:id="1182863855">
          <w:marLeft w:val="850"/>
          <w:marRight w:val="0"/>
          <w:marTop w:val="0"/>
          <w:marBottom w:val="0"/>
          <w:divBdr>
            <w:top w:val="none" w:sz="0" w:space="0" w:color="auto"/>
            <w:left w:val="none" w:sz="0" w:space="0" w:color="auto"/>
            <w:bottom w:val="none" w:sz="0" w:space="0" w:color="auto"/>
            <w:right w:val="none" w:sz="0" w:space="0" w:color="auto"/>
          </w:divBdr>
        </w:div>
      </w:divsChild>
    </w:div>
    <w:div w:id="103230977">
      <w:bodyDiv w:val="1"/>
      <w:marLeft w:val="0"/>
      <w:marRight w:val="0"/>
      <w:marTop w:val="0"/>
      <w:marBottom w:val="0"/>
      <w:divBdr>
        <w:top w:val="none" w:sz="0" w:space="0" w:color="auto"/>
        <w:left w:val="none" w:sz="0" w:space="0" w:color="auto"/>
        <w:bottom w:val="none" w:sz="0" w:space="0" w:color="auto"/>
        <w:right w:val="none" w:sz="0" w:space="0" w:color="auto"/>
      </w:divBdr>
      <w:divsChild>
        <w:div w:id="788358230">
          <w:marLeft w:val="562"/>
          <w:marRight w:val="0"/>
          <w:marTop w:val="0"/>
          <w:marBottom w:val="0"/>
          <w:divBdr>
            <w:top w:val="none" w:sz="0" w:space="0" w:color="auto"/>
            <w:left w:val="none" w:sz="0" w:space="0" w:color="auto"/>
            <w:bottom w:val="none" w:sz="0" w:space="0" w:color="auto"/>
            <w:right w:val="none" w:sz="0" w:space="0" w:color="auto"/>
          </w:divBdr>
        </w:div>
        <w:div w:id="1670061801">
          <w:marLeft w:val="562"/>
          <w:marRight w:val="0"/>
          <w:marTop w:val="0"/>
          <w:marBottom w:val="0"/>
          <w:divBdr>
            <w:top w:val="none" w:sz="0" w:space="0" w:color="auto"/>
            <w:left w:val="none" w:sz="0" w:space="0" w:color="auto"/>
            <w:bottom w:val="none" w:sz="0" w:space="0" w:color="auto"/>
            <w:right w:val="none" w:sz="0" w:space="0" w:color="auto"/>
          </w:divBdr>
        </w:div>
        <w:div w:id="1537618823">
          <w:marLeft w:val="562"/>
          <w:marRight w:val="0"/>
          <w:marTop w:val="0"/>
          <w:marBottom w:val="0"/>
          <w:divBdr>
            <w:top w:val="none" w:sz="0" w:space="0" w:color="auto"/>
            <w:left w:val="none" w:sz="0" w:space="0" w:color="auto"/>
            <w:bottom w:val="none" w:sz="0" w:space="0" w:color="auto"/>
            <w:right w:val="none" w:sz="0" w:space="0" w:color="auto"/>
          </w:divBdr>
        </w:div>
        <w:div w:id="1818692567">
          <w:marLeft w:val="562"/>
          <w:marRight w:val="0"/>
          <w:marTop w:val="0"/>
          <w:marBottom w:val="0"/>
          <w:divBdr>
            <w:top w:val="none" w:sz="0" w:space="0" w:color="auto"/>
            <w:left w:val="none" w:sz="0" w:space="0" w:color="auto"/>
            <w:bottom w:val="none" w:sz="0" w:space="0" w:color="auto"/>
            <w:right w:val="none" w:sz="0" w:space="0" w:color="auto"/>
          </w:divBdr>
        </w:div>
        <w:div w:id="938290200">
          <w:marLeft w:val="562"/>
          <w:marRight w:val="0"/>
          <w:marTop w:val="0"/>
          <w:marBottom w:val="0"/>
          <w:divBdr>
            <w:top w:val="none" w:sz="0" w:space="0" w:color="auto"/>
            <w:left w:val="none" w:sz="0" w:space="0" w:color="auto"/>
            <w:bottom w:val="none" w:sz="0" w:space="0" w:color="auto"/>
            <w:right w:val="none" w:sz="0" w:space="0" w:color="auto"/>
          </w:divBdr>
        </w:div>
        <w:div w:id="392196207">
          <w:marLeft w:val="547"/>
          <w:marRight w:val="0"/>
          <w:marTop w:val="0"/>
          <w:marBottom w:val="0"/>
          <w:divBdr>
            <w:top w:val="none" w:sz="0" w:space="0" w:color="auto"/>
            <w:left w:val="none" w:sz="0" w:space="0" w:color="auto"/>
            <w:bottom w:val="none" w:sz="0" w:space="0" w:color="auto"/>
            <w:right w:val="none" w:sz="0" w:space="0" w:color="auto"/>
          </w:divBdr>
        </w:div>
      </w:divsChild>
    </w:div>
    <w:div w:id="126238197">
      <w:bodyDiv w:val="1"/>
      <w:marLeft w:val="0"/>
      <w:marRight w:val="0"/>
      <w:marTop w:val="0"/>
      <w:marBottom w:val="0"/>
      <w:divBdr>
        <w:top w:val="none" w:sz="0" w:space="0" w:color="auto"/>
        <w:left w:val="none" w:sz="0" w:space="0" w:color="auto"/>
        <w:bottom w:val="none" w:sz="0" w:space="0" w:color="auto"/>
        <w:right w:val="none" w:sz="0" w:space="0" w:color="auto"/>
      </w:divBdr>
      <w:divsChild>
        <w:div w:id="387070660">
          <w:marLeft w:val="547"/>
          <w:marRight w:val="0"/>
          <w:marTop w:val="0"/>
          <w:marBottom w:val="0"/>
          <w:divBdr>
            <w:top w:val="none" w:sz="0" w:space="0" w:color="auto"/>
            <w:left w:val="none" w:sz="0" w:space="0" w:color="auto"/>
            <w:bottom w:val="none" w:sz="0" w:space="0" w:color="auto"/>
            <w:right w:val="none" w:sz="0" w:space="0" w:color="auto"/>
          </w:divBdr>
        </w:div>
        <w:div w:id="1296180763">
          <w:marLeft w:val="547"/>
          <w:marRight w:val="0"/>
          <w:marTop w:val="0"/>
          <w:marBottom w:val="0"/>
          <w:divBdr>
            <w:top w:val="none" w:sz="0" w:space="0" w:color="auto"/>
            <w:left w:val="none" w:sz="0" w:space="0" w:color="auto"/>
            <w:bottom w:val="none" w:sz="0" w:space="0" w:color="auto"/>
            <w:right w:val="none" w:sz="0" w:space="0" w:color="auto"/>
          </w:divBdr>
        </w:div>
        <w:div w:id="701170912">
          <w:marLeft w:val="547"/>
          <w:marRight w:val="0"/>
          <w:marTop w:val="0"/>
          <w:marBottom w:val="0"/>
          <w:divBdr>
            <w:top w:val="none" w:sz="0" w:space="0" w:color="auto"/>
            <w:left w:val="none" w:sz="0" w:space="0" w:color="auto"/>
            <w:bottom w:val="none" w:sz="0" w:space="0" w:color="auto"/>
            <w:right w:val="none" w:sz="0" w:space="0" w:color="auto"/>
          </w:divBdr>
        </w:div>
        <w:div w:id="2108580352">
          <w:marLeft w:val="547"/>
          <w:marRight w:val="0"/>
          <w:marTop w:val="0"/>
          <w:marBottom w:val="0"/>
          <w:divBdr>
            <w:top w:val="none" w:sz="0" w:space="0" w:color="auto"/>
            <w:left w:val="none" w:sz="0" w:space="0" w:color="auto"/>
            <w:bottom w:val="none" w:sz="0" w:space="0" w:color="auto"/>
            <w:right w:val="none" w:sz="0" w:space="0" w:color="auto"/>
          </w:divBdr>
        </w:div>
        <w:div w:id="1931623318">
          <w:marLeft w:val="547"/>
          <w:marRight w:val="0"/>
          <w:marTop w:val="0"/>
          <w:marBottom w:val="0"/>
          <w:divBdr>
            <w:top w:val="none" w:sz="0" w:space="0" w:color="auto"/>
            <w:left w:val="none" w:sz="0" w:space="0" w:color="auto"/>
            <w:bottom w:val="none" w:sz="0" w:space="0" w:color="auto"/>
            <w:right w:val="none" w:sz="0" w:space="0" w:color="auto"/>
          </w:divBdr>
        </w:div>
        <w:div w:id="803428830">
          <w:marLeft w:val="547"/>
          <w:marRight w:val="0"/>
          <w:marTop w:val="0"/>
          <w:marBottom w:val="0"/>
          <w:divBdr>
            <w:top w:val="none" w:sz="0" w:space="0" w:color="auto"/>
            <w:left w:val="none" w:sz="0" w:space="0" w:color="auto"/>
            <w:bottom w:val="none" w:sz="0" w:space="0" w:color="auto"/>
            <w:right w:val="none" w:sz="0" w:space="0" w:color="auto"/>
          </w:divBdr>
        </w:div>
        <w:div w:id="905795563">
          <w:marLeft w:val="547"/>
          <w:marRight w:val="0"/>
          <w:marTop w:val="0"/>
          <w:marBottom w:val="0"/>
          <w:divBdr>
            <w:top w:val="none" w:sz="0" w:space="0" w:color="auto"/>
            <w:left w:val="none" w:sz="0" w:space="0" w:color="auto"/>
            <w:bottom w:val="none" w:sz="0" w:space="0" w:color="auto"/>
            <w:right w:val="none" w:sz="0" w:space="0" w:color="auto"/>
          </w:divBdr>
        </w:div>
        <w:div w:id="695693880">
          <w:marLeft w:val="547"/>
          <w:marRight w:val="0"/>
          <w:marTop w:val="0"/>
          <w:marBottom w:val="0"/>
          <w:divBdr>
            <w:top w:val="none" w:sz="0" w:space="0" w:color="auto"/>
            <w:left w:val="none" w:sz="0" w:space="0" w:color="auto"/>
            <w:bottom w:val="none" w:sz="0" w:space="0" w:color="auto"/>
            <w:right w:val="none" w:sz="0" w:space="0" w:color="auto"/>
          </w:divBdr>
        </w:div>
      </w:divsChild>
    </w:div>
    <w:div w:id="153567155">
      <w:bodyDiv w:val="1"/>
      <w:marLeft w:val="0"/>
      <w:marRight w:val="0"/>
      <w:marTop w:val="0"/>
      <w:marBottom w:val="0"/>
      <w:divBdr>
        <w:top w:val="none" w:sz="0" w:space="0" w:color="auto"/>
        <w:left w:val="none" w:sz="0" w:space="0" w:color="auto"/>
        <w:bottom w:val="none" w:sz="0" w:space="0" w:color="auto"/>
        <w:right w:val="none" w:sz="0" w:space="0" w:color="auto"/>
      </w:divBdr>
      <w:divsChild>
        <w:div w:id="1371224637">
          <w:marLeft w:val="446"/>
          <w:marRight w:val="0"/>
          <w:marTop w:val="0"/>
          <w:marBottom w:val="200"/>
          <w:divBdr>
            <w:top w:val="none" w:sz="0" w:space="0" w:color="auto"/>
            <w:left w:val="none" w:sz="0" w:space="0" w:color="auto"/>
            <w:bottom w:val="none" w:sz="0" w:space="0" w:color="auto"/>
            <w:right w:val="none" w:sz="0" w:space="0" w:color="auto"/>
          </w:divBdr>
        </w:div>
        <w:div w:id="433945410">
          <w:marLeft w:val="446"/>
          <w:marRight w:val="0"/>
          <w:marTop w:val="0"/>
          <w:marBottom w:val="200"/>
          <w:divBdr>
            <w:top w:val="none" w:sz="0" w:space="0" w:color="auto"/>
            <w:left w:val="none" w:sz="0" w:space="0" w:color="auto"/>
            <w:bottom w:val="none" w:sz="0" w:space="0" w:color="auto"/>
            <w:right w:val="none" w:sz="0" w:space="0" w:color="auto"/>
          </w:divBdr>
        </w:div>
        <w:div w:id="634020243">
          <w:marLeft w:val="1354"/>
          <w:marRight w:val="0"/>
          <w:marTop w:val="0"/>
          <w:marBottom w:val="200"/>
          <w:divBdr>
            <w:top w:val="none" w:sz="0" w:space="0" w:color="auto"/>
            <w:left w:val="none" w:sz="0" w:space="0" w:color="auto"/>
            <w:bottom w:val="none" w:sz="0" w:space="0" w:color="auto"/>
            <w:right w:val="none" w:sz="0" w:space="0" w:color="auto"/>
          </w:divBdr>
        </w:div>
        <w:div w:id="1722512429">
          <w:marLeft w:val="1354"/>
          <w:marRight w:val="0"/>
          <w:marTop w:val="0"/>
          <w:marBottom w:val="200"/>
          <w:divBdr>
            <w:top w:val="none" w:sz="0" w:space="0" w:color="auto"/>
            <w:left w:val="none" w:sz="0" w:space="0" w:color="auto"/>
            <w:bottom w:val="none" w:sz="0" w:space="0" w:color="auto"/>
            <w:right w:val="none" w:sz="0" w:space="0" w:color="auto"/>
          </w:divBdr>
        </w:div>
        <w:div w:id="420611844">
          <w:marLeft w:val="446"/>
          <w:marRight w:val="0"/>
          <w:marTop w:val="0"/>
          <w:marBottom w:val="200"/>
          <w:divBdr>
            <w:top w:val="none" w:sz="0" w:space="0" w:color="auto"/>
            <w:left w:val="none" w:sz="0" w:space="0" w:color="auto"/>
            <w:bottom w:val="none" w:sz="0" w:space="0" w:color="auto"/>
            <w:right w:val="none" w:sz="0" w:space="0" w:color="auto"/>
          </w:divBdr>
        </w:div>
        <w:div w:id="1863014436">
          <w:marLeft w:val="1354"/>
          <w:marRight w:val="0"/>
          <w:marTop w:val="0"/>
          <w:marBottom w:val="200"/>
          <w:divBdr>
            <w:top w:val="none" w:sz="0" w:space="0" w:color="auto"/>
            <w:left w:val="none" w:sz="0" w:space="0" w:color="auto"/>
            <w:bottom w:val="none" w:sz="0" w:space="0" w:color="auto"/>
            <w:right w:val="none" w:sz="0" w:space="0" w:color="auto"/>
          </w:divBdr>
        </w:div>
        <w:div w:id="790784915">
          <w:marLeft w:val="1354"/>
          <w:marRight w:val="0"/>
          <w:marTop w:val="0"/>
          <w:marBottom w:val="200"/>
          <w:divBdr>
            <w:top w:val="none" w:sz="0" w:space="0" w:color="auto"/>
            <w:left w:val="none" w:sz="0" w:space="0" w:color="auto"/>
            <w:bottom w:val="none" w:sz="0" w:space="0" w:color="auto"/>
            <w:right w:val="none" w:sz="0" w:space="0" w:color="auto"/>
          </w:divBdr>
        </w:div>
      </w:divsChild>
    </w:div>
    <w:div w:id="162285719">
      <w:bodyDiv w:val="1"/>
      <w:marLeft w:val="0"/>
      <w:marRight w:val="0"/>
      <w:marTop w:val="0"/>
      <w:marBottom w:val="0"/>
      <w:divBdr>
        <w:top w:val="none" w:sz="0" w:space="0" w:color="auto"/>
        <w:left w:val="none" w:sz="0" w:space="0" w:color="auto"/>
        <w:bottom w:val="none" w:sz="0" w:space="0" w:color="auto"/>
        <w:right w:val="none" w:sz="0" w:space="0" w:color="auto"/>
      </w:divBdr>
      <w:divsChild>
        <w:div w:id="1082794106">
          <w:marLeft w:val="562"/>
          <w:marRight w:val="0"/>
          <w:marTop w:val="0"/>
          <w:marBottom w:val="0"/>
          <w:divBdr>
            <w:top w:val="none" w:sz="0" w:space="0" w:color="auto"/>
            <w:left w:val="none" w:sz="0" w:space="0" w:color="auto"/>
            <w:bottom w:val="none" w:sz="0" w:space="0" w:color="auto"/>
            <w:right w:val="none" w:sz="0" w:space="0" w:color="auto"/>
          </w:divBdr>
        </w:div>
        <w:div w:id="1173764084">
          <w:marLeft w:val="547"/>
          <w:marRight w:val="0"/>
          <w:marTop w:val="0"/>
          <w:marBottom w:val="0"/>
          <w:divBdr>
            <w:top w:val="none" w:sz="0" w:space="0" w:color="auto"/>
            <w:left w:val="none" w:sz="0" w:space="0" w:color="auto"/>
            <w:bottom w:val="none" w:sz="0" w:space="0" w:color="auto"/>
            <w:right w:val="none" w:sz="0" w:space="0" w:color="auto"/>
          </w:divBdr>
        </w:div>
        <w:div w:id="552935580">
          <w:marLeft w:val="547"/>
          <w:marRight w:val="0"/>
          <w:marTop w:val="0"/>
          <w:marBottom w:val="0"/>
          <w:divBdr>
            <w:top w:val="none" w:sz="0" w:space="0" w:color="auto"/>
            <w:left w:val="none" w:sz="0" w:space="0" w:color="auto"/>
            <w:bottom w:val="none" w:sz="0" w:space="0" w:color="auto"/>
            <w:right w:val="none" w:sz="0" w:space="0" w:color="auto"/>
          </w:divBdr>
        </w:div>
      </w:divsChild>
    </w:div>
    <w:div w:id="173768445">
      <w:bodyDiv w:val="1"/>
      <w:marLeft w:val="0"/>
      <w:marRight w:val="0"/>
      <w:marTop w:val="0"/>
      <w:marBottom w:val="0"/>
      <w:divBdr>
        <w:top w:val="none" w:sz="0" w:space="0" w:color="auto"/>
        <w:left w:val="none" w:sz="0" w:space="0" w:color="auto"/>
        <w:bottom w:val="none" w:sz="0" w:space="0" w:color="auto"/>
        <w:right w:val="none" w:sz="0" w:space="0" w:color="auto"/>
      </w:divBdr>
    </w:div>
    <w:div w:id="178468561">
      <w:bodyDiv w:val="1"/>
      <w:marLeft w:val="0"/>
      <w:marRight w:val="0"/>
      <w:marTop w:val="0"/>
      <w:marBottom w:val="0"/>
      <w:divBdr>
        <w:top w:val="none" w:sz="0" w:space="0" w:color="auto"/>
        <w:left w:val="none" w:sz="0" w:space="0" w:color="auto"/>
        <w:bottom w:val="none" w:sz="0" w:space="0" w:color="auto"/>
        <w:right w:val="none" w:sz="0" w:space="0" w:color="auto"/>
      </w:divBdr>
      <w:divsChild>
        <w:div w:id="294336770">
          <w:marLeft w:val="1267"/>
          <w:marRight w:val="0"/>
          <w:marTop w:val="840"/>
          <w:marBottom w:val="0"/>
          <w:divBdr>
            <w:top w:val="none" w:sz="0" w:space="0" w:color="auto"/>
            <w:left w:val="none" w:sz="0" w:space="0" w:color="auto"/>
            <w:bottom w:val="none" w:sz="0" w:space="0" w:color="auto"/>
            <w:right w:val="none" w:sz="0" w:space="0" w:color="auto"/>
          </w:divBdr>
        </w:div>
      </w:divsChild>
    </w:div>
    <w:div w:id="243152446">
      <w:bodyDiv w:val="1"/>
      <w:marLeft w:val="0"/>
      <w:marRight w:val="0"/>
      <w:marTop w:val="0"/>
      <w:marBottom w:val="0"/>
      <w:divBdr>
        <w:top w:val="none" w:sz="0" w:space="0" w:color="auto"/>
        <w:left w:val="none" w:sz="0" w:space="0" w:color="auto"/>
        <w:bottom w:val="none" w:sz="0" w:space="0" w:color="auto"/>
        <w:right w:val="none" w:sz="0" w:space="0" w:color="auto"/>
      </w:divBdr>
      <w:divsChild>
        <w:div w:id="646008544">
          <w:marLeft w:val="1123"/>
          <w:marRight w:val="0"/>
          <w:marTop w:val="0"/>
          <w:marBottom w:val="0"/>
          <w:divBdr>
            <w:top w:val="none" w:sz="0" w:space="0" w:color="auto"/>
            <w:left w:val="none" w:sz="0" w:space="0" w:color="auto"/>
            <w:bottom w:val="none" w:sz="0" w:space="0" w:color="auto"/>
            <w:right w:val="none" w:sz="0" w:space="0" w:color="auto"/>
          </w:divBdr>
        </w:div>
      </w:divsChild>
    </w:div>
    <w:div w:id="292491020">
      <w:bodyDiv w:val="1"/>
      <w:marLeft w:val="0"/>
      <w:marRight w:val="0"/>
      <w:marTop w:val="0"/>
      <w:marBottom w:val="0"/>
      <w:divBdr>
        <w:top w:val="none" w:sz="0" w:space="0" w:color="auto"/>
        <w:left w:val="none" w:sz="0" w:space="0" w:color="auto"/>
        <w:bottom w:val="none" w:sz="0" w:space="0" w:color="auto"/>
        <w:right w:val="none" w:sz="0" w:space="0" w:color="auto"/>
      </w:divBdr>
      <w:divsChild>
        <w:div w:id="1994605234">
          <w:marLeft w:val="547"/>
          <w:marRight w:val="0"/>
          <w:marTop w:val="0"/>
          <w:marBottom w:val="0"/>
          <w:divBdr>
            <w:top w:val="none" w:sz="0" w:space="0" w:color="auto"/>
            <w:left w:val="none" w:sz="0" w:space="0" w:color="auto"/>
            <w:bottom w:val="none" w:sz="0" w:space="0" w:color="auto"/>
            <w:right w:val="none" w:sz="0" w:space="0" w:color="auto"/>
          </w:divBdr>
        </w:div>
        <w:div w:id="1231966851">
          <w:marLeft w:val="446"/>
          <w:marRight w:val="0"/>
          <w:marTop w:val="0"/>
          <w:marBottom w:val="0"/>
          <w:divBdr>
            <w:top w:val="none" w:sz="0" w:space="0" w:color="auto"/>
            <w:left w:val="none" w:sz="0" w:space="0" w:color="auto"/>
            <w:bottom w:val="none" w:sz="0" w:space="0" w:color="auto"/>
            <w:right w:val="none" w:sz="0" w:space="0" w:color="auto"/>
          </w:divBdr>
        </w:div>
        <w:div w:id="672952037">
          <w:marLeft w:val="446"/>
          <w:marRight w:val="0"/>
          <w:marTop w:val="0"/>
          <w:marBottom w:val="0"/>
          <w:divBdr>
            <w:top w:val="none" w:sz="0" w:space="0" w:color="auto"/>
            <w:left w:val="none" w:sz="0" w:space="0" w:color="auto"/>
            <w:bottom w:val="none" w:sz="0" w:space="0" w:color="auto"/>
            <w:right w:val="none" w:sz="0" w:space="0" w:color="auto"/>
          </w:divBdr>
        </w:div>
        <w:div w:id="524173424">
          <w:marLeft w:val="446"/>
          <w:marRight w:val="0"/>
          <w:marTop w:val="0"/>
          <w:marBottom w:val="0"/>
          <w:divBdr>
            <w:top w:val="none" w:sz="0" w:space="0" w:color="auto"/>
            <w:left w:val="none" w:sz="0" w:space="0" w:color="auto"/>
            <w:bottom w:val="none" w:sz="0" w:space="0" w:color="auto"/>
            <w:right w:val="none" w:sz="0" w:space="0" w:color="auto"/>
          </w:divBdr>
        </w:div>
      </w:divsChild>
    </w:div>
    <w:div w:id="369231076">
      <w:bodyDiv w:val="1"/>
      <w:marLeft w:val="0"/>
      <w:marRight w:val="0"/>
      <w:marTop w:val="0"/>
      <w:marBottom w:val="0"/>
      <w:divBdr>
        <w:top w:val="none" w:sz="0" w:space="0" w:color="auto"/>
        <w:left w:val="none" w:sz="0" w:space="0" w:color="auto"/>
        <w:bottom w:val="none" w:sz="0" w:space="0" w:color="auto"/>
        <w:right w:val="none" w:sz="0" w:space="0" w:color="auto"/>
      </w:divBdr>
    </w:div>
    <w:div w:id="382026476">
      <w:bodyDiv w:val="1"/>
      <w:marLeft w:val="0"/>
      <w:marRight w:val="0"/>
      <w:marTop w:val="0"/>
      <w:marBottom w:val="0"/>
      <w:divBdr>
        <w:top w:val="none" w:sz="0" w:space="0" w:color="auto"/>
        <w:left w:val="none" w:sz="0" w:space="0" w:color="auto"/>
        <w:bottom w:val="none" w:sz="0" w:space="0" w:color="auto"/>
        <w:right w:val="none" w:sz="0" w:space="0" w:color="auto"/>
      </w:divBdr>
      <w:divsChild>
        <w:div w:id="1617633499">
          <w:marLeft w:val="547"/>
          <w:marRight w:val="0"/>
          <w:marTop w:val="0"/>
          <w:marBottom w:val="0"/>
          <w:divBdr>
            <w:top w:val="none" w:sz="0" w:space="0" w:color="auto"/>
            <w:left w:val="none" w:sz="0" w:space="0" w:color="auto"/>
            <w:bottom w:val="none" w:sz="0" w:space="0" w:color="auto"/>
            <w:right w:val="none" w:sz="0" w:space="0" w:color="auto"/>
          </w:divBdr>
        </w:div>
        <w:div w:id="1768111575">
          <w:marLeft w:val="547"/>
          <w:marRight w:val="0"/>
          <w:marTop w:val="0"/>
          <w:marBottom w:val="0"/>
          <w:divBdr>
            <w:top w:val="none" w:sz="0" w:space="0" w:color="auto"/>
            <w:left w:val="none" w:sz="0" w:space="0" w:color="auto"/>
            <w:bottom w:val="none" w:sz="0" w:space="0" w:color="auto"/>
            <w:right w:val="none" w:sz="0" w:space="0" w:color="auto"/>
          </w:divBdr>
        </w:div>
        <w:div w:id="596405099">
          <w:marLeft w:val="547"/>
          <w:marRight w:val="0"/>
          <w:marTop w:val="0"/>
          <w:marBottom w:val="0"/>
          <w:divBdr>
            <w:top w:val="none" w:sz="0" w:space="0" w:color="auto"/>
            <w:left w:val="none" w:sz="0" w:space="0" w:color="auto"/>
            <w:bottom w:val="none" w:sz="0" w:space="0" w:color="auto"/>
            <w:right w:val="none" w:sz="0" w:space="0" w:color="auto"/>
          </w:divBdr>
        </w:div>
      </w:divsChild>
    </w:div>
    <w:div w:id="457843511">
      <w:bodyDiv w:val="1"/>
      <w:marLeft w:val="0"/>
      <w:marRight w:val="0"/>
      <w:marTop w:val="0"/>
      <w:marBottom w:val="0"/>
      <w:divBdr>
        <w:top w:val="none" w:sz="0" w:space="0" w:color="auto"/>
        <w:left w:val="none" w:sz="0" w:space="0" w:color="auto"/>
        <w:bottom w:val="none" w:sz="0" w:space="0" w:color="auto"/>
        <w:right w:val="none" w:sz="0" w:space="0" w:color="auto"/>
      </w:divBdr>
    </w:div>
    <w:div w:id="516579095">
      <w:bodyDiv w:val="1"/>
      <w:marLeft w:val="0"/>
      <w:marRight w:val="0"/>
      <w:marTop w:val="0"/>
      <w:marBottom w:val="0"/>
      <w:divBdr>
        <w:top w:val="none" w:sz="0" w:space="0" w:color="auto"/>
        <w:left w:val="none" w:sz="0" w:space="0" w:color="auto"/>
        <w:bottom w:val="none" w:sz="0" w:space="0" w:color="auto"/>
        <w:right w:val="none" w:sz="0" w:space="0" w:color="auto"/>
      </w:divBdr>
      <w:divsChild>
        <w:div w:id="1712264406">
          <w:marLeft w:val="547"/>
          <w:marRight w:val="0"/>
          <w:marTop w:val="0"/>
          <w:marBottom w:val="0"/>
          <w:divBdr>
            <w:top w:val="none" w:sz="0" w:space="0" w:color="auto"/>
            <w:left w:val="none" w:sz="0" w:space="0" w:color="auto"/>
            <w:bottom w:val="none" w:sz="0" w:space="0" w:color="auto"/>
            <w:right w:val="none" w:sz="0" w:space="0" w:color="auto"/>
          </w:divBdr>
        </w:div>
        <w:div w:id="993484531">
          <w:marLeft w:val="446"/>
          <w:marRight w:val="0"/>
          <w:marTop w:val="0"/>
          <w:marBottom w:val="0"/>
          <w:divBdr>
            <w:top w:val="none" w:sz="0" w:space="0" w:color="auto"/>
            <w:left w:val="none" w:sz="0" w:space="0" w:color="auto"/>
            <w:bottom w:val="none" w:sz="0" w:space="0" w:color="auto"/>
            <w:right w:val="none" w:sz="0" w:space="0" w:color="auto"/>
          </w:divBdr>
        </w:div>
        <w:div w:id="1771470747">
          <w:marLeft w:val="446"/>
          <w:marRight w:val="0"/>
          <w:marTop w:val="0"/>
          <w:marBottom w:val="0"/>
          <w:divBdr>
            <w:top w:val="none" w:sz="0" w:space="0" w:color="auto"/>
            <w:left w:val="none" w:sz="0" w:space="0" w:color="auto"/>
            <w:bottom w:val="none" w:sz="0" w:space="0" w:color="auto"/>
            <w:right w:val="none" w:sz="0" w:space="0" w:color="auto"/>
          </w:divBdr>
        </w:div>
        <w:div w:id="1803843233">
          <w:marLeft w:val="446"/>
          <w:marRight w:val="0"/>
          <w:marTop w:val="0"/>
          <w:marBottom w:val="0"/>
          <w:divBdr>
            <w:top w:val="none" w:sz="0" w:space="0" w:color="auto"/>
            <w:left w:val="none" w:sz="0" w:space="0" w:color="auto"/>
            <w:bottom w:val="none" w:sz="0" w:space="0" w:color="auto"/>
            <w:right w:val="none" w:sz="0" w:space="0" w:color="auto"/>
          </w:divBdr>
        </w:div>
      </w:divsChild>
    </w:div>
    <w:div w:id="538468468">
      <w:bodyDiv w:val="1"/>
      <w:marLeft w:val="0"/>
      <w:marRight w:val="0"/>
      <w:marTop w:val="0"/>
      <w:marBottom w:val="0"/>
      <w:divBdr>
        <w:top w:val="none" w:sz="0" w:space="0" w:color="auto"/>
        <w:left w:val="none" w:sz="0" w:space="0" w:color="auto"/>
        <w:bottom w:val="none" w:sz="0" w:space="0" w:color="auto"/>
        <w:right w:val="none" w:sz="0" w:space="0" w:color="auto"/>
      </w:divBdr>
      <w:divsChild>
        <w:div w:id="568543669">
          <w:marLeft w:val="446"/>
          <w:marRight w:val="0"/>
          <w:marTop w:val="0"/>
          <w:marBottom w:val="200"/>
          <w:divBdr>
            <w:top w:val="none" w:sz="0" w:space="0" w:color="auto"/>
            <w:left w:val="none" w:sz="0" w:space="0" w:color="auto"/>
            <w:bottom w:val="none" w:sz="0" w:space="0" w:color="auto"/>
            <w:right w:val="none" w:sz="0" w:space="0" w:color="auto"/>
          </w:divBdr>
        </w:div>
        <w:div w:id="122308070">
          <w:marLeft w:val="446"/>
          <w:marRight w:val="0"/>
          <w:marTop w:val="0"/>
          <w:marBottom w:val="200"/>
          <w:divBdr>
            <w:top w:val="none" w:sz="0" w:space="0" w:color="auto"/>
            <w:left w:val="none" w:sz="0" w:space="0" w:color="auto"/>
            <w:bottom w:val="none" w:sz="0" w:space="0" w:color="auto"/>
            <w:right w:val="none" w:sz="0" w:space="0" w:color="auto"/>
          </w:divBdr>
        </w:div>
        <w:div w:id="610667993">
          <w:marLeft w:val="446"/>
          <w:marRight w:val="0"/>
          <w:marTop w:val="0"/>
          <w:marBottom w:val="200"/>
          <w:divBdr>
            <w:top w:val="none" w:sz="0" w:space="0" w:color="auto"/>
            <w:left w:val="none" w:sz="0" w:space="0" w:color="auto"/>
            <w:bottom w:val="none" w:sz="0" w:space="0" w:color="auto"/>
            <w:right w:val="none" w:sz="0" w:space="0" w:color="auto"/>
          </w:divBdr>
        </w:div>
        <w:div w:id="447050406">
          <w:marLeft w:val="446"/>
          <w:marRight w:val="0"/>
          <w:marTop w:val="0"/>
          <w:marBottom w:val="200"/>
          <w:divBdr>
            <w:top w:val="none" w:sz="0" w:space="0" w:color="auto"/>
            <w:left w:val="none" w:sz="0" w:space="0" w:color="auto"/>
            <w:bottom w:val="none" w:sz="0" w:space="0" w:color="auto"/>
            <w:right w:val="none" w:sz="0" w:space="0" w:color="auto"/>
          </w:divBdr>
        </w:div>
        <w:div w:id="2140491936">
          <w:marLeft w:val="446"/>
          <w:marRight w:val="0"/>
          <w:marTop w:val="0"/>
          <w:marBottom w:val="200"/>
          <w:divBdr>
            <w:top w:val="none" w:sz="0" w:space="0" w:color="auto"/>
            <w:left w:val="none" w:sz="0" w:space="0" w:color="auto"/>
            <w:bottom w:val="none" w:sz="0" w:space="0" w:color="auto"/>
            <w:right w:val="none" w:sz="0" w:space="0" w:color="auto"/>
          </w:divBdr>
        </w:div>
      </w:divsChild>
    </w:div>
    <w:div w:id="592864419">
      <w:bodyDiv w:val="1"/>
      <w:marLeft w:val="0"/>
      <w:marRight w:val="0"/>
      <w:marTop w:val="0"/>
      <w:marBottom w:val="0"/>
      <w:divBdr>
        <w:top w:val="none" w:sz="0" w:space="0" w:color="auto"/>
        <w:left w:val="none" w:sz="0" w:space="0" w:color="auto"/>
        <w:bottom w:val="none" w:sz="0" w:space="0" w:color="auto"/>
        <w:right w:val="none" w:sz="0" w:space="0" w:color="auto"/>
      </w:divBdr>
      <w:divsChild>
        <w:div w:id="761922361">
          <w:marLeft w:val="547"/>
          <w:marRight w:val="0"/>
          <w:marTop w:val="0"/>
          <w:marBottom w:val="0"/>
          <w:divBdr>
            <w:top w:val="none" w:sz="0" w:space="0" w:color="auto"/>
            <w:left w:val="none" w:sz="0" w:space="0" w:color="auto"/>
            <w:bottom w:val="none" w:sz="0" w:space="0" w:color="auto"/>
            <w:right w:val="none" w:sz="0" w:space="0" w:color="auto"/>
          </w:divBdr>
        </w:div>
        <w:div w:id="471143694">
          <w:marLeft w:val="562"/>
          <w:marRight w:val="0"/>
          <w:marTop w:val="0"/>
          <w:marBottom w:val="0"/>
          <w:divBdr>
            <w:top w:val="none" w:sz="0" w:space="0" w:color="auto"/>
            <w:left w:val="none" w:sz="0" w:space="0" w:color="auto"/>
            <w:bottom w:val="none" w:sz="0" w:space="0" w:color="auto"/>
            <w:right w:val="none" w:sz="0" w:space="0" w:color="auto"/>
          </w:divBdr>
        </w:div>
        <w:div w:id="1024357892">
          <w:marLeft w:val="562"/>
          <w:marRight w:val="0"/>
          <w:marTop w:val="0"/>
          <w:marBottom w:val="0"/>
          <w:divBdr>
            <w:top w:val="none" w:sz="0" w:space="0" w:color="auto"/>
            <w:left w:val="none" w:sz="0" w:space="0" w:color="auto"/>
            <w:bottom w:val="none" w:sz="0" w:space="0" w:color="auto"/>
            <w:right w:val="none" w:sz="0" w:space="0" w:color="auto"/>
          </w:divBdr>
        </w:div>
        <w:div w:id="474300917">
          <w:marLeft w:val="562"/>
          <w:marRight w:val="0"/>
          <w:marTop w:val="96"/>
          <w:marBottom w:val="0"/>
          <w:divBdr>
            <w:top w:val="none" w:sz="0" w:space="0" w:color="auto"/>
            <w:left w:val="none" w:sz="0" w:space="0" w:color="auto"/>
            <w:bottom w:val="none" w:sz="0" w:space="0" w:color="auto"/>
            <w:right w:val="none" w:sz="0" w:space="0" w:color="auto"/>
          </w:divBdr>
        </w:div>
        <w:div w:id="1710257100">
          <w:marLeft w:val="562"/>
          <w:marRight w:val="0"/>
          <w:marTop w:val="96"/>
          <w:marBottom w:val="0"/>
          <w:divBdr>
            <w:top w:val="none" w:sz="0" w:space="0" w:color="auto"/>
            <w:left w:val="none" w:sz="0" w:space="0" w:color="auto"/>
            <w:bottom w:val="none" w:sz="0" w:space="0" w:color="auto"/>
            <w:right w:val="none" w:sz="0" w:space="0" w:color="auto"/>
          </w:divBdr>
        </w:div>
        <w:div w:id="300886323">
          <w:marLeft w:val="562"/>
          <w:marRight w:val="0"/>
          <w:marTop w:val="96"/>
          <w:marBottom w:val="0"/>
          <w:divBdr>
            <w:top w:val="none" w:sz="0" w:space="0" w:color="auto"/>
            <w:left w:val="none" w:sz="0" w:space="0" w:color="auto"/>
            <w:bottom w:val="none" w:sz="0" w:space="0" w:color="auto"/>
            <w:right w:val="none" w:sz="0" w:space="0" w:color="auto"/>
          </w:divBdr>
        </w:div>
      </w:divsChild>
    </w:div>
    <w:div w:id="604263786">
      <w:bodyDiv w:val="1"/>
      <w:marLeft w:val="0"/>
      <w:marRight w:val="0"/>
      <w:marTop w:val="0"/>
      <w:marBottom w:val="0"/>
      <w:divBdr>
        <w:top w:val="none" w:sz="0" w:space="0" w:color="auto"/>
        <w:left w:val="none" w:sz="0" w:space="0" w:color="auto"/>
        <w:bottom w:val="none" w:sz="0" w:space="0" w:color="auto"/>
        <w:right w:val="none" w:sz="0" w:space="0" w:color="auto"/>
      </w:divBdr>
      <w:divsChild>
        <w:div w:id="1855530306">
          <w:marLeft w:val="446"/>
          <w:marRight w:val="0"/>
          <w:marTop w:val="0"/>
          <w:marBottom w:val="200"/>
          <w:divBdr>
            <w:top w:val="none" w:sz="0" w:space="0" w:color="auto"/>
            <w:left w:val="none" w:sz="0" w:space="0" w:color="auto"/>
            <w:bottom w:val="none" w:sz="0" w:space="0" w:color="auto"/>
            <w:right w:val="none" w:sz="0" w:space="0" w:color="auto"/>
          </w:divBdr>
        </w:div>
        <w:div w:id="91321106">
          <w:marLeft w:val="446"/>
          <w:marRight w:val="0"/>
          <w:marTop w:val="0"/>
          <w:marBottom w:val="200"/>
          <w:divBdr>
            <w:top w:val="none" w:sz="0" w:space="0" w:color="auto"/>
            <w:left w:val="none" w:sz="0" w:space="0" w:color="auto"/>
            <w:bottom w:val="none" w:sz="0" w:space="0" w:color="auto"/>
            <w:right w:val="none" w:sz="0" w:space="0" w:color="auto"/>
          </w:divBdr>
        </w:div>
      </w:divsChild>
    </w:div>
    <w:div w:id="611936193">
      <w:bodyDiv w:val="1"/>
      <w:marLeft w:val="0"/>
      <w:marRight w:val="0"/>
      <w:marTop w:val="0"/>
      <w:marBottom w:val="0"/>
      <w:divBdr>
        <w:top w:val="none" w:sz="0" w:space="0" w:color="auto"/>
        <w:left w:val="none" w:sz="0" w:space="0" w:color="auto"/>
        <w:bottom w:val="none" w:sz="0" w:space="0" w:color="auto"/>
        <w:right w:val="none" w:sz="0" w:space="0" w:color="auto"/>
      </w:divBdr>
      <w:divsChild>
        <w:div w:id="2065330306">
          <w:marLeft w:val="446"/>
          <w:marRight w:val="0"/>
          <w:marTop w:val="0"/>
          <w:marBottom w:val="200"/>
          <w:divBdr>
            <w:top w:val="none" w:sz="0" w:space="0" w:color="auto"/>
            <w:left w:val="none" w:sz="0" w:space="0" w:color="auto"/>
            <w:bottom w:val="none" w:sz="0" w:space="0" w:color="auto"/>
            <w:right w:val="none" w:sz="0" w:space="0" w:color="auto"/>
          </w:divBdr>
        </w:div>
        <w:div w:id="1323965621">
          <w:marLeft w:val="446"/>
          <w:marRight w:val="0"/>
          <w:marTop w:val="0"/>
          <w:marBottom w:val="200"/>
          <w:divBdr>
            <w:top w:val="none" w:sz="0" w:space="0" w:color="auto"/>
            <w:left w:val="none" w:sz="0" w:space="0" w:color="auto"/>
            <w:bottom w:val="none" w:sz="0" w:space="0" w:color="auto"/>
            <w:right w:val="none" w:sz="0" w:space="0" w:color="auto"/>
          </w:divBdr>
        </w:div>
        <w:div w:id="63988632">
          <w:marLeft w:val="446"/>
          <w:marRight w:val="0"/>
          <w:marTop w:val="0"/>
          <w:marBottom w:val="200"/>
          <w:divBdr>
            <w:top w:val="none" w:sz="0" w:space="0" w:color="auto"/>
            <w:left w:val="none" w:sz="0" w:space="0" w:color="auto"/>
            <w:bottom w:val="none" w:sz="0" w:space="0" w:color="auto"/>
            <w:right w:val="none" w:sz="0" w:space="0" w:color="auto"/>
          </w:divBdr>
        </w:div>
        <w:div w:id="722757430">
          <w:marLeft w:val="1354"/>
          <w:marRight w:val="0"/>
          <w:marTop w:val="0"/>
          <w:marBottom w:val="200"/>
          <w:divBdr>
            <w:top w:val="none" w:sz="0" w:space="0" w:color="auto"/>
            <w:left w:val="none" w:sz="0" w:space="0" w:color="auto"/>
            <w:bottom w:val="none" w:sz="0" w:space="0" w:color="auto"/>
            <w:right w:val="none" w:sz="0" w:space="0" w:color="auto"/>
          </w:divBdr>
        </w:div>
        <w:div w:id="1787851548">
          <w:marLeft w:val="1354"/>
          <w:marRight w:val="0"/>
          <w:marTop w:val="0"/>
          <w:marBottom w:val="200"/>
          <w:divBdr>
            <w:top w:val="none" w:sz="0" w:space="0" w:color="auto"/>
            <w:left w:val="none" w:sz="0" w:space="0" w:color="auto"/>
            <w:bottom w:val="none" w:sz="0" w:space="0" w:color="auto"/>
            <w:right w:val="none" w:sz="0" w:space="0" w:color="auto"/>
          </w:divBdr>
        </w:div>
        <w:div w:id="1555120885">
          <w:marLeft w:val="446"/>
          <w:marRight w:val="0"/>
          <w:marTop w:val="0"/>
          <w:marBottom w:val="200"/>
          <w:divBdr>
            <w:top w:val="none" w:sz="0" w:space="0" w:color="auto"/>
            <w:left w:val="none" w:sz="0" w:space="0" w:color="auto"/>
            <w:bottom w:val="none" w:sz="0" w:space="0" w:color="auto"/>
            <w:right w:val="none" w:sz="0" w:space="0" w:color="auto"/>
          </w:divBdr>
        </w:div>
        <w:div w:id="1377120724">
          <w:marLeft w:val="1354"/>
          <w:marRight w:val="0"/>
          <w:marTop w:val="0"/>
          <w:marBottom w:val="200"/>
          <w:divBdr>
            <w:top w:val="none" w:sz="0" w:space="0" w:color="auto"/>
            <w:left w:val="none" w:sz="0" w:space="0" w:color="auto"/>
            <w:bottom w:val="none" w:sz="0" w:space="0" w:color="auto"/>
            <w:right w:val="none" w:sz="0" w:space="0" w:color="auto"/>
          </w:divBdr>
        </w:div>
        <w:div w:id="2132282970">
          <w:marLeft w:val="1354"/>
          <w:marRight w:val="0"/>
          <w:marTop w:val="0"/>
          <w:marBottom w:val="200"/>
          <w:divBdr>
            <w:top w:val="none" w:sz="0" w:space="0" w:color="auto"/>
            <w:left w:val="none" w:sz="0" w:space="0" w:color="auto"/>
            <w:bottom w:val="none" w:sz="0" w:space="0" w:color="auto"/>
            <w:right w:val="none" w:sz="0" w:space="0" w:color="auto"/>
          </w:divBdr>
        </w:div>
      </w:divsChild>
    </w:div>
    <w:div w:id="629167633">
      <w:bodyDiv w:val="1"/>
      <w:marLeft w:val="0"/>
      <w:marRight w:val="0"/>
      <w:marTop w:val="0"/>
      <w:marBottom w:val="0"/>
      <w:divBdr>
        <w:top w:val="none" w:sz="0" w:space="0" w:color="auto"/>
        <w:left w:val="none" w:sz="0" w:space="0" w:color="auto"/>
        <w:bottom w:val="none" w:sz="0" w:space="0" w:color="auto"/>
        <w:right w:val="none" w:sz="0" w:space="0" w:color="auto"/>
      </w:divBdr>
    </w:div>
    <w:div w:id="721296277">
      <w:bodyDiv w:val="1"/>
      <w:marLeft w:val="0"/>
      <w:marRight w:val="0"/>
      <w:marTop w:val="0"/>
      <w:marBottom w:val="0"/>
      <w:divBdr>
        <w:top w:val="none" w:sz="0" w:space="0" w:color="auto"/>
        <w:left w:val="none" w:sz="0" w:space="0" w:color="auto"/>
        <w:bottom w:val="none" w:sz="0" w:space="0" w:color="auto"/>
        <w:right w:val="none" w:sz="0" w:space="0" w:color="auto"/>
      </w:divBdr>
      <w:divsChild>
        <w:div w:id="73168147">
          <w:marLeft w:val="562"/>
          <w:marRight w:val="0"/>
          <w:marTop w:val="0"/>
          <w:marBottom w:val="0"/>
          <w:divBdr>
            <w:top w:val="none" w:sz="0" w:space="0" w:color="auto"/>
            <w:left w:val="none" w:sz="0" w:space="0" w:color="auto"/>
            <w:bottom w:val="none" w:sz="0" w:space="0" w:color="auto"/>
            <w:right w:val="none" w:sz="0" w:space="0" w:color="auto"/>
          </w:divBdr>
        </w:div>
        <w:div w:id="1129066">
          <w:marLeft w:val="562"/>
          <w:marRight w:val="0"/>
          <w:marTop w:val="0"/>
          <w:marBottom w:val="0"/>
          <w:divBdr>
            <w:top w:val="none" w:sz="0" w:space="0" w:color="auto"/>
            <w:left w:val="none" w:sz="0" w:space="0" w:color="auto"/>
            <w:bottom w:val="none" w:sz="0" w:space="0" w:color="auto"/>
            <w:right w:val="none" w:sz="0" w:space="0" w:color="auto"/>
          </w:divBdr>
        </w:div>
        <w:div w:id="2114544401">
          <w:marLeft w:val="562"/>
          <w:marRight w:val="0"/>
          <w:marTop w:val="0"/>
          <w:marBottom w:val="0"/>
          <w:divBdr>
            <w:top w:val="none" w:sz="0" w:space="0" w:color="auto"/>
            <w:left w:val="none" w:sz="0" w:space="0" w:color="auto"/>
            <w:bottom w:val="none" w:sz="0" w:space="0" w:color="auto"/>
            <w:right w:val="none" w:sz="0" w:space="0" w:color="auto"/>
          </w:divBdr>
        </w:div>
        <w:div w:id="521894848">
          <w:marLeft w:val="562"/>
          <w:marRight w:val="0"/>
          <w:marTop w:val="0"/>
          <w:marBottom w:val="0"/>
          <w:divBdr>
            <w:top w:val="none" w:sz="0" w:space="0" w:color="auto"/>
            <w:left w:val="none" w:sz="0" w:space="0" w:color="auto"/>
            <w:bottom w:val="none" w:sz="0" w:space="0" w:color="auto"/>
            <w:right w:val="none" w:sz="0" w:space="0" w:color="auto"/>
          </w:divBdr>
        </w:div>
      </w:divsChild>
    </w:div>
    <w:div w:id="729773316">
      <w:bodyDiv w:val="1"/>
      <w:marLeft w:val="0"/>
      <w:marRight w:val="0"/>
      <w:marTop w:val="0"/>
      <w:marBottom w:val="0"/>
      <w:divBdr>
        <w:top w:val="none" w:sz="0" w:space="0" w:color="auto"/>
        <w:left w:val="none" w:sz="0" w:space="0" w:color="auto"/>
        <w:bottom w:val="none" w:sz="0" w:space="0" w:color="auto"/>
        <w:right w:val="none" w:sz="0" w:space="0" w:color="auto"/>
      </w:divBdr>
      <w:divsChild>
        <w:div w:id="2088719869">
          <w:marLeft w:val="446"/>
          <w:marRight w:val="0"/>
          <w:marTop w:val="0"/>
          <w:marBottom w:val="0"/>
          <w:divBdr>
            <w:top w:val="none" w:sz="0" w:space="0" w:color="auto"/>
            <w:left w:val="none" w:sz="0" w:space="0" w:color="auto"/>
            <w:bottom w:val="none" w:sz="0" w:space="0" w:color="auto"/>
            <w:right w:val="none" w:sz="0" w:space="0" w:color="auto"/>
          </w:divBdr>
        </w:div>
        <w:div w:id="1386835408">
          <w:marLeft w:val="446"/>
          <w:marRight w:val="0"/>
          <w:marTop w:val="0"/>
          <w:marBottom w:val="0"/>
          <w:divBdr>
            <w:top w:val="none" w:sz="0" w:space="0" w:color="auto"/>
            <w:left w:val="none" w:sz="0" w:space="0" w:color="auto"/>
            <w:bottom w:val="none" w:sz="0" w:space="0" w:color="auto"/>
            <w:right w:val="none" w:sz="0" w:space="0" w:color="auto"/>
          </w:divBdr>
        </w:div>
        <w:div w:id="1094281051">
          <w:marLeft w:val="547"/>
          <w:marRight w:val="0"/>
          <w:marTop w:val="0"/>
          <w:marBottom w:val="0"/>
          <w:divBdr>
            <w:top w:val="none" w:sz="0" w:space="0" w:color="auto"/>
            <w:left w:val="none" w:sz="0" w:space="0" w:color="auto"/>
            <w:bottom w:val="none" w:sz="0" w:space="0" w:color="auto"/>
            <w:right w:val="none" w:sz="0" w:space="0" w:color="auto"/>
          </w:divBdr>
        </w:div>
      </w:divsChild>
    </w:div>
    <w:div w:id="748042718">
      <w:bodyDiv w:val="1"/>
      <w:marLeft w:val="0"/>
      <w:marRight w:val="0"/>
      <w:marTop w:val="0"/>
      <w:marBottom w:val="0"/>
      <w:divBdr>
        <w:top w:val="none" w:sz="0" w:space="0" w:color="auto"/>
        <w:left w:val="none" w:sz="0" w:space="0" w:color="auto"/>
        <w:bottom w:val="none" w:sz="0" w:space="0" w:color="auto"/>
        <w:right w:val="none" w:sz="0" w:space="0" w:color="auto"/>
      </w:divBdr>
      <w:divsChild>
        <w:div w:id="298924024">
          <w:marLeft w:val="446"/>
          <w:marRight w:val="0"/>
          <w:marTop w:val="0"/>
          <w:marBottom w:val="0"/>
          <w:divBdr>
            <w:top w:val="none" w:sz="0" w:space="0" w:color="auto"/>
            <w:left w:val="none" w:sz="0" w:space="0" w:color="auto"/>
            <w:bottom w:val="none" w:sz="0" w:space="0" w:color="auto"/>
            <w:right w:val="none" w:sz="0" w:space="0" w:color="auto"/>
          </w:divBdr>
        </w:div>
        <w:div w:id="1940285188">
          <w:marLeft w:val="547"/>
          <w:marRight w:val="0"/>
          <w:marTop w:val="0"/>
          <w:marBottom w:val="0"/>
          <w:divBdr>
            <w:top w:val="none" w:sz="0" w:space="0" w:color="auto"/>
            <w:left w:val="none" w:sz="0" w:space="0" w:color="auto"/>
            <w:bottom w:val="none" w:sz="0" w:space="0" w:color="auto"/>
            <w:right w:val="none" w:sz="0" w:space="0" w:color="auto"/>
          </w:divBdr>
        </w:div>
        <w:div w:id="119885670">
          <w:marLeft w:val="547"/>
          <w:marRight w:val="0"/>
          <w:marTop w:val="0"/>
          <w:marBottom w:val="0"/>
          <w:divBdr>
            <w:top w:val="none" w:sz="0" w:space="0" w:color="auto"/>
            <w:left w:val="none" w:sz="0" w:space="0" w:color="auto"/>
            <w:bottom w:val="none" w:sz="0" w:space="0" w:color="auto"/>
            <w:right w:val="none" w:sz="0" w:space="0" w:color="auto"/>
          </w:divBdr>
        </w:div>
      </w:divsChild>
    </w:div>
    <w:div w:id="809398872">
      <w:bodyDiv w:val="1"/>
      <w:marLeft w:val="0"/>
      <w:marRight w:val="0"/>
      <w:marTop w:val="0"/>
      <w:marBottom w:val="0"/>
      <w:divBdr>
        <w:top w:val="none" w:sz="0" w:space="0" w:color="auto"/>
        <w:left w:val="none" w:sz="0" w:space="0" w:color="auto"/>
        <w:bottom w:val="none" w:sz="0" w:space="0" w:color="auto"/>
        <w:right w:val="none" w:sz="0" w:space="0" w:color="auto"/>
      </w:divBdr>
      <w:divsChild>
        <w:div w:id="166404640">
          <w:marLeft w:val="547"/>
          <w:marRight w:val="0"/>
          <w:marTop w:val="96"/>
          <w:marBottom w:val="0"/>
          <w:divBdr>
            <w:top w:val="none" w:sz="0" w:space="0" w:color="auto"/>
            <w:left w:val="none" w:sz="0" w:space="0" w:color="auto"/>
            <w:bottom w:val="none" w:sz="0" w:space="0" w:color="auto"/>
            <w:right w:val="none" w:sz="0" w:space="0" w:color="auto"/>
          </w:divBdr>
        </w:div>
      </w:divsChild>
    </w:div>
    <w:div w:id="822087238">
      <w:bodyDiv w:val="1"/>
      <w:marLeft w:val="0"/>
      <w:marRight w:val="0"/>
      <w:marTop w:val="0"/>
      <w:marBottom w:val="0"/>
      <w:divBdr>
        <w:top w:val="none" w:sz="0" w:space="0" w:color="auto"/>
        <w:left w:val="none" w:sz="0" w:space="0" w:color="auto"/>
        <w:bottom w:val="none" w:sz="0" w:space="0" w:color="auto"/>
        <w:right w:val="none" w:sz="0" w:space="0" w:color="auto"/>
      </w:divBdr>
      <w:divsChild>
        <w:div w:id="910122328">
          <w:marLeft w:val="446"/>
          <w:marRight w:val="0"/>
          <w:marTop w:val="0"/>
          <w:marBottom w:val="200"/>
          <w:divBdr>
            <w:top w:val="none" w:sz="0" w:space="0" w:color="auto"/>
            <w:left w:val="none" w:sz="0" w:space="0" w:color="auto"/>
            <w:bottom w:val="none" w:sz="0" w:space="0" w:color="auto"/>
            <w:right w:val="none" w:sz="0" w:space="0" w:color="auto"/>
          </w:divBdr>
        </w:div>
        <w:div w:id="902180704">
          <w:marLeft w:val="446"/>
          <w:marRight w:val="0"/>
          <w:marTop w:val="0"/>
          <w:marBottom w:val="200"/>
          <w:divBdr>
            <w:top w:val="none" w:sz="0" w:space="0" w:color="auto"/>
            <w:left w:val="none" w:sz="0" w:space="0" w:color="auto"/>
            <w:bottom w:val="none" w:sz="0" w:space="0" w:color="auto"/>
            <w:right w:val="none" w:sz="0" w:space="0" w:color="auto"/>
          </w:divBdr>
        </w:div>
        <w:div w:id="1398239737">
          <w:marLeft w:val="1354"/>
          <w:marRight w:val="0"/>
          <w:marTop w:val="0"/>
          <w:marBottom w:val="200"/>
          <w:divBdr>
            <w:top w:val="none" w:sz="0" w:space="0" w:color="auto"/>
            <w:left w:val="none" w:sz="0" w:space="0" w:color="auto"/>
            <w:bottom w:val="none" w:sz="0" w:space="0" w:color="auto"/>
            <w:right w:val="none" w:sz="0" w:space="0" w:color="auto"/>
          </w:divBdr>
        </w:div>
        <w:div w:id="313149802">
          <w:marLeft w:val="1354"/>
          <w:marRight w:val="0"/>
          <w:marTop w:val="0"/>
          <w:marBottom w:val="200"/>
          <w:divBdr>
            <w:top w:val="none" w:sz="0" w:space="0" w:color="auto"/>
            <w:left w:val="none" w:sz="0" w:space="0" w:color="auto"/>
            <w:bottom w:val="none" w:sz="0" w:space="0" w:color="auto"/>
            <w:right w:val="none" w:sz="0" w:space="0" w:color="auto"/>
          </w:divBdr>
        </w:div>
        <w:div w:id="677464632">
          <w:marLeft w:val="446"/>
          <w:marRight w:val="0"/>
          <w:marTop w:val="0"/>
          <w:marBottom w:val="200"/>
          <w:divBdr>
            <w:top w:val="none" w:sz="0" w:space="0" w:color="auto"/>
            <w:left w:val="none" w:sz="0" w:space="0" w:color="auto"/>
            <w:bottom w:val="none" w:sz="0" w:space="0" w:color="auto"/>
            <w:right w:val="none" w:sz="0" w:space="0" w:color="auto"/>
          </w:divBdr>
        </w:div>
        <w:div w:id="857154805">
          <w:marLeft w:val="1354"/>
          <w:marRight w:val="0"/>
          <w:marTop w:val="0"/>
          <w:marBottom w:val="200"/>
          <w:divBdr>
            <w:top w:val="none" w:sz="0" w:space="0" w:color="auto"/>
            <w:left w:val="none" w:sz="0" w:space="0" w:color="auto"/>
            <w:bottom w:val="none" w:sz="0" w:space="0" w:color="auto"/>
            <w:right w:val="none" w:sz="0" w:space="0" w:color="auto"/>
          </w:divBdr>
        </w:div>
        <w:div w:id="248931079">
          <w:marLeft w:val="1354"/>
          <w:marRight w:val="0"/>
          <w:marTop w:val="0"/>
          <w:marBottom w:val="200"/>
          <w:divBdr>
            <w:top w:val="none" w:sz="0" w:space="0" w:color="auto"/>
            <w:left w:val="none" w:sz="0" w:space="0" w:color="auto"/>
            <w:bottom w:val="none" w:sz="0" w:space="0" w:color="auto"/>
            <w:right w:val="none" w:sz="0" w:space="0" w:color="auto"/>
          </w:divBdr>
        </w:div>
      </w:divsChild>
    </w:div>
    <w:div w:id="825901521">
      <w:bodyDiv w:val="1"/>
      <w:marLeft w:val="0"/>
      <w:marRight w:val="0"/>
      <w:marTop w:val="0"/>
      <w:marBottom w:val="0"/>
      <w:divBdr>
        <w:top w:val="none" w:sz="0" w:space="0" w:color="auto"/>
        <w:left w:val="none" w:sz="0" w:space="0" w:color="auto"/>
        <w:bottom w:val="none" w:sz="0" w:space="0" w:color="auto"/>
        <w:right w:val="none" w:sz="0" w:space="0" w:color="auto"/>
      </w:divBdr>
      <w:divsChild>
        <w:div w:id="1754741019">
          <w:marLeft w:val="562"/>
          <w:marRight w:val="0"/>
          <w:marTop w:val="0"/>
          <w:marBottom w:val="0"/>
          <w:divBdr>
            <w:top w:val="none" w:sz="0" w:space="0" w:color="auto"/>
            <w:left w:val="none" w:sz="0" w:space="0" w:color="auto"/>
            <w:bottom w:val="none" w:sz="0" w:space="0" w:color="auto"/>
            <w:right w:val="none" w:sz="0" w:space="0" w:color="auto"/>
          </w:divBdr>
        </w:div>
        <w:div w:id="1816217175">
          <w:marLeft w:val="562"/>
          <w:marRight w:val="0"/>
          <w:marTop w:val="0"/>
          <w:marBottom w:val="0"/>
          <w:divBdr>
            <w:top w:val="none" w:sz="0" w:space="0" w:color="auto"/>
            <w:left w:val="none" w:sz="0" w:space="0" w:color="auto"/>
            <w:bottom w:val="none" w:sz="0" w:space="0" w:color="auto"/>
            <w:right w:val="none" w:sz="0" w:space="0" w:color="auto"/>
          </w:divBdr>
        </w:div>
        <w:div w:id="152458432">
          <w:marLeft w:val="562"/>
          <w:marRight w:val="0"/>
          <w:marTop w:val="0"/>
          <w:marBottom w:val="0"/>
          <w:divBdr>
            <w:top w:val="none" w:sz="0" w:space="0" w:color="auto"/>
            <w:left w:val="none" w:sz="0" w:space="0" w:color="auto"/>
            <w:bottom w:val="none" w:sz="0" w:space="0" w:color="auto"/>
            <w:right w:val="none" w:sz="0" w:space="0" w:color="auto"/>
          </w:divBdr>
        </w:div>
        <w:div w:id="1993488264">
          <w:marLeft w:val="562"/>
          <w:marRight w:val="0"/>
          <w:marTop w:val="0"/>
          <w:marBottom w:val="0"/>
          <w:divBdr>
            <w:top w:val="none" w:sz="0" w:space="0" w:color="auto"/>
            <w:left w:val="none" w:sz="0" w:space="0" w:color="auto"/>
            <w:bottom w:val="none" w:sz="0" w:space="0" w:color="auto"/>
            <w:right w:val="none" w:sz="0" w:space="0" w:color="auto"/>
          </w:divBdr>
        </w:div>
        <w:div w:id="2125417135">
          <w:marLeft w:val="562"/>
          <w:marRight w:val="0"/>
          <w:marTop w:val="0"/>
          <w:marBottom w:val="0"/>
          <w:divBdr>
            <w:top w:val="none" w:sz="0" w:space="0" w:color="auto"/>
            <w:left w:val="none" w:sz="0" w:space="0" w:color="auto"/>
            <w:bottom w:val="none" w:sz="0" w:space="0" w:color="auto"/>
            <w:right w:val="none" w:sz="0" w:space="0" w:color="auto"/>
          </w:divBdr>
        </w:div>
      </w:divsChild>
    </w:div>
    <w:div w:id="855467020">
      <w:bodyDiv w:val="1"/>
      <w:marLeft w:val="0"/>
      <w:marRight w:val="0"/>
      <w:marTop w:val="0"/>
      <w:marBottom w:val="0"/>
      <w:divBdr>
        <w:top w:val="none" w:sz="0" w:space="0" w:color="auto"/>
        <w:left w:val="none" w:sz="0" w:space="0" w:color="auto"/>
        <w:bottom w:val="none" w:sz="0" w:space="0" w:color="auto"/>
        <w:right w:val="none" w:sz="0" w:space="0" w:color="auto"/>
      </w:divBdr>
    </w:div>
    <w:div w:id="904951900">
      <w:bodyDiv w:val="1"/>
      <w:marLeft w:val="0"/>
      <w:marRight w:val="0"/>
      <w:marTop w:val="0"/>
      <w:marBottom w:val="0"/>
      <w:divBdr>
        <w:top w:val="none" w:sz="0" w:space="0" w:color="auto"/>
        <w:left w:val="none" w:sz="0" w:space="0" w:color="auto"/>
        <w:bottom w:val="none" w:sz="0" w:space="0" w:color="auto"/>
        <w:right w:val="none" w:sz="0" w:space="0" w:color="auto"/>
      </w:divBdr>
      <w:divsChild>
        <w:div w:id="2043506237">
          <w:marLeft w:val="446"/>
          <w:marRight w:val="0"/>
          <w:marTop w:val="0"/>
          <w:marBottom w:val="200"/>
          <w:divBdr>
            <w:top w:val="none" w:sz="0" w:space="0" w:color="auto"/>
            <w:left w:val="none" w:sz="0" w:space="0" w:color="auto"/>
            <w:bottom w:val="none" w:sz="0" w:space="0" w:color="auto"/>
            <w:right w:val="none" w:sz="0" w:space="0" w:color="auto"/>
          </w:divBdr>
        </w:div>
        <w:div w:id="755639300">
          <w:marLeft w:val="446"/>
          <w:marRight w:val="0"/>
          <w:marTop w:val="0"/>
          <w:marBottom w:val="200"/>
          <w:divBdr>
            <w:top w:val="none" w:sz="0" w:space="0" w:color="auto"/>
            <w:left w:val="none" w:sz="0" w:space="0" w:color="auto"/>
            <w:bottom w:val="none" w:sz="0" w:space="0" w:color="auto"/>
            <w:right w:val="none" w:sz="0" w:space="0" w:color="auto"/>
          </w:divBdr>
        </w:div>
        <w:div w:id="1604339262">
          <w:marLeft w:val="446"/>
          <w:marRight w:val="0"/>
          <w:marTop w:val="0"/>
          <w:marBottom w:val="200"/>
          <w:divBdr>
            <w:top w:val="none" w:sz="0" w:space="0" w:color="auto"/>
            <w:left w:val="none" w:sz="0" w:space="0" w:color="auto"/>
            <w:bottom w:val="none" w:sz="0" w:space="0" w:color="auto"/>
            <w:right w:val="none" w:sz="0" w:space="0" w:color="auto"/>
          </w:divBdr>
        </w:div>
        <w:div w:id="47607836">
          <w:marLeft w:val="446"/>
          <w:marRight w:val="0"/>
          <w:marTop w:val="0"/>
          <w:marBottom w:val="200"/>
          <w:divBdr>
            <w:top w:val="none" w:sz="0" w:space="0" w:color="auto"/>
            <w:left w:val="none" w:sz="0" w:space="0" w:color="auto"/>
            <w:bottom w:val="none" w:sz="0" w:space="0" w:color="auto"/>
            <w:right w:val="none" w:sz="0" w:space="0" w:color="auto"/>
          </w:divBdr>
        </w:div>
        <w:div w:id="1042560035">
          <w:marLeft w:val="446"/>
          <w:marRight w:val="0"/>
          <w:marTop w:val="0"/>
          <w:marBottom w:val="200"/>
          <w:divBdr>
            <w:top w:val="none" w:sz="0" w:space="0" w:color="auto"/>
            <w:left w:val="none" w:sz="0" w:space="0" w:color="auto"/>
            <w:bottom w:val="none" w:sz="0" w:space="0" w:color="auto"/>
            <w:right w:val="none" w:sz="0" w:space="0" w:color="auto"/>
          </w:divBdr>
        </w:div>
        <w:div w:id="709719483">
          <w:marLeft w:val="446"/>
          <w:marRight w:val="0"/>
          <w:marTop w:val="0"/>
          <w:marBottom w:val="200"/>
          <w:divBdr>
            <w:top w:val="none" w:sz="0" w:space="0" w:color="auto"/>
            <w:left w:val="none" w:sz="0" w:space="0" w:color="auto"/>
            <w:bottom w:val="none" w:sz="0" w:space="0" w:color="auto"/>
            <w:right w:val="none" w:sz="0" w:space="0" w:color="auto"/>
          </w:divBdr>
        </w:div>
      </w:divsChild>
    </w:div>
    <w:div w:id="925576047">
      <w:bodyDiv w:val="1"/>
      <w:marLeft w:val="0"/>
      <w:marRight w:val="0"/>
      <w:marTop w:val="0"/>
      <w:marBottom w:val="0"/>
      <w:divBdr>
        <w:top w:val="none" w:sz="0" w:space="0" w:color="auto"/>
        <w:left w:val="none" w:sz="0" w:space="0" w:color="auto"/>
        <w:bottom w:val="none" w:sz="0" w:space="0" w:color="auto"/>
        <w:right w:val="none" w:sz="0" w:space="0" w:color="auto"/>
      </w:divBdr>
    </w:div>
    <w:div w:id="935945454">
      <w:bodyDiv w:val="1"/>
      <w:marLeft w:val="0"/>
      <w:marRight w:val="0"/>
      <w:marTop w:val="0"/>
      <w:marBottom w:val="0"/>
      <w:divBdr>
        <w:top w:val="none" w:sz="0" w:space="0" w:color="auto"/>
        <w:left w:val="none" w:sz="0" w:space="0" w:color="auto"/>
        <w:bottom w:val="none" w:sz="0" w:space="0" w:color="auto"/>
        <w:right w:val="none" w:sz="0" w:space="0" w:color="auto"/>
      </w:divBdr>
      <w:divsChild>
        <w:div w:id="62408309">
          <w:marLeft w:val="547"/>
          <w:marRight w:val="0"/>
          <w:marTop w:val="0"/>
          <w:marBottom w:val="0"/>
          <w:divBdr>
            <w:top w:val="none" w:sz="0" w:space="0" w:color="auto"/>
            <w:left w:val="none" w:sz="0" w:space="0" w:color="auto"/>
            <w:bottom w:val="none" w:sz="0" w:space="0" w:color="auto"/>
            <w:right w:val="none" w:sz="0" w:space="0" w:color="auto"/>
          </w:divBdr>
        </w:div>
        <w:div w:id="305546182">
          <w:marLeft w:val="547"/>
          <w:marRight w:val="0"/>
          <w:marTop w:val="0"/>
          <w:marBottom w:val="0"/>
          <w:divBdr>
            <w:top w:val="none" w:sz="0" w:space="0" w:color="auto"/>
            <w:left w:val="none" w:sz="0" w:space="0" w:color="auto"/>
            <w:bottom w:val="none" w:sz="0" w:space="0" w:color="auto"/>
            <w:right w:val="none" w:sz="0" w:space="0" w:color="auto"/>
          </w:divBdr>
        </w:div>
        <w:div w:id="471410484">
          <w:marLeft w:val="547"/>
          <w:marRight w:val="0"/>
          <w:marTop w:val="0"/>
          <w:marBottom w:val="0"/>
          <w:divBdr>
            <w:top w:val="none" w:sz="0" w:space="0" w:color="auto"/>
            <w:left w:val="none" w:sz="0" w:space="0" w:color="auto"/>
            <w:bottom w:val="none" w:sz="0" w:space="0" w:color="auto"/>
            <w:right w:val="none" w:sz="0" w:space="0" w:color="auto"/>
          </w:divBdr>
        </w:div>
        <w:div w:id="2064676276">
          <w:marLeft w:val="547"/>
          <w:marRight w:val="0"/>
          <w:marTop w:val="0"/>
          <w:marBottom w:val="0"/>
          <w:divBdr>
            <w:top w:val="none" w:sz="0" w:space="0" w:color="auto"/>
            <w:left w:val="none" w:sz="0" w:space="0" w:color="auto"/>
            <w:bottom w:val="none" w:sz="0" w:space="0" w:color="auto"/>
            <w:right w:val="none" w:sz="0" w:space="0" w:color="auto"/>
          </w:divBdr>
        </w:div>
      </w:divsChild>
    </w:div>
    <w:div w:id="976031113">
      <w:bodyDiv w:val="1"/>
      <w:marLeft w:val="0"/>
      <w:marRight w:val="0"/>
      <w:marTop w:val="0"/>
      <w:marBottom w:val="0"/>
      <w:divBdr>
        <w:top w:val="none" w:sz="0" w:space="0" w:color="auto"/>
        <w:left w:val="none" w:sz="0" w:space="0" w:color="auto"/>
        <w:bottom w:val="none" w:sz="0" w:space="0" w:color="auto"/>
        <w:right w:val="none" w:sz="0" w:space="0" w:color="auto"/>
      </w:divBdr>
      <w:divsChild>
        <w:div w:id="1877812870">
          <w:marLeft w:val="547"/>
          <w:marRight w:val="0"/>
          <w:marTop w:val="0"/>
          <w:marBottom w:val="0"/>
          <w:divBdr>
            <w:top w:val="none" w:sz="0" w:space="0" w:color="auto"/>
            <w:left w:val="none" w:sz="0" w:space="0" w:color="auto"/>
            <w:bottom w:val="none" w:sz="0" w:space="0" w:color="auto"/>
            <w:right w:val="none" w:sz="0" w:space="0" w:color="auto"/>
          </w:divBdr>
        </w:div>
        <w:div w:id="1206525070">
          <w:marLeft w:val="547"/>
          <w:marRight w:val="0"/>
          <w:marTop w:val="0"/>
          <w:marBottom w:val="0"/>
          <w:divBdr>
            <w:top w:val="none" w:sz="0" w:space="0" w:color="auto"/>
            <w:left w:val="none" w:sz="0" w:space="0" w:color="auto"/>
            <w:bottom w:val="none" w:sz="0" w:space="0" w:color="auto"/>
            <w:right w:val="none" w:sz="0" w:space="0" w:color="auto"/>
          </w:divBdr>
        </w:div>
        <w:div w:id="470447073">
          <w:marLeft w:val="547"/>
          <w:marRight w:val="0"/>
          <w:marTop w:val="0"/>
          <w:marBottom w:val="0"/>
          <w:divBdr>
            <w:top w:val="none" w:sz="0" w:space="0" w:color="auto"/>
            <w:left w:val="none" w:sz="0" w:space="0" w:color="auto"/>
            <w:bottom w:val="none" w:sz="0" w:space="0" w:color="auto"/>
            <w:right w:val="none" w:sz="0" w:space="0" w:color="auto"/>
          </w:divBdr>
        </w:div>
      </w:divsChild>
    </w:div>
    <w:div w:id="1003388861">
      <w:bodyDiv w:val="1"/>
      <w:marLeft w:val="0"/>
      <w:marRight w:val="0"/>
      <w:marTop w:val="0"/>
      <w:marBottom w:val="0"/>
      <w:divBdr>
        <w:top w:val="none" w:sz="0" w:space="0" w:color="auto"/>
        <w:left w:val="none" w:sz="0" w:space="0" w:color="auto"/>
        <w:bottom w:val="none" w:sz="0" w:space="0" w:color="auto"/>
        <w:right w:val="none" w:sz="0" w:space="0" w:color="auto"/>
      </w:divBdr>
    </w:div>
    <w:div w:id="1044405027">
      <w:bodyDiv w:val="1"/>
      <w:marLeft w:val="0"/>
      <w:marRight w:val="0"/>
      <w:marTop w:val="0"/>
      <w:marBottom w:val="0"/>
      <w:divBdr>
        <w:top w:val="none" w:sz="0" w:space="0" w:color="auto"/>
        <w:left w:val="none" w:sz="0" w:space="0" w:color="auto"/>
        <w:bottom w:val="none" w:sz="0" w:space="0" w:color="auto"/>
        <w:right w:val="none" w:sz="0" w:space="0" w:color="auto"/>
      </w:divBdr>
      <w:divsChild>
        <w:div w:id="1512643284">
          <w:marLeft w:val="562"/>
          <w:marRight w:val="0"/>
          <w:marTop w:val="0"/>
          <w:marBottom w:val="0"/>
          <w:divBdr>
            <w:top w:val="none" w:sz="0" w:space="0" w:color="auto"/>
            <w:left w:val="none" w:sz="0" w:space="0" w:color="auto"/>
            <w:bottom w:val="none" w:sz="0" w:space="0" w:color="auto"/>
            <w:right w:val="none" w:sz="0" w:space="0" w:color="auto"/>
          </w:divBdr>
        </w:div>
        <w:div w:id="1170216019">
          <w:marLeft w:val="562"/>
          <w:marRight w:val="0"/>
          <w:marTop w:val="0"/>
          <w:marBottom w:val="0"/>
          <w:divBdr>
            <w:top w:val="none" w:sz="0" w:space="0" w:color="auto"/>
            <w:left w:val="none" w:sz="0" w:space="0" w:color="auto"/>
            <w:bottom w:val="none" w:sz="0" w:space="0" w:color="auto"/>
            <w:right w:val="none" w:sz="0" w:space="0" w:color="auto"/>
          </w:divBdr>
        </w:div>
        <w:div w:id="1166483142">
          <w:marLeft w:val="562"/>
          <w:marRight w:val="0"/>
          <w:marTop w:val="0"/>
          <w:marBottom w:val="0"/>
          <w:divBdr>
            <w:top w:val="none" w:sz="0" w:space="0" w:color="auto"/>
            <w:left w:val="none" w:sz="0" w:space="0" w:color="auto"/>
            <w:bottom w:val="none" w:sz="0" w:space="0" w:color="auto"/>
            <w:right w:val="none" w:sz="0" w:space="0" w:color="auto"/>
          </w:divBdr>
        </w:div>
        <w:div w:id="608665501">
          <w:marLeft w:val="562"/>
          <w:marRight w:val="0"/>
          <w:marTop w:val="0"/>
          <w:marBottom w:val="0"/>
          <w:divBdr>
            <w:top w:val="none" w:sz="0" w:space="0" w:color="auto"/>
            <w:left w:val="none" w:sz="0" w:space="0" w:color="auto"/>
            <w:bottom w:val="none" w:sz="0" w:space="0" w:color="auto"/>
            <w:right w:val="none" w:sz="0" w:space="0" w:color="auto"/>
          </w:divBdr>
        </w:div>
        <w:div w:id="1314288520">
          <w:marLeft w:val="562"/>
          <w:marRight w:val="0"/>
          <w:marTop w:val="0"/>
          <w:marBottom w:val="0"/>
          <w:divBdr>
            <w:top w:val="none" w:sz="0" w:space="0" w:color="auto"/>
            <w:left w:val="none" w:sz="0" w:space="0" w:color="auto"/>
            <w:bottom w:val="none" w:sz="0" w:space="0" w:color="auto"/>
            <w:right w:val="none" w:sz="0" w:space="0" w:color="auto"/>
          </w:divBdr>
        </w:div>
        <w:div w:id="1083796823">
          <w:marLeft w:val="562"/>
          <w:marRight w:val="0"/>
          <w:marTop w:val="0"/>
          <w:marBottom w:val="0"/>
          <w:divBdr>
            <w:top w:val="none" w:sz="0" w:space="0" w:color="auto"/>
            <w:left w:val="none" w:sz="0" w:space="0" w:color="auto"/>
            <w:bottom w:val="none" w:sz="0" w:space="0" w:color="auto"/>
            <w:right w:val="none" w:sz="0" w:space="0" w:color="auto"/>
          </w:divBdr>
        </w:div>
      </w:divsChild>
    </w:div>
    <w:div w:id="1102604779">
      <w:bodyDiv w:val="1"/>
      <w:marLeft w:val="0"/>
      <w:marRight w:val="0"/>
      <w:marTop w:val="0"/>
      <w:marBottom w:val="0"/>
      <w:divBdr>
        <w:top w:val="none" w:sz="0" w:space="0" w:color="auto"/>
        <w:left w:val="none" w:sz="0" w:space="0" w:color="auto"/>
        <w:bottom w:val="none" w:sz="0" w:space="0" w:color="auto"/>
        <w:right w:val="none" w:sz="0" w:space="0" w:color="auto"/>
      </w:divBdr>
      <w:divsChild>
        <w:div w:id="884215745">
          <w:marLeft w:val="547"/>
          <w:marRight w:val="0"/>
          <w:marTop w:val="0"/>
          <w:marBottom w:val="0"/>
          <w:divBdr>
            <w:top w:val="none" w:sz="0" w:space="0" w:color="auto"/>
            <w:left w:val="none" w:sz="0" w:space="0" w:color="auto"/>
            <w:bottom w:val="none" w:sz="0" w:space="0" w:color="auto"/>
            <w:right w:val="none" w:sz="0" w:space="0" w:color="auto"/>
          </w:divBdr>
        </w:div>
        <w:div w:id="336082600">
          <w:marLeft w:val="547"/>
          <w:marRight w:val="0"/>
          <w:marTop w:val="0"/>
          <w:marBottom w:val="0"/>
          <w:divBdr>
            <w:top w:val="none" w:sz="0" w:space="0" w:color="auto"/>
            <w:left w:val="none" w:sz="0" w:space="0" w:color="auto"/>
            <w:bottom w:val="none" w:sz="0" w:space="0" w:color="auto"/>
            <w:right w:val="none" w:sz="0" w:space="0" w:color="auto"/>
          </w:divBdr>
        </w:div>
        <w:div w:id="2031643140">
          <w:marLeft w:val="547"/>
          <w:marRight w:val="0"/>
          <w:marTop w:val="0"/>
          <w:marBottom w:val="0"/>
          <w:divBdr>
            <w:top w:val="none" w:sz="0" w:space="0" w:color="auto"/>
            <w:left w:val="none" w:sz="0" w:space="0" w:color="auto"/>
            <w:bottom w:val="none" w:sz="0" w:space="0" w:color="auto"/>
            <w:right w:val="none" w:sz="0" w:space="0" w:color="auto"/>
          </w:divBdr>
        </w:div>
      </w:divsChild>
    </w:div>
    <w:div w:id="1102800055">
      <w:bodyDiv w:val="1"/>
      <w:marLeft w:val="0"/>
      <w:marRight w:val="0"/>
      <w:marTop w:val="0"/>
      <w:marBottom w:val="0"/>
      <w:divBdr>
        <w:top w:val="none" w:sz="0" w:space="0" w:color="auto"/>
        <w:left w:val="none" w:sz="0" w:space="0" w:color="auto"/>
        <w:bottom w:val="none" w:sz="0" w:space="0" w:color="auto"/>
        <w:right w:val="none" w:sz="0" w:space="0" w:color="auto"/>
      </w:divBdr>
    </w:div>
    <w:div w:id="1253393216">
      <w:bodyDiv w:val="1"/>
      <w:marLeft w:val="0"/>
      <w:marRight w:val="0"/>
      <w:marTop w:val="0"/>
      <w:marBottom w:val="0"/>
      <w:divBdr>
        <w:top w:val="none" w:sz="0" w:space="0" w:color="auto"/>
        <w:left w:val="none" w:sz="0" w:space="0" w:color="auto"/>
        <w:bottom w:val="none" w:sz="0" w:space="0" w:color="auto"/>
        <w:right w:val="none" w:sz="0" w:space="0" w:color="auto"/>
      </w:divBdr>
    </w:div>
    <w:div w:id="1262106169">
      <w:bodyDiv w:val="1"/>
      <w:marLeft w:val="0"/>
      <w:marRight w:val="0"/>
      <w:marTop w:val="0"/>
      <w:marBottom w:val="0"/>
      <w:divBdr>
        <w:top w:val="none" w:sz="0" w:space="0" w:color="auto"/>
        <w:left w:val="none" w:sz="0" w:space="0" w:color="auto"/>
        <w:bottom w:val="none" w:sz="0" w:space="0" w:color="auto"/>
        <w:right w:val="none" w:sz="0" w:space="0" w:color="auto"/>
      </w:divBdr>
      <w:divsChild>
        <w:div w:id="1997221110">
          <w:marLeft w:val="562"/>
          <w:marRight w:val="0"/>
          <w:marTop w:val="0"/>
          <w:marBottom w:val="0"/>
          <w:divBdr>
            <w:top w:val="none" w:sz="0" w:space="0" w:color="auto"/>
            <w:left w:val="none" w:sz="0" w:space="0" w:color="auto"/>
            <w:bottom w:val="none" w:sz="0" w:space="0" w:color="auto"/>
            <w:right w:val="none" w:sz="0" w:space="0" w:color="auto"/>
          </w:divBdr>
        </w:div>
        <w:div w:id="969750838">
          <w:marLeft w:val="562"/>
          <w:marRight w:val="0"/>
          <w:marTop w:val="0"/>
          <w:marBottom w:val="0"/>
          <w:divBdr>
            <w:top w:val="none" w:sz="0" w:space="0" w:color="auto"/>
            <w:left w:val="none" w:sz="0" w:space="0" w:color="auto"/>
            <w:bottom w:val="none" w:sz="0" w:space="0" w:color="auto"/>
            <w:right w:val="none" w:sz="0" w:space="0" w:color="auto"/>
          </w:divBdr>
        </w:div>
        <w:div w:id="1735393608">
          <w:marLeft w:val="562"/>
          <w:marRight w:val="0"/>
          <w:marTop w:val="0"/>
          <w:marBottom w:val="0"/>
          <w:divBdr>
            <w:top w:val="none" w:sz="0" w:space="0" w:color="auto"/>
            <w:left w:val="none" w:sz="0" w:space="0" w:color="auto"/>
            <w:bottom w:val="none" w:sz="0" w:space="0" w:color="auto"/>
            <w:right w:val="none" w:sz="0" w:space="0" w:color="auto"/>
          </w:divBdr>
        </w:div>
        <w:div w:id="658769645">
          <w:marLeft w:val="562"/>
          <w:marRight w:val="0"/>
          <w:marTop w:val="0"/>
          <w:marBottom w:val="0"/>
          <w:divBdr>
            <w:top w:val="none" w:sz="0" w:space="0" w:color="auto"/>
            <w:left w:val="none" w:sz="0" w:space="0" w:color="auto"/>
            <w:bottom w:val="none" w:sz="0" w:space="0" w:color="auto"/>
            <w:right w:val="none" w:sz="0" w:space="0" w:color="auto"/>
          </w:divBdr>
        </w:div>
      </w:divsChild>
    </w:div>
    <w:div w:id="1357385201">
      <w:bodyDiv w:val="1"/>
      <w:marLeft w:val="0"/>
      <w:marRight w:val="0"/>
      <w:marTop w:val="0"/>
      <w:marBottom w:val="0"/>
      <w:divBdr>
        <w:top w:val="none" w:sz="0" w:space="0" w:color="auto"/>
        <w:left w:val="none" w:sz="0" w:space="0" w:color="auto"/>
        <w:bottom w:val="none" w:sz="0" w:space="0" w:color="auto"/>
        <w:right w:val="none" w:sz="0" w:space="0" w:color="auto"/>
      </w:divBdr>
      <w:divsChild>
        <w:div w:id="205066908">
          <w:marLeft w:val="547"/>
          <w:marRight w:val="0"/>
          <w:marTop w:val="0"/>
          <w:marBottom w:val="0"/>
          <w:divBdr>
            <w:top w:val="none" w:sz="0" w:space="0" w:color="auto"/>
            <w:left w:val="none" w:sz="0" w:space="0" w:color="auto"/>
            <w:bottom w:val="none" w:sz="0" w:space="0" w:color="auto"/>
            <w:right w:val="none" w:sz="0" w:space="0" w:color="auto"/>
          </w:divBdr>
        </w:div>
        <w:div w:id="1775437556">
          <w:marLeft w:val="547"/>
          <w:marRight w:val="0"/>
          <w:marTop w:val="0"/>
          <w:marBottom w:val="0"/>
          <w:divBdr>
            <w:top w:val="none" w:sz="0" w:space="0" w:color="auto"/>
            <w:left w:val="none" w:sz="0" w:space="0" w:color="auto"/>
            <w:bottom w:val="none" w:sz="0" w:space="0" w:color="auto"/>
            <w:right w:val="none" w:sz="0" w:space="0" w:color="auto"/>
          </w:divBdr>
        </w:div>
        <w:div w:id="932326281">
          <w:marLeft w:val="547"/>
          <w:marRight w:val="0"/>
          <w:marTop w:val="0"/>
          <w:marBottom w:val="0"/>
          <w:divBdr>
            <w:top w:val="none" w:sz="0" w:space="0" w:color="auto"/>
            <w:left w:val="none" w:sz="0" w:space="0" w:color="auto"/>
            <w:bottom w:val="none" w:sz="0" w:space="0" w:color="auto"/>
            <w:right w:val="none" w:sz="0" w:space="0" w:color="auto"/>
          </w:divBdr>
        </w:div>
        <w:div w:id="989946748">
          <w:marLeft w:val="562"/>
          <w:marRight w:val="0"/>
          <w:marTop w:val="0"/>
          <w:marBottom w:val="0"/>
          <w:divBdr>
            <w:top w:val="none" w:sz="0" w:space="0" w:color="auto"/>
            <w:left w:val="none" w:sz="0" w:space="0" w:color="auto"/>
            <w:bottom w:val="none" w:sz="0" w:space="0" w:color="auto"/>
            <w:right w:val="none" w:sz="0" w:space="0" w:color="auto"/>
          </w:divBdr>
        </w:div>
        <w:div w:id="608969719">
          <w:marLeft w:val="562"/>
          <w:marRight w:val="0"/>
          <w:marTop w:val="0"/>
          <w:marBottom w:val="0"/>
          <w:divBdr>
            <w:top w:val="none" w:sz="0" w:space="0" w:color="auto"/>
            <w:left w:val="none" w:sz="0" w:space="0" w:color="auto"/>
            <w:bottom w:val="none" w:sz="0" w:space="0" w:color="auto"/>
            <w:right w:val="none" w:sz="0" w:space="0" w:color="auto"/>
          </w:divBdr>
        </w:div>
      </w:divsChild>
    </w:div>
    <w:div w:id="1429502845">
      <w:bodyDiv w:val="1"/>
      <w:marLeft w:val="0"/>
      <w:marRight w:val="0"/>
      <w:marTop w:val="0"/>
      <w:marBottom w:val="0"/>
      <w:divBdr>
        <w:top w:val="none" w:sz="0" w:space="0" w:color="auto"/>
        <w:left w:val="none" w:sz="0" w:space="0" w:color="auto"/>
        <w:bottom w:val="none" w:sz="0" w:space="0" w:color="auto"/>
        <w:right w:val="none" w:sz="0" w:space="0" w:color="auto"/>
      </w:divBdr>
    </w:div>
    <w:div w:id="1453595446">
      <w:bodyDiv w:val="1"/>
      <w:marLeft w:val="0"/>
      <w:marRight w:val="0"/>
      <w:marTop w:val="0"/>
      <w:marBottom w:val="0"/>
      <w:divBdr>
        <w:top w:val="none" w:sz="0" w:space="0" w:color="auto"/>
        <w:left w:val="none" w:sz="0" w:space="0" w:color="auto"/>
        <w:bottom w:val="none" w:sz="0" w:space="0" w:color="auto"/>
        <w:right w:val="none" w:sz="0" w:space="0" w:color="auto"/>
      </w:divBdr>
    </w:div>
    <w:div w:id="1477525493">
      <w:bodyDiv w:val="1"/>
      <w:marLeft w:val="0"/>
      <w:marRight w:val="0"/>
      <w:marTop w:val="0"/>
      <w:marBottom w:val="0"/>
      <w:divBdr>
        <w:top w:val="none" w:sz="0" w:space="0" w:color="auto"/>
        <w:left w:val="none" w:sz="0" w:space="0" w:color="auto"/>
        <w:bottom w:val="none" w:sz="0" w:space="0" w:color="auto"/>
        <w:right w:val="none" w:sz="0" w:space="0" w:color="auto"/>
      </w:divBdr>
    </w:div>
    <w:div w:id="1498375492">
      <w:bodyDiv w:val="1"/>
      <w:marLeft w:val="0"/>
      <w:marRight w:val="0"/>
      <w:marTop w:val="0"/>
      <w:marBottom w:val="0"/>
      <w:divBdr>
        <w:top w:val="none" w:sz="0" w:space="0" w:color="auto"/>
        <w:left w:val="none" w:sz="0" w:space="0" w:color="auto"/>
        <w:bottom w:val="none" w:sz="0" w:space="0" w:color="auto"/>
        <w:right w:val="none" w:sz="0" w:space="0" w:color="auto"/>
      </w:divBdr>
      <w:divsChild>
        <w:div w:id="1599605693">
          <w:marLeft w:val="562"/>
          <w:marRight w:val="0"/>
          <w:marTop w:val="0"/>
          <w:marBottom w:val="0"/>
          <w:divBdr>
            <w:top w:val="none" w:sz="0" w:space="0" w:color="auto"/>
            <w:left w:val="none" w:sz="0" w:space="0" w:color="auto"/>
            <w:bottom w:val="none" w:sz="0" w:space="0" w:color="auto"/>
            <w:right w:val="none" w:sz="0" w:space="0" w:color="auto"/>
          </w:divBdr>
        </w:div>
        <w:div w:id="1516192164">
          <w:marLeft w:val="562"/>
          <w:marRight w:val="0"/>
          <w:marTop w:val="0"/>
          <w:marBottom w:val="0"/>
          <w:divBdr>
            <w:top w:val="none" w:sz="0" w:space="0" w:color="auto"/>
            <w:left w:val="none" w:sz="0" w:space="0" w:color="auto"/>
            <w:bottom w:val="none" w:sz="0" w:space="0" w:color="auto"/>
            <w:right w:val="none" w:sz="0" w:space="0" w:color="auto"/>
          </w:divBdr>
        </w:div>
        <w:div w:id="1277130557">
          <w:marLeft w:val="562"/>
          <w:marRight w:val="0"/>
          <w:marTop w:val="0"/>
          <w:marBottom w:val="0"/>
          <w:divBdr>
            <w:top w:val="none" w:sz="0" w:space="0" w:color="auto"/>
            <w:left w:val="none" w:sz="0" w:space="0" w:color="auto"/>
            <w:bottom w:val="none" w:sz="0" w:space="0" w:color="auto"/>
            <w:right w:val="none" w:sz="0" w:space="0" w:color="auto"/>
          </w:divBdr>
        </w:div>
        <w:div w:id="2083138415">
          <w:marLeft w:val="562"/>
          <w:marRight w:val="0"/>
          <w:marTop w:val="0"/>
          <w:marBottom w:val="0"/>
          <w:divBdr>
            <w:top w:val="none" w:sz="0" w:space="0" w:color="auto"/>
            <w:left w:val="none" w:sz="0" w:space="0" w:color="auto"/>
            <w:bottom w:val="none" w:sz="0" w:space="0" w:color="auto"/>
            <w:right w:val="none" w:sz="0" w:space="0" w:color="auto"/>
          </w:divBdr>
        </w:div>
      </w:divsChild>
    </w:div>
    <w:div w:id="1612396043">
      <w:bodyDiv w:val="1"/>
      <w:marLeft w:val="36"/>
      <w:marRight w:val="36"/>
      <w:marTop w:val="36"/>
      <w:marBottom w:val="9"/>
      <w:divBdr>
        <w:top w:val="none" w:sz="0" w:space="0" w:color="auto"/>
        <w:left w:val="none" w:sz="0" w:space="0" w:color="auto"/>
        <w:bottom w:val="none" w:sz="0" w:space="0" w:color="auto"/>
        <w:right w:val="none" w:sz="0" w:space="0" w:color="auto"/>
      </w:divBdr>
    </w:div>
    <w:div w:id="1615746376">
      <w:bodyDiv w:val="1"/>
      <w:marLeft w:val="0"/>
      <w:marRight w:val="0"/>
      <w:marTop w:val="0"/>
      <w:marBottom w:val="0"/>
      <w:divBdr>
        <w:top w:val="none" w:sz="0" w:space="0" w:color="auto"/>
        <w:left w:val="none" w:sz="0" w:space="0" w:color="auto"/>
        <w:bottom w:val="none" w:sz="0" w:space="0" w:color="auto"/>
        <w:right w:val="none" w:sz="0" w:space="0" w:color="auto"/>
      </w:divBdr>
      <w:divsChild>
        <w:div w:id="137500862">
          <w:marLeft w:val="562"/>
          <w:marRight w:val="0"/>
          <w:marTop w:val="0"/>
          <w:marBottom w:val="0"/>
          <w:divBdr>
            <w:top w:val="none" w:sz="0" w:space="0" w:color="auto"/>
            <w:left w:val="none" w:sz="0" w:space="0" w:color="auto"/>
            <w:bottom w:val="none" w:sz="0" w:space="0" w:color="auto"/>
            <w:right w:val="none" w:sz="0" w:space="0" w:color="auto"/>
          </w:divBdr>
        </w:div>
        <w:div w:id="1240407434">
          <w:marLeft w:val="562"/>
          <w:marRight w:val="0"/>
          <w:marTop w:val="0"/>
          <w:marBottom w:val="0"/>
          <w:divBdr>
            <w:top w:val="none" w:sz="0" w:space="0" w:color="auto"/>
            <w:left w:val="none" w:sz="0" w:space="0" w:color="auto"/>
            <w:bottom w:val="none" w:sz="0" w:space="0" w:color="auto"/>
            <w:right w:val="none" w:sz="0" w:space="0" w:color="auto"/>
          </w:divBdr>
        </w:div>
        <w:div w:id="1184976646">
          <w:marLeft w:val="562"/>
          <w:marRight w:val="0"/>
          <w:marTop w:val="0"/>
          <w:marBottom w:val="0"/>
          <w:divBdr>
            <w:top w:val="none" w:sz="0" w:space="0" w:color="auto"/>
            <w:left w:val="none" w:sz="0" w:space="0" w:color="auto"/>
            <w:bottom w:val="none" w:sz="0" w:space="0" w:color="auto"/>
            <w:right w:val="none" w:sz="0" w:space="0" w:color="auto"/>
          </w:divBdr>
        </w:div>
        <w:div w:id="1146894721">
          <w:marLeft w:val="562"/>
          <w:marRight w:val="0"/>
          <w:marTop w:val="0"/>
          <w:marBottom w:val="0"/>
          <w:divBdr>
            <w:top w:val="none" w:sz="0" w:space="0" w:color="auto"/>
            <w:left w:val="none" w:sz="0" w:space="0" w:color="auto"/>
            <w:bottom w:val="none" w:sz="0" w:space="0" w:color="auto"/>
            <w:right w:val="none" w:sz="0" w:space="0" w:color="auto"/>
          </w:divBdr>
        </w:div>
        <w:div w:id="775097042">
          <w:marLeft w:val="562"/>
          <w:marRight w:val="0"/>
          <w:marTop w:val="0"/>
          <w:marBottom w:val="0"/>
          <w:divBdr>
            <w:top w:val="none" w:sz="0" w:space="0" w:color="auto"/>
            <w:left w:val="none" w:sz="0" w:space="0" w:color="auto"/>
            <w:bottom w:val="none" w:sz="0" w:space="0" w:color="auto"/>
            <w:right w:val="none" w:sz="0" w:space="0" w:color="auto"/>
          </w:divBdr>
        </w:div>
        <w:div w:id="551426666">
          <w:marLeft w:val="562"/>
          <w:marRight w:val="0"/>
          <w:marTop w:val="0"/>
          <w:marBottom w:val="0"/>
          <w:divBdr>
            <w:top w:val="none" w:sz="0" w:space="0" w:color="auto"/>
            <w:left w:val="none" w:sz="0" w:space="0" w:color="auto"/>
            <w:bottom w:val="none" w:sz="0" w:space="0" w:color="auto"/>
            <w:right w:val="none" w:sz="0" w:space="0" w:color="auto"/>
          </w:divBdr>
        </w:div>
      </w:divsChild>
    </w:div>
    <w:div w:id="1621838006">
      <w:bodyDiv w:val="1"/>
      <w:marLeft w:val="0"/>
      <w:marRight w:val="0"/>
      <w:marTop w:val="0"/>
      <w:marBottom w:val="0"/>
      <w:divBdr>
        <w:top w:val="none" w:sz="0" w:space="0" w:color="auto"/>
        <w:left w:val="none" w:sz="0" w:space="0" w:color="auto"/>
        <w:bottom w:val="none" w:sz="0" w:space="0" w:color="auto"/>
        <w:right w:val="none" w:sz="0" w:space="0" w:color="auto"/>
      </w:divBdr>
      <w:divsChild>
        <w:div w:id="1816988482">
          <w:marLeft w:val="547"/>
          <w:marRight w:val="0"/>
          <w:marTop w:val="0"/>
          <w:marBottom w:val="0"/>
          <w:divBdr>
            <w:top w:val="none" w:sz="0" w:space="0" w:color="auto"/>
            <w:left w:val="none" w:sz="0" w:space="0" w:color="auto"/>
            <w:bottom w:val="none" w:sz="0" w:space="0" w:color="auto"/>
            <w:right w:val="none" w:sz="0" w:space="0" w:color="auto"/>
          </w:divBdr>
        </w:div>
        <w:div w:id="413015601">
          <w:marLeft w:val="547"/>
          <w:marRight w:val="0"/>
          <w:marTop w:val="0"/>
          <w:marBottom w:val="0"/>
          <w:divBdr>
            <w:top w:val="none" w:sz="0" w:space="0" w:color="auto"/>
            <w:left w:val="none" w:sz="0" w:space="0" w:color="auto"/>
            <w:bottom w:val="none" w:sz="0" w:space="0" w:color="auto"/>
            <w:right w:val="none" w:sz="0" w:space="0" w:color="auto"/>
          </w:divBdr>
        </w:div>
        <w:div w:id="138771264">
          <w:marLeft w:val="547"/>
          <w:marRight w:val="0"/>
          <w:marTop w:val="0"/>
          <w:marBottom w:val="0"/>
          <w:divBdr>
            <w:top w:val="none" w:sz="0" w:space="0" w:color="auto"/>
            <w:left w:val="none" w:sz="0" w:space="0" w:color="auto"/>
            <w:bottom w:val="none" w:sz="0" w:space="0" w:color="auto"/>
            <w:right w:val="none" w:sz="0" w:space="0" w:color="auto"/>
          </w:divBdr>
        </w:div>
        <w:div w:id="676729983">
          <w:marLeft w:val="547"/>
          <w:marRight w:val="0"/>
          <w:marTop w:val="0"/>
          <w:marBottom w:val="0"/>
          <w:divBdr>
            <w:top w:val="none" w:sz="0" w:space="0" w:color="auto"/>
            <w:left w:val="none" w:sz="0" w:space="0" w:color="auto"/>
            <w:bottom w:val="none" w:sz="0" w:space="0" w:color="auto"/>
            <w:right w:val="none" w:sz="0" w:space="0" w:color="auto"/>
          </w:divBdr>
        </w:div>
      </w:divsChild>
    </w:div>
    <w:div w:id="1649899511">
      <w:bodyDiv w:val="1"/>
      <w:marLeft w:val="0"/>
      <w:marRight w:val="0"/>
      <w:marTop w:val="0"/>
      <w:marBottom w:val="0"/>
      <w:divBdr>
        <w:top w:val="none" w:sz="0" w:space="0" w:color="auto"/>
        <w:left w:val="none" w:sz="0" w:space="0" w:color="auto"/>
        <w:bottom w:val="none" w:sz="0" w:space="0" w:color="auto"/>
        <w:right w:val="none" w:sz="0" w:space="0" w:color="auto"/>
      </w:divBdr>
      <w:divsChild>
        <w:div w:id="1094471575">
          <w:marLeft w:val="547"/>
          <w:marRight w:val="0"/>
          <w:marTop w:val="0"/>
          <w:marBottom w:val="0"/>
          <w:divBdr>
            <w:top w:val="none" w:sz="0" w:space="0" w:color="auto"/>
            <w:left w:val="none" w:sz="0" w:space="0" w:color="auto"/>
            <w:bottom w:val="none" w:sz="0" w:space="0" w:color="auto"/>
            <w:right w:val="none" w:sz="0" w:space="0" w:color="auto"/>
          </w:divBdr>
        </w:div>
      </w:divsChild>
    </w:div>
    <w:div w:id="1671567097">
      <w:bodyDiv w:val="1"/>
      <w:marLeft w:val="0"/>
      <w:marRight w:val="0"/>
      <w:marTop w:val="0"/>
      <w:marBottom w:val="0"/>
      <w:divBdr>
        <w:top w:val="none" w:sz="0" w:space="0" w:color="auto"/>
        <w:left w:val="none" w:sz="0" w:space="0" w:color="auto"/>
        <w:bottom w:val="none" w:sz="0" w:space="0" w:color="auto"/>
        <w:right w:val="none" w:sz="0" w:space="0" w:color="auto"/>
      </w:divBdr>
    </w:div>
    <w:div w:id="1699426120">
      <w:bodyDiv w:val="1"/>
      <w:marLeft w:val="0"/>
      <w:marRight w:val="0"/>
      <w:marTop w:val="0"/>
      <w:marBottom w:val="0"/>
      <w:divBdr>
        <w:top w:val="none" w:sz="0" w:space="0" w:color="auto"/>
        <w:left w:val="none" w:sz="0" w:space="0" w:color="auto"/>
        <w:bottom w:val="none" w:sz="0" w:space="0" w:color="auto"/>
        <w:right w:val="none" w:sz="0" w:space="0" w:color="auto"/>
      </w:divBdr>
      <w:divsChild>
        <w:div w:id="1429039422">
          <w:marLeft w:val="547"/>
          <w:marRight w:val="0"/>
          <w:marTop w:val="0"/>
          <w:marBottom w:val="0"/>
          <w:divBdr>
            <w:top w:val="none" w:sz="0" w:space="0" w:color="auto"/>
            <w:left w:val="none" w:sz="0" w:space="0" w:color="auto"/>
            <w:bottom w:val="none" w:sz="0" w:space="0" w:color="auto"/>
            <w:right w:val="none" w:sz="0" w:space="0" w:color="auto"/>
          </w:divBdr>
        </w:div>
        <w:div w:id="1508668314">
          <w:marLeft w:val="547"/>
          <w:marRight w:val="0"/>
          <w:marTop w:val="0"/>
          <w:marBottom w:val="0"/>
          <w:divBdr>
            <w:top w:val="none" w:sz="0" w:space="0" w:color="auto"/>
            <w:left w:val="none" w:sz="0" w:space="0" w:color="auto"/>
            <w:bottom w:val="none" w:sz="0" w:space="0" w:color="auto"/>
            <w:right w:val="none" w:sz="0" w:space="0" w:color="auto"/>
          </w:divBdr>
        </w:div>
        <w:div w:id="6493605">
          <w:marLeft w:val="446"/>
          <w:marRight w:val="0"/>
          <w:marTop w:val="0"/>
          <w:marBottom w:val="0"/>
          <w:divBdr>
            <w:top w:val="none" w:sz="0" w:space="0" w:color="auto"/>
            <w:left w:val="none" w:sz="0" w:space="0" w:color="auto"/>
            <w:bottom w:val="none" w:sz="0" w:space="0" w:color="auto"/>
            <w:right w:val="none" w:sz="0" w:space="0" w:color="auto"/>
          </w:divBdr>
        </w:div>
        <w:div w:id="1198740242">
          <w:marLeft w:val="446"/>
          <w:marRight w:val="0"/>
          <w:marTop w:val="0"/>
          <w:marBottom w:val="0"/>
          <w:divBdr>
            <w:top w:val="none" w:sz="0" w:space="0" w:color="auto"/>
            <w:left w:val="none" w:sz="0" w:space="0" w:color="auto"/>
            <w:bottom w:val="none" w:sz="0" w:space="0" w:color="auto"/>
            <w:right w:val="none" w:sz="0" w:space="0" w:color="auto"/>
          </w:divBdr>
        </w:div>
        <w:div w:id="2124496706">
          <w:marLeft w:val="446"/>
          <w:marRight w:val="0"/>
          <w:marTop w:val="0"/>
          <w:marBottom w:val="0"/>
          <w:divBdr>
            <w:top w:val="none" w:sz="0" w:space="0" w:color="auto"/>
            <w:left w:val="none" w:sz="0" w:space="0" w:color="auto"/>
            <w:bottom w:val="none" w:sz="0" w:space="0" w:color="auto"/>
            <w:right w:val="none" w:sz="0" w:space="0" w:color="auto"/>
          </w:divBdr>
        </w:div>
      </w:divsChild>
    </w:div>
    <w:div w:id="1730301727">
      <w:bodyDiv w:val="1"/>
      <w:marLeft w:val="0"/>
      <w:marRight w:val="0"/>
      <w:marTop w:val="0"/>
      <w:marBottom w:val="0"/>
      <w:divBdr>
        <w:top w:val="none" w:sz="0" w:space="0" w:color="auto"/>
        <w:left w:val="none" w:sz="0" w:space="0" w:color="auto"/>
        <w:bottom w:val="none" w:sz="0" w:space="0" w:color="auto"/>
        <w:right w:val="none" w:sz="0" w:space="0" w:color="auto"/>
      </w:divBdr>
      <w:divsChild>
        <w:div w:id="186143964">
          <w:marLeft w:val="446"/>
          <w:marRight w:val="0"/>
          <w:marTop w:val="0"/>
          <w:marBottom w:val="200"/>
          <w:divBdr>
            <w:top w:val="none" w:sz="0" w:space="0" w:color="auto"/>
            <w:left w:val="none" w:sz="0" w:space="0" w:color="auto"/>
            <w:bottom w:val="none" w:sz="0" w:space="0" w:color="auto"/>
            <w:right w:val="none" w:sz="0" w:space="0" w:color="auto"/>
          </w:divBdr>
        </w:div>
        <w:div w:id="86271730">
          <w:marLeft w:val="446"/>
          <w:marRight w:val="0"/>
          <w:marTop w:val="0"/>
          <w:marBottom w:val="200"/>
          <w:divBdr>
            <w:top w:val="none" w:sz="0" w:space="0" w:color="auto"/>
            <w:left w:val="none" w:sz="0" w:space="0" w:color="auto"/>
            <w:bottom w:val="none" w:sz="0" w:space="0" w:color="auto"/>
            <w:right w:val="none" w:sz="0" w:space="0" w:color="auto"/>
          </w:divBdr>
        </w:div>
        <w:div w:id="433289287">
          <w:marLeft w:val="1354"/>
          <w:marRight w:val="0"/>
          <w:marTop w:val="0"/>
          <w:marBottom w:val="200"/>
          <w:divBdr>
            <w:top w:val="none" w:sz="0" w:space="0" w:color="auto"/>
            <w:left w:val="none" w:sz="0" w:space="0" w:color="auto"/>
            <w:bottom w:val="none" w:sz="0" w:space="0" w:color="auto"/>
            <w:right w:val="none" w:sz="0" w:space="0" w:color="auto"/>
          </w:divBdr>
        </w:div>
        <w:div w:id="1043166197">
          <w:marLeft w:val="1354"/>
          <w:marRight w:val="0"/>
          <w:marTop w:val="0"/>
          <w:marBottom w:val="200"/>
          <w:divBdr>
            <w:top w:val="none" w:sz="0" w:space="0" w:color="auto"/>
            <w:left w:val="none" w:sz="0" w:space="0" w:color="auto"/>
            <w:bottom w:val="none" w:sz="0" w:space="0" w:color="auto"/>
            <w:right w:val="none" w:sz="0" w:space="0" w:color="auto"/>
          </w:divBdr>
        </w:div>
        <w:div w:id="360981744">
          <w:marLeft w:val="446"/>
          <w:marRight w:val="0"/>
          <w:marTop w:val="0"/>
          <w:marBottom w:val="200"/>
          <w:divBdr>
            <w:top w:val="none" w:sz="0" w:space="0" w:color="auto"/>
            <w:left w:val="none" w:sz="0" w:space="0" w:color="auto"/>
            <w:bottom w:val="none" w:sz="0" w:space="0" w:color="auto"/>
            <w:right w:val="none" w:sz="0" w:space="0" w:color="auto"/>
          </w:divBdr>
        </w:div>
        <w:div w:id="1382245011">
          <w:marLeft w:val="1354"/>
          <w:marRight w:val="0"/>
          <w:marTop w:val="0"/>
          <w:marBottom w:val="200"/>
          <w:divBdr>
            <w:top w:val="none" w:sz="0" w:space="0" w:color="auto"/>
            <w:left w:val="none" w:sz="0" w:space="0" w:color="auto"/>
            <w:bottom w:val="none" w:sz="0" w:space="0" w:color="auto"/>
            <w:right w:val="none" w:sz="0" w:space="0" w:color="auto"/>
          </w:divBdr>
        </w:div>
        <w:div w:id="2130081359">
          <w:marLeft w:val="1354"/>
          <w:marRight w:val="0"/>
          <w:marTop w:val="0"/>
          <w:marBottom w:val="200"/>
          <w:divBdr>
            <w:top w:val="none" w:sz="0" w:space="0" w:color="auto"/>
            <w:left w:val="none" w:sz="0" w:space="0" w:color="auto"/>
            <w:bottom w:val="none" w:sz="0" w:space="0" w:color="auto"/>
            <w:right w:val="none" w:sz="0" w:space="0" w:color="auto"/>
          </w:divBdr>
        </w:div>
      </w:divsChild>
    </w:div>
    <w:div w:id="1745107167">
      <w:bodyDiv w:val="1"/>
      <w:marLeft w:val="0"/>
      <w:marRight w:val="0"/>
      <w:marTop w:val="0"/>
      <w:marBottom w:val="0"/>
      <w:divBdr>
        <w:top w:val="none" w:sz="0" w:space="0" w:color="auto"/>
        <w:left w:val="none" w:sz="0" w:space="0" w:color="auto"/>
        <w:bottom w:val="none" w:sz="0" w:space="0" w:color="auto"/>
        <w:right w:val="none" w:sz="0" w:space="0" w:color="auto"/>
      </w:divBdr>
      <w:divsChild>
        <w:div w:id="1760636790">
          <w:marLeft w:val="547"/>
          <w:marRight w:val="0"/>
          <w:marTop w:val="0"/>
          <w:marBottom w:val="0"/>
          <w:divBdr>
            <w:top w:val="none" w:sz="0" w:space="0" w:color="auto"/>
            <w:left w:val="none" w:sz="0" w:space="0" w:color="auto"/>
            <w:bottom w:val="none" w:sz="0" w:space="0" w:color="auto"/>
            <w:right w:val="none" w:sz="0" w:space="0" w:color="auto"/>
          </w:divBdr>
        </w:div>
      </w:divsChild>
    </w:div>
    <w:div w:id="1759014659">
      <w:bodyDiv w:val="1"/>
      <w:marLeft w:val="0"/>
      <w:marRight w:val="0"/>
      <w:marTop w:val="0"/>
      <w:marBottom w:val="0"/>
      <w:divBdr>
        <w:top w:val="none" w:sz="0" w:space="0" w:color="auto"/>
        <w:left w:val="none" w:sz="0" w:space="0" w:color="auto"/>
        <w:bottom w:val="none" w:sz="0" w:space="0" w:color="auto"/>
        <w:right w:val="none" w:sz="0" w:space="0" w:color="auto"/>
      </w:divBdr>
    </w:div>
    <w:div w:id="1766071339">
      <w:bodyDiv w:val="1"/>
      <w:marLeft w:val="0"/>
      <w:marRight w:val="0"/>
      <w:marTop w:val="0"/>
      <w:marBottom w:val="0"/>
      <w:divBdr>
        <w:top w:val="none" w:sz="0" w:space="0" w:color="auto"/>
        <w:left w:val="none" w:sz="0" w:space="0" w:color="auto"/>
        <w:bottom w:val="none" w:sz="0" w:space="0" w:color="auto"/>
        <w:right w:val="none" w:sz="0" w:space="0" w:color="auto"/>
      </w:divBdr>
    </w:div>
    <w:div w:id="1792288398">
      <w:bodyDiv w:val="1"/>
      <w:marLeft w:val="0"/>
      <w:marRight w:val="0"/>
      <w:marTop w:val="0"/>
      <w:marBottom w:val="0"/>
      <w:divBdr>
        <w:top w:val="none" w:sz="0" w:space="0" w:color="auto"/>
        <w:left w:val="none" w:sz="0" w:space="0" w:color="auto"/>
        <w:bottom w:val="none" w:sz="0" w:space="0" w:color="auto"/>
        <w:right w:val="none" w:sz="0" w:space="0" w:color="auto"/>
      </w:divBdr>
      <w:divsChild>
        <w:div w:id="318272620">
          <w:marLeft w:val="547"/>
          <w:marRight w:val="0"/>
          <w:marTop w:val="0"/>
          <w:marBottom w:val="0"/>
          <w:divBdr>
            <w:top w:val="none" w:sz="0" w:space="0" w:color="auto"/>
            <w:left w:val="none" w:sz="0" w:space="0" w:color="auto"/>
            <w:bottom w:val="none" w:sz="0" w:space="0" w:color="auto"/>
            <w:right w:val="none" w:sz="0" w:space="0" w:color="auto"/>
          </w:divBdr>
        </w:div>
        <w:div w:id="353196308">
          <w:marLeft w:val="547"/>
          <w:marRight w:val="0"/>
          <w:marTop w:val="0"/>
          <w:marBottom w:val="0"/>
          <w:divBdr>
            <w:top w:val="none" w:sz="0" w:space="0" w:color="auto"/>
            <w:left w:val="none" w:sz="0" w:space="0" w:color="auto"/>
            <w:bottom w:val="none" w:sz="0" w:space="0" w:color="auto"/>
            <w:right w:val="none" w:sz="0" w:space="0" w:color="auto"/>
          </w:divBdr>
        </w:div>
      </w:divsChild>
    </w:div>
    <w:div w:id="1870992422">
      <w:bodyDiv w:val="1"/>
      <w:marLeft w:val="0"/>
      <w:marRight w:val="0"/>
      <w:marTop w:val="0"/>
      <w:marBottom w:val="0"/>
      <w:divBdr>
        <w:top w:val="none" w:sz="0" w:space="0" w:color="auto"/>
        <w:left w:val="none" w:sz="0" w:space="0" w:color="auto"/>
        <w:bottom w:val="none" w:sz="0" w:space="0" w:color="auto"/>
        <w:right w:val="none" w:sz="0" w:space="0" w:color="auto"/>
      </w:divBdr>
    </w:div>
    <w:div w:id="1902054087">
      <w:bodyDiv w:val="1"/>
      <w:marLeft w:val="0"/>
      <w:marRight w:val="0"/>
      <w:marTop w:val="0"/>
      <w:marBottom w:val="0"/>
      <w:divBdr>
        <w:top w:val="none" w:sz="0" w:space="0" w:color="auto"/>
        <w:left w:val="none" w:sz="0" w:space="0" w:color="auto"/>
        <w:bottom w:val="none" w:sz="0" w:space="0" w:color="auto"/>
        <w:right w:val="none" w:sz="0" w:space="0" w:color="auto"/>
      </w:divBdr>
    </w:div>
    <w:div w:id="1922447991">
      <w:bodyDiv w:val="1"/>
      <w:marLeft w:val="0"/>
      <w:marRight w:val="0"/>
      <w:marTop w:val="0"/>
      <w:marBottom w:val="0"/>
      <w:divBdr>
        <w:top w:val="none" w:sz="0" w:space="0" w:color="auto"/>
        <w:left w:val="none" w:sz="0" w:space="0" w:color="auto"/>
        <w:bottom w:val="none" w:sz="0" w:space="0" w:color="auto"/>
        <w:right w:val="none" w:sz="0" w:space="0" w:color="auto"/>
      </w:divBdr>
    </w:div>
    <w:div w:id="1967006585">
      <w:bodyDiv w:val="1"/>
      <w:marLeft w:val="0"/>
      <w:marRight w:val="0"/>
      <w:marTop w:val="0"/>
      <w:marBottom w:val="0"/>
      <w:divBdr>
        <w:top w:val="none" w:sz="0" w:space="0" w:color="auto"/>
        <w:left w:val="none" w:sz="0" w:space="0" w:color="auto"/>
        <w:bottom w:val="none" w:sz="0" w:space="0" w:color="auto"/>
        <w:right w:val="none" w:sz="0" w:space="0" w:color="auto"/>
      </w:divBdr>
      <w:divsChild>
        <w:div w:id="1119180380">
          <w:marLeft w:val="562"/>
          <w:marRight w:val="0"/>
          <w:marTop w:val="0"/>
          <w:marBottom w:val="0"/>
          <w:divBdr>
            <w:top w:val="none" w:sz="0" w:space="0" w:color="auto"/>
            <w:left w:val="none" w:sz="0" w:space="0" w:color="auto"/>
            <w:bottom w:val="none" w:sz="0" w:space="0" w:color="auto"/>
            <w:right w:val="none" w:sz="0" w:space="0" w:color="auto"/>
          </w:divBdr>
        </w:div>
        <w:div w:id="412508422">
          <w:marLeft w:val="562"/>
          <w:marRight w:val="0"/>
          <w:marTop w:val="0"/>
          <w:marBottom w:val="0"/>
          <w:divBdr>
            <w:top w:val="none" w:sz="0" w:space="0" w:color="auto"/>
            <w:left w:val="none" w:sz="0" w:space="0" w:color="auto"/>
            <w:bottom w:val="none" w:sz="0" w:space="0" w:color="auto"/>
            <w:right w:val="none" w:sz="0" w:space="0" w:color="auto"/>
          </w:divBdr>
        </w:div>
        <w:div w:id="1433671899">
          <w:marLeft w:val="562"/>
          <w:marRight w:val="0"/>
          <w:marTop w:val="0"/>
          <w:marBottom w:val="0"/>
          <w:divBdr>
            <w:top w:val="none" w:sz="0" w:space="0" w:color="auto"/>
            <w:left w:val="none" w:sz="0" w:space="0" w:color="auto"/>
            <w:bottom w:val="none" w:sz="0" w:space="0" w:color="auto"/>
            <w:right w:val="none" w:sz="0" w:space="0" w:color="auto"/>
          </w:divBdr>
        </w:div>
        <w:div w:id="650447892">
          <w:marLeft w:val="562"/>
          <w:marRight w:val="0"/>
          <w:marTop w:val="0"/>
          <w:marBottom w:val="0"/>
          <w:divBdr>
            <w:top w:val="none" w:sz="0" w:space="0" w:color="auto"/>
            <w:left w:val="none" w:sz="0" w:space="0" w:color="auto"/>
            <w:bottom w:val="none" w:sz="0" w:space="0" w:color="auto"/>
            <w:right w:val="none" w:sz="0" w:space="0" w:color="auto"/>
          </w:divBdr>
        </w:div>
        <w:div w:id="1783500407">
          <w:marLeft w:val="562"/>
          <w:marRight w:val="0"/>
          <w:marTop w:val="0"/>
          <w:marBottom w:val="0"/>
          <w:divBdr>
            <w:top w:val="none" w:sz="0" w:space="0" w:color="auto"/>
            <w:left w:val="none" w:sz="0" w:space="0" w:color="auto"/>
            <w:bottom w:val="none" w:sz="0" w:space="0" w:color="auto"/>
            <w:right w:val="none" w:sz="0" w:space="0" w:color="auto"/>
          </w:divBdr>
        </w:div>
        <w:div w:id="2089038077">
          <w:marLeft w:val="562"/>
          <w:marRight w:val="0"/>
          <w:marTop w:val="0"/>
          <w:marBottom w:val="0"/>
          <w:divBdr>
            <w:top w:val="none" w:sz="0" w:space="0" w:color="auto"/>
            <w:left w:val="none" w:sz="0" w:space="0" w:color="auto"/>
            <w:bottom w:val="none" w:sz="0" w:space="0" w:color="auto"/>
            <w:right w:val="none" w:sz="0" w:space="0" w:color="auto"/>
          </w:divBdr>
        </w:div>
      </w:divsChild>
    </w:div>
    <w:div w:id="1972520179">
      <w:bodyDiv w:val="1"/>
      <w:marLeft w:val="36"/>
      <w:marRight w:val="36"/>
      <w:marTop w:val="36"/>
      <w:marBottom w:val="9"/>
      <w:divBdr>
        <w:top w:val="none" w:sz="0" w:space="0" w:color="auto"/>
        <w:left w:val="none" w:sz="0" w:space="0" w:color="auto"/>
        <w:bottom w:val="none" w:sz="0" w:space="0" w:color="auto"/>
        <w:right w:val="none" w:sz="0" w:space="0" w:color="auto"/>
      </w:divBdr>
    </w:div>
    <w:div w:id="1991515302">
      <w:bodyDiv w:val="1"/>
      <w:marLeft w:val="0"/>
      <w:marRight w:val="0"/>
      <w:marTop w:val="0"/>
      <w:marBottom w:val="0"/>
      <w:divBdr>
        <w:top w:val="none" w:sz="0" w:space="0" w:color="auto"/>
        <w:left w:val="none" w:sz="0" w:space="0" w:color="auto"/>
        <w:bottom w:val="none" w:sz="0" w:space="0" w:color="auto"/>
        <w:right w:val="none" w:sz="0" w:space="0" w:color="auto"/>
      </w:divBdr>
      <w:divsChild>
        <w:div w:id="1903515190">
          <w:marLeft w:val="446"/>
          <w:marRight w:val="0"/>
          <w:marTop w:val="0"/>
          <w:marBottom w:val="0"/>
          <w:divBdr>
            <w:top w:val="none" w:sz="0" w:space="0" w:color="auto"/>
            <w:left w:val="none" w:sz="0" w:space="0" w:color="auto"/>
            <w:bottom w:val="none" w:sz="0" w:space="0" w:color="auto"/>
            <w:right w:val="none" w:sz="0" w:space="0" w:color="auto"/>
          </w:divBdr>
        </w:div>
        <w:div w:id="1604995929">
          <w:marLeft w:val="446"/>
          <w:marRight w:val="0"/>
          <w:marTop w:val="0"/>
          <w:marBottom w:val="0"/>
          <w:divBdr>
            <w:top w:val="none" w:sz="0" w:space="0" w:color="auto"/>
            <w:left w:val="none" w:sz="0" w:space="0" w:color="auto"/>
            <w:bottom w:val="none" w:sz="0" w:space="0" w:color="auto"/>
            <w:right w:val="none" w:sz="0" w:space="0" w:color="auto"/>
          </w:divBdr>
        </w:div>
        <w:div w:id="2074498640">
          <w:marLeft w:val="446"/>
          <w:marRight w:val="0"/>
          <w:marTop w:val="0"/>
          <w:marBottom w:val="0"/>
          <w:divBdr>
            <w:top w:val="none" w:sz="0" w:space="0" w:color="auto"/>
            <w:left w:val="none" w:sz="0" w:space="0" w:color="auto"/>
            <w:bottom w:val="none" w:sz="0" w:space="0" w:color="auto"/>
            <w:right w:val="none" w:sz="0" w:space="0" w:color="auto"/>
          </w:divBdr>
        </w:div>
        <w:div w:id="1700424177">
          <w:marLeft w:val="446"/>
          <w:marRight w:val="0"/>
          <w:marTop w:val="0"/>
          <w:marBottom w:val="0"/>
          <w:divBdr>
            <w:top w:val="none" w:sz="0" w:space="0" w:color="auto"/>
            <w:left w:val="none" w:sz="0" w:space="0" w:color="auto"/>
            <w:bottom w:val="none" w:sz="0" w:space="0" w:color="auto"/>
            <w:right w:val="none" w:sz="0" w:space="0" w:color="auto"/>
          </w:divBdr>
        </w:div>
      </w:divsChild>
    </w:div>
    <w:div w:id="1993287646">
      <w:bodyDiv w:val="1"/>
      <w:marLeft w:val="0"/>
      <w:marRight w:val="0"/>
      <w:marTop w:val="0"/>
      <w:marBottom w:val="0"/>
      <w:divBdr>
        <w:top w:val="none" w:sz="0" w:space="0" w:color="auto"/>
        <w:left w:val="none" w:sz="0" w:space="0" w:color="auto"/>
        <w:bottom w:val="none" w:sz="0" w:space="0" w:color="auto"/>
        <w:right w:val="none" w:sz="0" w:space="0" w:color="auto"/>
      </w:divBdr>
    </w:div>
    <w:div w:id="1997613528">
      <w:bodyDiv w:val="1"/>
      <w:marLeft w:val="0"/>
      <w:marRight w:val="0"/>
      <w:marTop w:val="0"/>
      <w:marBottom w:val="0"/>
      <w:divBdr>
        <w:top w:val="none" w:sz="0" w:space="0" w:color="auto"/>
        <w:left w:val="none" w:sz="0" w:space="0" w:color="auto"/>
        <w:bottom w:val="none" w:sz="0" w:space="0" w:color="auto"/>
        <w:right w:val="none" w:sz="0" w:space="0" w:color="auto"/>
      </w:divBdr>
      <w:divsChild>
        <w:div w:id="1851331191">
          <w:marLeft w:val="0"/>
          <w:marRight w:val="0"/>
          <w:marTop w:val="0"/>
          <w:marBottom w:val="200"/>
          <w:divBdr>
            <w:top w:val="none" w:sz="0" w:space="0" w:color="auto"/>
            <w:left w:val="none" w:sz="0" w:space="0" w:color="auto"/>
            <w:bottom w:val="none" w:sz="0" w:space="0" w:color="auto"/>
            <w:right w:val="none" w:sz="0" w:space="0" w:color="auto"/>
          </w:divBdr>
        </w:div>
        <w:div w:id="1454637743">
          <w:marLeft w:val="0"/>
          <w:marRight w:val="0"/>
          <w:marTop w:val="0"/>
          <w:marBottom w:val="200"/>
          <w:divBdr>
            <w:top w:val="none" w:sz="0" w:space="0" w:color="auto"/>
            <w:left w:val="none" w:sz="0" w:space="0" w:color="auto"/>
            <w:bottom w:val="none" w:sz="0" w:space="0" w:color="auto"/>
            <w:right w:val="none" w:sz="0" w:space="0" w:color="auto"/>
          </w:divBdr>
        </w:div>
        <w:div w:id="1071194314">
          <w:marLeft w:val="0"/>
          <w:marRight w:val="0"/>
          <w:marTop w:val="0"/>
          <w:marBottom w:val="200"/>
          <w:divBdr>
            <w:top w:val="none" w:sz="0" w:space="0" w:color="auto"/>
            <w:left w:val="none" w:sz="0" w:space="0" w:color="auto"/>
            <w:bottom w:val="none" w:sz="0" w:space="0" w:color="auto"/>
            <w:right w:val="none" w:sz="0" w:space="0" w:color="auto"/>
          </w:divBdr>
        </w:div>
        <w:div w:id="425153131">
          <w:marLeft w:val="0"/>
          <w:marRight w:val="0"/>
          <w:marTop w:val="0"/>
          <w:marBottom w:val="200"/>
          <w:divBdr>
            <w:top w:val="none" w:sz="0" w:space="0" w:color="auto"/>
            <w:left w:val="none" w:sz="0" w:space="0" w:color="auto"/>
            <w:bottom w:val="none" w:sz="0" w:space="0" w:color="auto"/>
            <w:right w:val="none" w:sz="0" w:space="0" w:color="auto"/>
          </w:divBdr>
        </w:div>
      </w:divsChild>
    </w:div>
    <w:div w:id="2031443012">
      <w:bodyDiv w:val="1"/>
      <w:marLeft w:val="0"/>
      <w:marRight w:val="0"/>
      <w:marTop w:val="0"/>
      <w:marBottom w:val="0"/>
      <w:divBdr>
        <w:top w:val="none" w:sz="0" w:space="0" w:color="auto"/>
        <w:left w:val="none" w:sz="0" w:space="0" w:color="auto"/>
        <w:bottom w:val="none" w:sz="0" w:space="0" w:color="auto"/>
        <w:right w:val="none" w:sz="0" w:space="0" w:color="auto"/>
      </w:divBdr>
    </w:div>
    <w:div w:id="2082946079">
      <w:bodyDiv w:val="1"/>
      <w:marLeft w:val="0"/>
      <w:marRight w:val="0"/>
      <w:marTop w:val="0"/>
      <w:marBottom w:val="0"/>
      <w:divBdr>
        <w:top w:val="none" w:sz="0" w:space="0" w:color="auto"/>
        <w:left w:val="none" w:sz="0" w:space="0" w:color="auto"/>
        <w:bottom w:val="none" w:sz="0" w:space="0" w:color="auto"/>
        <w:right w:val="none" w:sz="0" w:space="0" w:color="auto"/>
      </w:divBdr>
      <w:divsChild>
        <w:div w:id="1777944087">
          <w:marLeft w:val="562"/>
          <w:marRight w:val="0"/>
          <w:marTop w:val="0"/>
          <w:marBottom w:val="0"/>
          <w:divBdr>
            <w:top w:val="none" w:sz="0" w:space="0" w:color="auto"/>
            <w:left w:val="none" w:sz="0" w:space="0" w:color="auto"/>
            <w:bottom w:val="none" w:sz="0" w:space="0" w:color="auto"/>
            <w:right w:val="none" w:sz="0" w:space="0" w:color="auto"/>
          </w:divBdr>
        </w:div>
        <w:div w:id="2016222648">
          <w:marLeft w:val="562"/>
          <w:marRight w:val="0"/>
          <w:marTop w:val="0"/>
          <w:marBottom w:val="0"/>
          <w:divBdr>
            <w:top w:val="none" w:sz="0" w:space="0" w:color="auto"/>
            <w:left w:val="none" w:sz="0" w:space="0" w:color="auto"/>
            <w:bottom w:val="none" w:sz="0" w:space="0" w:color="auto"/>
            <w:right w:val="none" w:sz="0" w:space="0" w:color="auto"/>
          </w:divBdr>
        </w:div>
        <w:div w:id="931861364">
          <w:marLeft w:val="562"/>
          <w:marRight w:val="0"/>
          <w:marTop w:val="0"/>
          <w:marBottom w:val="0"/>
          <w:divBdr>
            <w:top w:val="none" w:sz="0" w:space="0" w:color="auto"/>
            <w:left w:val="none" w:sz="0" w:space="0" w:color="auto"/>
            <w:bottom w:val="none" w:sz="0" w:space="0" w:color="auto"/>
            <w:right w:val="none" w:sz="0" w:space="0" w:color="auto"/>
          </w:divBdr>
        </w:div>
        <w:div w:id="1524635973">
          <w:marLeft w:val="562"/>
          <w:marRight w:val="0"/>
          <w:marTop w:val="0"/>
          <w:marBottom w:val="0"/>
          <w:divBdr>
            <w:top w:val="none" w:sz="0" w:space="0" w:color="auto"/>
            <w:left w:val="none" w:sz="0" w:space="0" w:color="auto"/>
            <w:bottom w:val="none" w:sz="0" w:space="0" w:color="auto"/>
            <w:right w:val="none" w:sz="0" w:space="0" w:color="auto"/>
          </w:divBdr>
        </w:div>
      </w:divsChild>
    </w:div>
    <w:div w:id="2122456203">
      <w:bodyDiv w:val="1"/>
      <w:marLeft w:val="0"/>
      <w:marRight w:val="0"/>
      <w:marTop w:val="0"/>
      <w:marBottom w:val="0"/>
      <w:divBdr>
        <w:top w:val="none" w:sz="0" w:space="0" w:color="auto"/>
        <w:left w:val="none" w:sz="0" w:space="0" w:color="auto"/>
        <w:bottom w:val="none" w:sz="0" w:space="0" w:color="auto"/>
        <w:right w:val="none" w:sz="0" w:space="0" w:color="auto"/>
      </w:divBdr>
      <w:divsChild>
        <w:div w:id="754742315">
          <w:marLeft w:val="547"/>
          <w:marRight w:val="0"/>
          <w:marTop w:val="0"/>
          <w:marBottom w:val="0"/>
          <w:divBdr>
            <w:top w:val="none" w:sz="0" w:space="0" w:color="auto"/>
            <w:left w:val="none" w:sz="0" w:space="0" w:color="auto"/>
            <w:bottom w:val="none" w:sz="0" w:space="0" w:color="auto"/>
            <w:right w:val="none" w:sz="0" w:space="0" w:color="auto"/>
          </w:divBdr>
        </w:div>
        <w:div w:id="654724117">
          <w:marLeft w:val="547"/>
          <w:marRight w:val="0"/>
          <w:marTop w:val="0"/>
          <w:marBottom w:val="0"/>
          <w:divBdr>
            <w:top w:val="none" w:sz="0" w:space="0" w:color="auto"/>
            <w:left w:val="none" w:sz="0" w:space="0" w:color="auto"/>
            <w:bottom w:val="none" w:sz="0" w:space="0" w:color="auto"/>
            <w:right w:val="none" w:sz="0" w:space="0" w:color="auto"/>
          </w:divBdr>
        </w:div>
        <w:div w:id="1687829952">
          <w:marLeft w:val="547"/>
          <w:marRight w:val="0"/>
          <w:marTop w:val="0"/>
          <w:marBottom w:val="0"/>
          <w:divBdr>
            <w:top w:val="none" w:sz="0" w:space="0" w:color="auto"/>
            <w:left w:val="none" w:sz="0" w:space="0" w:color="auto"/>
            <w:bottom w:val="none" w:sz="0" w:space="0" w:color="auto"/>
            <w:right w:val="none" w:sz="0" w:space="0" w:color="auto"/>
          </w:divBdr>
        </w:div>
      </w:divsChild>
    </w:div>
    <w:div w:id="2127117208">
      <w:bodyDiv w:val="1"/>
      <w:marLeft w:val="0"/>
      <w:marRight w:val="0"/>
      <w:marTop w:val="0"/>
      <w:marBottom w:val="0"/>
      <w:divBdr>
        <w:top w:val="none" w:sz="0" w:space="0" w:color="auto"/>
        <w:left w:val="none" w:sz="0" w:space="0" w:color="auto"/>
        <w:bottom w:val="none" w:sz="0" w:space="0" w:color="auto"/>
        <w:right w:val="none" w:sz="0" w:space="0" w:color="auto"/>
      </w:divBdr>
      <w:divsChild>
        <w:div w:id="1184368811">
          <w:marLeft w:val="720"/>
          <w:marRight w:val="0"/>
          <w:marTop w:val="480"/>
          <w:marBottom w:val="0"/>
          <w:divBdr>
            <w:top w:val="none" w:sz="0" w:space="0" w:color="auto"/>
            <w:left w:val="none" w:sz="0" w:space="0" w:color="auto"/>
            <w:bottom w:val="none" w:sz="0" w:space="0" w:color="auto"/>
            <w:right w:val="none" w:sz="0" w:space="0" w:color="auto"/>
          </w:divBdr>
        </w:div>
        <w:div w:id="334697143">
          <w:marLeft w:val="720"/>
          <w:marRight w:val="0"/>
          <w:marTop w:val="480"/>
          <w:marBottom w:val="0"/>
          <w:divBdr>
            <w:top w:val="none" w:sz="0" w:space="0" w:color="auto"/>
            <w:left w:val="none" w:sz="0" w:space="0" w:color="auto"/>
            <w:bottom w:val="none" w:sz="0" w:space="0" w:color="auto"/>
            <w:right w:val="none" w:sz="0" w:space="0" w:color="auto"/>
          </w:divBdr>
        </w:div>
        <w:div w:id="2071463861">
          <w:marLeft w:val="720"/>
          <w:marRight w:val="0"/>
          <w:marTop w:val="480"/>
          <w:marBottom w:val="0"/>
          <w:divBdr>
            <w:top w:val="none" w:sz="0" w:space="0" w:color="auto"/>
            <w:left w:val="none" w:sz="0" w:space="0" w:color="auto"/>
            <w:bottom w:val="none" w:sz="0" w:space="0" w:color="auto"/>
            <w:right w:val="none" w:sz="0" w:space="0" w:color="auto"/>
          </w:divBdr>
        </w:div>
        <w:div w:id="1290429897">
          <w:marLeft w:val="720"/>
          <w:marRight w:val="0"/>
          <w:marTop w:val="480"/>
          <w:marBottom w:val="0"/>
          <w:divBdr>
            <w:top w:val="none" w:sz="0" w:space="0" w:color="auto"/>
            <w:left w:val="none" w:sz="0" w:space="0" w:color="auto"/>
            <w:bottom w:val="none" w:sz="0" w:space="0" w:color="auto"/>
            <w:right w:val="none" w:sz="0" w:space="0" w:color="auto"/>
          </w:divBdr>
        </w:div>
        <w:div w:id="1012535113">
          <w:marLeft w:val="806"/>
          <w:marRight w:val="0"/>
          <w:marTop w:val="480"/>
          <w:marBottom w:val="0"/>
          <w:divBdr>
            <w:top w:val="none" w:sz="0" w:space="0" w:color="auto"/>
            <w:left w:val="none" w:sz="0" w:space="0" w:color="auto"/>
            <w:bottom w:val="none" w:sz="0" w:space="0" w:color="auto"/>
            <w:right w:val="none" w:sz="0" w:space="0" w:color="auto"/>
          </w:divBdr>
        </w:div>
        <w:div w:id="1873806507">
          <w:marLeft w:val="720"/>
          <w:marRight w:val="0"/>
          <w:marTop w:val="480"/>
          <w:marBottom w:val="0"/>
          <w:divBdr>
            <w:top w:val="none" w:sz="0" w:space="0" w:color="auto"/>
            <w:left w:val="none" w:sz="0" w:space="0" w:color="auto"/>
            <w:bottom w:val="none" w:sz="0" w:space="0" w:color="auto"/>
            <w:right w:val="none" w:sz="0" w:space="0" w:color="auto"/>
          </w:divBdr>
        </w:div>
        <w:div w:id="1124693009">
          <w:marLeft w:val="720"/>
          <w:marRight w:val="0"/>
          <w:marTop w:val="480"/>
          <w:marBottom w:val="0"/>
          <w:divBdr>
            <w:top w:val="none" w:sz="0" w:space="0" w:color="auto"/>
            <w:left w:val="none" w:sz="0" w:space="0" w:color="auto"/>
            <w:bottom w:val="none" w:sz="0" w:space="0" w:color="auto"/>
            <w:right w:val="none" w:sz="0" w:space="0" w:color="auto"/>
          </w:divBdr>
        </w:div>
        <w:div w:id="375008717">
          <w:marLeft w:val="720"/>
          <w:marRight w:val="0"/>
          <w:marTop w:val="480"/>
          <w:marBottom w:val="0"/>
          <w:divBdr>
            <w:top w:val="none" w:sz="0" w:space="0" w:color="auto"/>
            <w:left w:val="none" w:sz="0" w:space="0" w:color="auto"/>
            <w:bottom w:val="none" w:sz="0" w:space="0" w:color="auto"/>
            <w:right w:val="none" w:sz="0" w:space="0" w:color="auto"/>
          </w:divBdr>
        </w:div>
        <w:div w:id="1911306344">
          <w:marLeft w:val="720"/>
          <w:marRight w:val="0"/>
          <w:marTop w:val="480"/>
          <w:marBottom w:val="0"/>
          <w:divBdr>
            <w:top w:val="none" w:sz="0" w:space="0" w:color="auto"/>
            <w:left w:val="none" w:sz="0" w:space="0" w:color="auto"/>
            <w:bottom w:val="none" w:sz="0" w:space="0" w:color="auto"/>
            <w:right w:val="none" w:sz="0" w:space="0" w:color="auto"/>
          </w:divBdr>
        </w:div>
        <w:div w:id="1786996470">
          <w:marLeft w:val="720"/>
          <w:marRight w:val="0"/>
          <w:marTop w:val="480"/>
          <w:marBottom w:val="0"/>
          <w:divBdr>
            <w:top w:val="none" w:sz="0" w:space="0" w:color="auto"/>
            <w:left w:val="none" w:sz="0" w:space="0" w:color="auto"/>
            <w:bottom w:val="none" w:sz="0" w:space="0" w:color="auto"/>
            <w:right w:val="none" w:sz="0" w:space="0" w:color="auto"/>
          </w:divBdr>
        </w:div>
        <w:div w:id="872381438">
          <w:marLeft w:val="72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madalane\Desktop\Annual%20Report%202016.17\NRC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Sheet1!$B$68</c:f>
              <c:strCache>
                <c:ptCount val="1"/>
                <c:pt idx="0">
                  <c:v> Employee cost (R'm)</c:v>
                </c:pt>
              </c:strCache>
            </c:strRef>
          </c:tx>
          <c:spPr>
            <a:solidFill>
              <a:srgbClr val="00B0F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66,3%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35-4F8B-9A9A-2D3D866B7B9C}"/>
                </c:ext>
              </c:extLst>
            </c:dLbl>
            <c:dLbl>
              <c:idx val="1"/>
              <c:tx>
                <c:rich>
                  <a:bodyPr/>
                  <a:lstStyle/>
                  <a:p>
                    <a:r>
                      <a:rPr lang="en-US"/>
                      <a:t>72,5%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35-4F8B-9A9A-2D3D866B7B9C}"/>
                </c:ext>
              </c:extLst>
            </c:dLbl>
            <c:dLbl>
              <c:idx val="2"/>
              <c:tx>
                <c:rich>
                  <a:bodyPr/>
                  <a:lstStyle/>
                  <a:p>
                    <a:r>
                      <a:rPr lang="en-US"/>
                      <a:t>78%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35-4F8B-9A9A-2D3D866B7B9C}"/>
                </c:ext>
              </c:extLst>
            </c:dLbl>
            <c:dLbl>
              <c:idx val="3"/>
              <c:tx>
                <c:rich>
                  <a:bodyPr/>
                  <a:lstStyle/>
                  <a:p>
                    <a:r>
                      <a:rPr lang="en-US"/>
                      <a:t>76,9%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35-4F8B-9A9A-2D3D866B7B9C}"/>
                </c:ext>
              </c:extLst>
            </c:dLbl>
            <c:dLbl>
              <c:idx val="4"/>
              <c:tx>
                <c:rich>
                  <a:bodyPr/>
                  <a:lstStyle/>
                  <a:p>
                    <a:r>
                      <a:rPr lang="en-US"/>
                      <a:t>79,1%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135-4F8B-9A9A-2D3D866B7B9C}"/>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Sheet1!$C$67:$G$67</c:f>
              <c:numCache>
                <c:formatCode>General</c:formatCode>
                <c:ptCount val="5"/>
                <c:pt idx="0">
                  <c:v>2013</c:v>
                </c:pt>
                <c:pt idx="1">
                  <c:v>2014</c:v>
                </c:pt>
                <c:pt idx="2">
                  <c:v>2015</c:v>
                </c:pt>
                <c:pt idx="3">
                  <c:v>2016</c:v>
                </c:pt>
                <c:pt idx="4">
                  <c:v>2017</c:v>
                </c:pt>
              </c:numCache>
            </c:numRef>
          </c:cat>
          <c:val>
            <c:numRef>
              <c:f>Sheet1!$C$68:$G$68</c:f>
              <c:numCache>
                <c:formatCode>#\ ##0.0</c:formatCode>
                <c:ptCount val="5"/>
                <c:pt idx="0">
                  <c:v>148.4</c:v>
                </c:pt>
                <c:pt idx="1">
                  <c:v>178.3</c:v>
                </c:pt>
                <c:pt idx="2">
                  <c:v>217.2</c:v>
                </c:pt>
                <c:pt idx="3">
                  <c:v>237</c:v>
                </c:pt>
                <c:pt idx="4">
                  <c:v>258.2</c:v>
                </c:pt>
              </c:numCache>
            </c:numRef>
          </c:val>
          <c:extLst xmlns:c16r2="http://schemas.microsoft.com/office/drawing/2015/06/chart">
            <c:ext xmlns:c16="http://schemas.microsoft.com/office/drawing/2014/chart" uri="{C3380CC4-5D6E-409C-BE32-E72D297353CC}">
              <c16:uniqueId val="{00000005-E135-4F8B-9A9A-2D3D866B7B9C}"/>
            </c:ext>
          </c:extLst>
        </c:ser>
        <c:ser>
          <c:idx val="1"/>
          <c:order val="1"/>
          <c:tx>
            <c:strRef>
              <c:f>Sheet1!$B$69</c:f>
              <c:strCache>
                <c:ptCount val="1"/>
                <c:pt idx="0">
                  <c:v> Operational Cost (R'm)</c:v>
                </c:pt>
              </c:strCache>
            </c:strRef>
          </c:tx>
          <c:spPr>
            <a:solidFill>
              <a:schemeClr val="accent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33,8%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135-4F8B-9A9A-2D3D866B7B9C}"/>
                </c:ext>
              </c:extLst>
            </c:dLbl>
            <c:dLbl>
              <c:idx val="1"/>
              <c:tx>
                <c:rich>
                  <a:bodyPr/>
                  <a:lstStyle/>
                  <a:p>
                    <a:r>
                      <a:rPr lang="en-US"/>
                      <a:t>27,5%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135-4F8B-9A9A-2D3D866B7B9C}"/>
                </c:ext>
              </c:extLst>
            </c:dLbl>
            <c:dLbl>
              <c:idx val="2"/>
              <c:tx>
                <c:rich>
                  <a:bodyPr/>
                  <a:lstStyle/>
                  <a:p>
                    <a:r>
                      <a:rPr lang="en-US"/>
                      <a:t>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135-4F8B-9A9A-2D3D866B7B9C}"/>
                </c:ext>
              </c:extLst>
            </c:dLbl>
            <c:dLbl>
              <c:idx val="3"/>
              <c:tx>
                <c:rich>
                  <a:bodyPr/>
                  <a:lstStyle/>
                  <a:p>
                    <a:r>
                      <a:rPr lang="en-US"/>
                      <a:t>23,1%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135-4F8B-9A9A-2D3D866B7B9C}"/>
                </c:ext>
              </c:extLst>
            </c:dLbl>
            <c:dLbl>
              <c:idx val="4"/>
              <c:tx>
                <c:rich>
                  <a:bodyPr/>
                  <a:lstStyle/>
                  <a:p>
                    <a:r>
                      <a:rPr lang="en-US"/>
                      <a:t>20,9%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135-4F8B-9A9A-2D3D866B7B9C}"/>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Sheet1!$C$67:$G$67</c:f>
              <c:numCache>
                <c:formatCode>General</c:formatCode>
                <c:ptCount val="5"/>
                <c:pt idx="0">
                  <c:v>2013</c:v>
                </c:pt>
                <c:pt idx="1">
                  <c:v>2014</c:v>
                </c:pt>
                <c:pt idx="2">
                  <c:v>2015</c:v>
                </c:pt>
                <c:pt idx="3">
                  <c:v>2016</c:v>
                </c:pt>
                <c:pt idx="4">
                  <c:v>2017</c:v>
                </c:pt>
              </c:numCache>
            </c:numRef>
          </c:cat>
          <c:val>
            <c:numRef>
              <c:f>Sheet1!$C$69:$G$69</c:f>
              <c:numCache>
                <c:formatCode>#\ ##0.0</c:formatCode>
                <c:ptCount val="5"/>
                <c:pt idx="0">
                  <c:v>75.599999999999994</c:v>
                </c:pt>
                <c:pt idx="1">
                  <c:v>67.7</c:v>
                </c:pt>
                <c:pt idx="2">
                  <c:v>61.3</c:v>
                </c:pt>
                <c:pt idx="3">
                  <c:v>71.3</c:v>
                </c:pt>
                <c:pt idx="4">
                  <c:v>68.400000000000006</c:v>
                </c:pt>
              </c:numCache>
            </c:numRef>
          </c:val>
          <c:extLst xmlns:c16r2="http://schemas.microsoft.com/office/drawing/2015/06/chart">
            <c:ext xmlns:c16="http://schemas.microsoft.com/office/drawing/2014/chart" uri="{C3380CC4-5D6E-409C-BE32-E72D297353CC}">
              <c16:uniqueId val="{0000000B-E135-4F8B-9A9A-2D3D866B7B9C}"/>
            </c:ext>
          </c:extLst>
        </c:ser>
        <c:dLbls>
          <c:showLegendKey val="0"/>
          <c:showVal val="0"/>
          <c:showCatName val="0"/>
          <c:showSerName val="0"/>
          <c:showPercent val="0"/>
          <c:showBubbleSize val="0"/>
        </c:dLbls>
        <c:gapWidth val="150"/>
        <c:overlap val="100"/>
        <c:axId val="64094976"/>
        <c:axId val="85130624"/>
      </c:barChart>
      <c:catAx>
        <c:axId val="64094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130624"/>
        <c:crosses val="autoZero"/>
        <c:auto val="1"/>
        <c:lblAlgn val="ctr"/>
        <c:lblOffset val="100"/>
        <c:noMultiLvlLbl val="0"/>
      </c:catAx>
      <c:valAx>
        <c:axId val="85130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t>Amount</a:t>
                </a:r>
              </a:p>
            </c:rich>
          </c:tx>
          <c:layout>
            <c:manualLayout>
              <c:xMode val="edge"/>
              <c:yMode val="edge"/>
              <c:x val="9.7452934662236992E-2"/>
              <c:y val="0.33423592884222803"/>
            </c:manualLayout>
          </c:layout>
          <c:overlay val="0"/>
          <c:spPr>
            <a:noFill/>
            <a:ln>
              <a:noFill/>
            </a:ln>
            <a:effectLst/>
          </c:sp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4094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3C32-3360-4F57-A110-47A2B503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16894</Words>
  <Characters>96299</Characters>
  <Application>Microsoft Office Word</Application>
  <DocSecurity>4</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mherling</dc:creator>
  <cp:lastModifiedBy>Asanda</cp:lastModifiedBy>
  <cp:revision>2</cp:revision>
  <cp:lastPrinted>2017-10-19T08:43:00Z</cp:lastPrinted>
  <dcterms:created xsi:type="dcterms:W3CDTF">2017-10-23T10:33:00Z</dcterms:created>
  <dcterms:modified xsi:type="dcterms:W3CDTF">2017-10-23T10:33:00Z</dcterms:modified>
</cp:coreProperties>
</file>