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2C" w:rsidRPr="00E9592C" w:rsidRDefault="00E9592C" w:rsidP="00E9592C">
      <w:pPr>
        <w:spacing w:before="120" w:after="120" w:line="240" w:lineRule="auto"/>
        <w:ind w:hanging="630"/>
        <w:jc w:val="both"/>
        <w:rPr>
          <w:rFonts w:ascii="Times New Roman" w:hAnsi="Times New Roman" w:cs="Times New Roman"/>
          <w:b/>
          <w:sz w:val="28"/>
          <w:szCs w:val="28"/>
          <w:lang w:val="en-GB"/>
        </w:rPr>
      </w:pPr>
      <w:bookmarkStart w:id="0" w:name="_GoBack"/>
      <w:bookmarkEnd w:id="0"/>
      <w:r w:rsidRPr="00E9592C">
        <w:rPr>
          <w:rFonts w:ascii="Times New Roman" w:hAnsi="Times New Roman" w:cs="Times New Roman"/>
          <w:b/>
          <w:sz w:val="28"/>
          <w:szCs w:val="28"/>
          <w:lang w:val="en-GB"/>
        </w:rPr>
        <w:t>4.</w:t>
      </w:r>
      <w:r w:rsidRPr="00E9592C">
        <w:rPr>
          <w:rFonts w:ascii="Times New Roman" w:hAnsi="Times New Roman" w:cs="Times New Roman"/>
          <w:b/>
          <w:sz w:val="28"/>
          <w:szCs w:val="28"/>
          <w:lang w:val="en-GB"/>
        </w:rPr>
        <w:tab/>
      </w:r>
      <w:r w:rsidR="00E3159D" w:rsidRPr="00E9592C">
        <w:rPr>
          <w:rFonts w:ascii="Times New Roman" w:hAnsi="Times New Roman" w:cs="Times New Roman"/>
          <w:b/>
          <w:sz w:val="28"/>
          <w:szCs w:val="28"/>
          <w:lang w:val="en-GB"/>
        </w:rPr>
        <w:t>R</w:t>
      </w:r>
      <w:r w:rsidRPr="00E9592C">
        <w:rPr>
          <w:rFonts w:ascii="Times New Roman" w:hAnsi="Times New Roman" w:cs="Times New Roman"/>
          <w:b/>
          <w:sz w:val="28"/>
          <w:szCs w:val="28"/>
          <w:lang w:val="en-GB"/>
        </w:rPr>
        <w:t>eport of the Portfolio Committee on Transport on th</w:t>
      </w:r>
      <w:r w:rsidR="00FB05B1">
        <w:rPr>
          <w:rFonts w:ascii="Times New Roman" w:hAnsi="Times New Roman" w:cs="Times New Roman"/>
          <w:b/>
          <w:sz w:val="28"/>
          <w:szCs w:val="28"/>
          <w:lang w:val="en-GB"/>
        </w:rPr>
        <w:t>e</w:t>
      </w:r>
      <w:r w:rsidRPr="00E9592C">
        <w:rPr>
          <w:rFonts w:ascii="Times New Roman" w:hAnsi="Times New Roman" w:cs="Times New Roman"/>
          <w:b/>
          <w:sz w:val="28"/>
          <w:szCs w:val="28"/>
          <w:lang w:val="en-GB"/>
        </w:rPr>
        <w:t xml:space="preserve"> 2017/18 Strategic Plan and Annual Performance Plan (APP) of the Department of Transport, Dated 17 May 2017</w:t>
      </w:r>
    </w:p>
    <w:p w:rsidR="00E3159D" w:rsidRPr="00E9592C" w:rsidRDefault="00E3159D" w:rsidP="00E9592C">
      <w:pPr>
        <w:spacing w:before="120" w:after="120" w:line="240" w:lineRule="auto"/>
        <w:jc w:val="both"/>
        <w:rPr>
          <w:rFonts w:ascii="Times New Roman" w:hAnsi="Times New Roman" w:cs="Times New Roman"/>
          <w:b/>
          <w:sz w:val="24"/>
          <w:szCs w:val="24"/>
          <w:lang w:val="en-GB"/>
        </w:rPr>
      </w:pPr>
    </w:p>
    <w:p w:rsidR="00E3159D" w:rsidRPr="00E9592C" w:rsidRDefault="00BE22E9"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INTRODUCTION</w:t>
      </w:r>
    </w:p>
    <w:p w:rsidR="00270B4C" w:rsidRPr="00E9592C" w:rsidRDefault="00270B4C" w:rsidP="00E9592C">
      <w:pPr>
        <w:spacing w:before="120" w:after="120" w:line="240" w:lineRule="auto"/>
        <w:ind w:left="180"/>
        <w:jc w:val="both"/>
        <w:rPr>
          <w:rFonts w:ascii="Times New Roman" w:eastAsia="Times New Roman" w:hAnsi="Times New Roman" w:cs="Times New Roman"/>
          <w:b/>
          <w:color w:val="000000"/>
          <w:sz w:val="24"/>
          <w:szCs w:val="24"/>
          <w:lang w:val="en-GB" w:eastAsia="en-GB"/>
        </w:rPr>
      </w:pPr>
    </w:p>
    <w:p w:rsidR="00270B4C" w:rsidRPr="00E9592C" w:rsidRDefault="00270B4C" w:rsidP="00E9592C">
      <w:pPr>
        <w:spacing w:before="120" w:after="120" w:line="240" w:lineRule="auto"/>
        <w:jc w:val="both"/>
        <w:rPr>
          <w:rFonts w:ascii="Times New Roman" w:eastAsia="Times New Roman" w:hAnsi="Times New Roman" w:cs="Times New Roman"/>
          <w:color w:val="000000"/>
          <w:sz w:val="24"/>
          <w:szCs w:val="24"/>
          <w:lang w:val="en-GB" w:eastAsia="en-GB"/>
        </w:rPr>
      </w:pPr>
      <w:r w:rsidRPr="00E9592C">
        <w:rPr>
          <w:rFonts w:ascii="Times New Roman" w:eastAsia="Times New Roman" w:hAnsi="Times New Roman" w:cs="Times New Roman"/>
          <w:color w:val="000000"/>
          <w:sz w:val="24"/>
          <w:szCs w:val="24"/>
          <w:lang w:val="en-GB" w:eastAsia="en-GB"/>
        </w:rPr>
        <w:t xml:space="preserve">The Portfolio Committee of Transport, having considered </w:t>
      </w:r>
      <w:r w:rsidR="00A9453F" w:rsidRPr="00E9592C">
        <w:rPr>
          <w:rFonts w:ascii="Times New Roman" w:eastAsia="Times New Roman" w:hAnsi="Times New Roman" w:cs="Times New Roman"/>
          <w:color w:val="000000"/>
          <w:sz w:val="24"/>
          <w:szCs w:val="24"/>
          <w:lang w:val="en-GB" w:eastAsia="en-GB"/>
        </w:rPr>
        <w:t xml:space="preserve">the 2017/18 Strategic Plans and Annual Performance Plans of the Department of Transport and its entities, reports </w:t>
      </w:r>
      <w:r w:rsidRPr="00E9592C">
        <w:rPr>
          <w:rFonts w:ascii="Times New Roman" w:eastAsia="Times New Roman" w:hAnsi="Times New Roman" w:cs="Times New Roman"/>
          <w:color w:val="000000"/>
          <w:sz w:val="24"/>
          <w:szCs w:val="24"/>
          <w:lang w:val="en-GB" w:eastAsia="en-GB"/>
        </w:rPr>
        <w:t>as follows:</w:t>
      </w:r>
    </w:p>
    <w:p w:rsidR="00270B4C" w:rsidRPr="00E9592C" w:rsidRDefault="00270B4C" w:rsidP="00E9592C">
      <w:pPr>
        <w:spacing w:before="120" w:after="120" w:line="240" w:lineRule="auto"/>
        <w:jc w:val="both"/>
        <w:rPr>
          <w:rFonts w:ascii="Times New Roman" w:eastAsia="Times New Roman" w:hAnsi="Times New Roman" w:cs="Times New Roman"/>
          <w:b/>
          <w:color w:val="000000"/>
          <w:sz w:val="24"/>
          <w:szCs w:val="24"/>
          <w:lang w:val="en-GB" w:eastAsia="en-GB"/>
        </w:rPr>
      </w:pPr>
    </w:p>
    <w:p w:rsidR="001C0084" w:rsidRPr="00E9592C" w:rsidRDefault="001C0084" w:rsidP="00E9592C">
      <w:pPr>
        <w:spacing w:before="120" w:after="120" w:line="240" w:lineRule="auto"/>
        <w:rPr>
          <w:rFonts w:ascii="Times New Roman" w:eastAsia="Times New Roman" w:hAnsi="Times New Roman" w:cs="Times New Roman"/>
          <w:b/>
          <w:color w:val="000000"/>
          <w:sz w:val="24"/>
          <w:szCs w:val="24"/>
          <w:lang w:val="en-GB" w:eastAsia="en-GB"/>
        </w:rPr>
      </w:pPr>
      <w:r w:rsidRPr="00E9592C">
        <w:rPr>
          <w:rFonts w:ascii="Times New Roman" w:eastAsia="Times New Roman" w:hAnsi="Times New Roman" w:cs="Times New Roman"/>
          <w:b/>
          <w:color w:val="000000"/>
          <w:sz w:val="24"/>
          <w:szCs w:val="24"/>
          <w:lang w:val="en-GB" w:eastAsia="en-GB"/>
        </w:rPr>
        <w:t>1.</w:t>
      </w:r>
      <w:r w:rsidRPr="00E9592C">
        <w:rPr>
          <w:rFonts w:ascii="Times New Roman" w:eastAsia="Times New Roman" w:hAnsi="Times New Roman" w:cs="Times New Roman"/>
          <w:b/>
          <w:color w:val="000000"/>
          <w:sz w:val="24"/>
          <w:szCs w:val="24"/>
          <w:lang w:val="en-GB" w:eastAsia="en-GB"/>
        </w:rPr>
        <w:tab/>
        <w:t>INTRODUCTION</w:t>
      </w:r>
    </w:p>
    <w:p w:rsidR="001C0084" w:rsidRPr="00E9592C" w:rsidRDefault="001C0084" w:rsidP="00E9592C">
      <w:pPr>
        <w:spacing w:before="120" w:after="120" w:line="240" w:lineRule="auto"/>
        <w:rPr>
          <w:rFonts w:ascii="Times New Roman" w:hAnsi="Times New Roman" w:cs="Times New Roman"/>
          <w:sz w:val="24"/>
          <w:szCs w:val="24"/>
          <w:lang w:val="en-GB" w:eastAsia="en-GB"/>
        </w:rPr>
      </w:pPr>
    </w:p>
    <w:p w:rsidR="001C0084" w:rsidRPr="00E9592C" w:rsidRDefault="001C0084" w:rsidP="00E9592C">
      <w:pPr>
        <w:spacing w:before="120" w:after="120" w:line="240" w:lineRule="auto"/>
        <w:rPr>
          <w:rFonts w:ascii="Times New Roman" w:hAnsi="Times New Roman" w:cs="Times New Roman"/>
          <w:b/>
          <w:sz w:val="24"/>
          <w:szCs w:val="24"/>
          <w:lang w:val="en-GB" w:eastAsia="en-GB"/>
        </w:rPr>
      </w:pPr>
      <w:r w:rsidRPr="00E9592C">
        <w:rPr>
          <w:rFonts w:ascii="Times New Roman" w:hAnsi="Times New Roman" w:cs="Times New Roman"/>
          <w:b/>
          <w:sz w:val="24"/>
          <w:szCs w:val="24"/>
          <w:lang w:val="en-GB" w:eastAsia="en-GB"/>
        </w:rPr>
        <w:t xml:space="preserve">1.1 </w:t>
      </w:r>
      <w:r w:rsidRPr="00E9592C">
        <w:rPr>
          <w:rFonts w:ascii="Times New Roman" w:hAnsi="Times New Roman" w:cs="Times New Roman"/>
          <w:b/>
          <w:sz w:val="24"/>
          <w:szCs w:val="24"/>
          <w:lang w:val="en-GB" w:eastAsia="en-GB"/>
        </w:rPr>
        <w:tab/>
        <w:t>CONSIDERATION</w:t>
      </w:r>
    </w:p>
    <w:p w:rsidR="00270B4C" w:rsidRPr="00E9592C" w:rsidRDefault="001C0084" w:rsidP="00E9592C">
      <w:pPr>
        <w:spacing w:before="120" w:after="120" w:line="240" w:lineRule="auto"/>
        <w:jc w:val="both"/>
        <w:rPr>
          <w:rFonts w:ascii="Times New Roman" w:eastAsia="Times New Roman" w:hAnsi="Times New Roman" w:cs="Times New Roman"/>
          <w:color w:val="000000"/>
          <w:sz w:val="24"/>
          <w:szCs w:val="24"/>
          <w:lang w:val="en-GB" w:eastAsia="en-GB"/>
        </w:rPr>
      </w:pPr>
      <w:r w:rsidRPr="00E9592C">
        <w:rPr>
          <w:rFonts w:ascii="Times New Roman" w:eastAsia="Times New Roman" w:hAnsi="Times New Roman" w:cs="Times New Roman"/>
          <w:color w:val="000000"/>
          <w:sz w:val="24"/>
          <w:szCs w:val="24"/>
          <w:lang w:val="en-GB" w:eastAsia="en-GB"/>
        </w:rPr>
        <w:t xml:space="preserve">The Portfolio Committee on Transport considered the 2017/18 budget of the Department of Transport (the Department) on 2 May 2017. </w:t>
      </w:r>
      <w:r w:rsidR="00D17DCC" w:rsidRPr="00E9592C">
        <w:rPr>
          <w:rFonts w:ascii="Times New Roman" w:eastAsia="Times New Roman" w:hAnsi="Times New Roman" w:cs="Times New Roman"/>
          <w:color w:val="000000"/>
          <w:sz w:val="24"/>
          <w:szCs w:val="24"/>
          <w:lang w:val="en-GB" w:eastAsia="en-GB"/>
        </w:rPr>
        <w:t>Prior to the briefing of the D</w:t>
      </w:r>
      <w:r w:rsidR="000C5A74" w:rsidRPr="00E9592C">
        <w:rPr>
          <w:rFonts w:ascii="Times New Roman" w:eastAsia="Times New Roman" w:hAnsi="Times New Roman" w:cs="Times New Roman"/>
          <w:color w:val="000000"/>
          <w:sz w:val="24"/>
          <w:szCs w:val="24"/>
          <w:lang w:val="en-GB" w:eastAsia="en-GB"/>
        </w:rPr>
        <w:t>epartment</w:t>
      </w:r>
      <w:r w:rsidR="007C64C0" w:rsidRPr="00E9592C">
        <w:rPr>
          <w:rFonts w:ascii="Times New Roman" w:eastAsia="Times New Roman" w:hAnsi="Times New Roman" w:cs="Times New Roman"/>
          <w:color w:val="000000"/>
          <w:sz w:val="24"/>
          <w:szCs w:val="24"/>
          <w:lang w:val="en-GB" w:eastAsia="en-GB"/>
        </w:rPr>
        <w:t xml:space="preserve"> on its APP</w:t>
      </w:r>
      <w:r w:rsidR="000C5A74" w:rsidRPr="00E9592C">
        <w:rPr>
          <w:rFonts w:ascii="Times New Roman" w:eastAsia="Times New Roman" w:hAnsi="Times New Roman" w:cs="Times New Roman"/>
          <w:color w:val="000000"/>
          <w:sz w:val="24"/>
          <w:szCs w:val="24"/>
          <w:lang w:val="en-GB" w:eastAsia="en-GB"/>
        </w:rPr>
        <w:t xml:space="preserve">, the Auditor-General of South Africa (AGSA) </w:t>
      </w:r>
      <w:r w:rsidR="007B7F6A" w:rsidRPr="00E9592C">
        <w:rPr>
          <w:rFonts w:ascii="Times New Roman" w:eastAsia="Times New Roman" w:hAnsi="Times New Roman" w:cs="Times New Roman"/>
          <w:color w:val="000000"/>
          <w:sz w:val="24"/>
          <w:szCs w:val="24"/>
          <w:lang w:val="en-GB" w:eastAsia="en-GB"/>
        </w:rPr>
        <w:t>presented its revie</w:t>
      </w:r>
      <w:r w:rsidR="00F519E2" w:rsidRPr="00E9592C">
        <w:rPr>
          <w:rFonts w:ascii="Times New Roman" w:eastAsia="Times New Roman" w:hAnsi="Times New Roman" w:cs="Times New Roman"/>
          <w:color w:val="000000"/>
          <w:sz w:val="24"/>
          <w:szCs w:val="24"/>
          <w:lang w:val="en-GB" w:eastAsia="en-GB"/>
        </w:rPr>
        <w:t>w</w:t>
      </w:r>
      <w:r w:rsidR="007B7F6A" w:rsidRPr="00E9592C">
        <w:rPr>
          <w:rFonts w:ascii="Times New Roman" w:eastAsia="Times New Roman" w:hAnsi="Times New Roman" w:cs="Times New Roman"/>
          <w:color w:val="000000"/>
          <w:sz w:val="24"/>
          <w:szCs w:val="24"/>
          <w:lang w:val="en-GB" w:eastAsia="en-GB"/>
        </w:rPr>
        <w:t xml:space="preserve"> on the draft 2017/18 Annual Performance Plans of the Department. </w:t>
      </w:r>
      <w:r w:rsidR="00270B4C" w:rsidRPr="00E9592C">
        <w:rPr>
          <w:rFonts w:ascii="Times New Roman" w:eastAsia="Times New Roman" w:hAnsi="Times New Roman" w:cs="Times New Roman"/>
          <w:color w:val="000000"/>
          <w:sz w:val="24"/>
          <w:szCs w:val="24"/>
          <w:lang w:val="en-GB" w:eastAsia="en-GB"/>
        </w:rPr>
        <w:t>In preparation for this report, the Committee was briefed</w:t>
      </w:r>
      <w:r w:rsidR="007C64C0" w:rsidRPr="00E9592C">
        <w:rPr>
          <w:rFonts w:ascii="Times New Roman" w:eastAsia="Times New Roman" w:hAnsi="Times New Roman" w:cs="Times New Roman"/>
          <w:color w:val="000000"/>
          <w:sz w:val="24"/>
          <w:szCs w:val="24"/>
          <w:lang w:val="en-GB" w:eastAsia="en-GB"/>
        </w:rPr>
        <w:t xml:space="preserve"> further on the </w:t>
      </w:r>
      <w:r w:rsidRPr="00E9592C">
        <w:rPr>
          <w:rFonts w:ascii="Times New Roman" w:eastAsia="Times New Roman" w:hAnsi="Times New Roman" w:cs="Times New Roman"/>
          <w:color w:val="000000"/>
          <w:sz w:val="24"/>
          <w:szCs w:val="24"/>
          <w:lang w:val="en-GB" w:eastAsia="en-GB"/>
        </w:rPr>
        <w:t xml:space="preserve">revised 2014-2019 Strategic Plans and 2017/18 APPs </w:t>
      </w:r>
      <w:r w:rsidR="00270B4C" w:rsidRPr="00E9592C">
        <w:rPr>
          <w:rFonts w:ascii="Times New Roman" w:eastAsia="Times New Roman" w:hAnsi="Times New Roman" w:cs="Times New Roman"/>
          <w:color w:val="000000"/>
          <w:sz w:val="24"/>
          <w:szCs w:val="24"/>
          <w:lang w:val="en-GB" w:eastAsia="en-GB"/>
        </w:rPr>
        <w:t xml:space="preserve">of </w:t>
      </w:r>
      <w:r w:rsidR="007C64C0" w:rsidRPr="00E9592C">
        <w:rPr>
          <w:rFonts w:ascii="Times New Roman" w:eastAsia="Times New Roman" w:hAnsi="Times New Roman" w:cs="Times New Roman"/>
          <w:color w:val="000000"/>
          <w:sz w:val="24"/>
          <w:szCs w:val="24"/>
          <w:lang w:val="en-GB" w:eastAsia="en-GB"/>
        </w:rPr>
        <w:t>the</w:t>
      </w:r>
      <w:r w:rsidRPr="00E9592C">
        <w:rPr>
          <w:rFonts w:ascii="Times New Roman" w:eastAsia="Times New Roman" w:hAnsi="Times New Roman" w:cs="Times New Roman"/>
          <w:color w:val="000000"/>
          <w:sz w:val="24"/>
          <w:szCs w:val="24"/>
          <w:lang w:val="en-GB" w:eastAsia="en-GB"/>
        </w:rPr>
        <w:t xml:space="preserve"> listed</w:t>
      </w:r>
      <w:r w:rsidR="007C64C0" w:rsidRPr="00E9592C">
        <w:rPr>
          <w:rFonts w:ascii="Times New Roman" w:eastAsia="Times New Roman" w:hAnsi="Times New Roman" w:cs="Times New Roman"/>
          <w:color w:val="000000"/>
          <w:sz w:val="24"/>
          <w:szCs w:val="24"/>
          <w:lang w:val="en-GB" w:eastAsia="en-GB"/>
        </w:rPr>
        <w:t xml:space="preserve"> public entities of the Department.</w:t>
      </w:r>
      <w:r w:rsidR="00270B4C" w:rsidRPr="00E9592C">
        <w:rPr>
          <w:rFonts w:ascii="Times New Roman" w:eastAsia="Times New Roman" w:hAnsi="Times New Roman" w:cs="Times New Roman"/>
          <w:color w:val="000000"/>
          <w:sz w:val="24"/>
          <w:szCs w:val="24"/>
          <w:lang w:val="en-GB" w:eastAsia="en-GB"/>
        </w:rPr>
        <w:t xml:space="preserve"> </w:t>
      </w:r>
    </w:p>
    <w:p w:rsidR="00270B4C" w:rsidRPr="00E9592C" w:rsidRDefault="00270B4C" w:rsidP="00E9592C">
      <w:pPr>
        <w:spacing w:before="120" w:after="120" w:line="240" w:lineRule="auto"/>
        <w:jc w:val="both"/>
        <w:rPr>
          <w:rFonts w:ascii="Times New Roman" w:eastAsia="Times New Roman" w:hAnsi="Times New Roman" w:cs="Times New Roman"/>
          <w:color w:val="000000"/>
          <w:sz w:val="24"/>
          <w:szCs w:val="24"/>
          <w:lang w:val="en-GB" w:eastAsia="en-GB"/>
        </w:rPr>
      </w:pPr>
    </w:p>
    <w:p w:rsidR="00270B4C" w:rsidRPr="00E9592C" w:rsidRDefault="00270B4C"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1.2</w:t>
      </w:r>
      <w:r w:rsidRPr="00E9592C">
        <w:rPr>
          <w:rFonts w:ascii="Times New Roman" w:hAnsi="Times New Roman" w:cs="Times New Roman"/>
          <w:b/>
          <w:sz w:val="24"/>
          <w:szCs w:val="24"/>
          <w:lang w:val="en-GB"/>
        </w:rPr>
        <w:tab/>
        <w:t xml:space="preserve">METHODOLOGY </w:t>
      </w:r>
    </w:p>
    <w:p w:rsidR="001C0084" w:rsidRPr="00E9592C" w:rsidRDefault="00270B4C"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The Committee engaged with the </w:t>
      </w:r>
      <w:r w:rsidR="00F519E2" w:rsidRPr="00E9592C">
        <w:rPr>
          <w:rFonts w:ascii="Times New Roman" w:hAnsi="Times New Roman" w:cs="Times New Roman"/>
          <w:sz w:val="24"/>
          <w:szCs w:val="24"/>
          <w:lang w:val="en-GB"/>
        </w:rPr>
        <w:t>A</w:t>
      </w:r>
      <w:r w:rsidR="00040324" w:rsidRPr="00E9592C">
        <w:rPr>
          <w:rFonts w:ascii="Times New Roman" w:hAnsi="Times New Roman" w:cs="Times New Roman"/>
          <w:sz w:val="24"/>
          <w:szCs w:val="24"/>
          <w:lang w:val="en-GB"/>
        </w:rPr>
        <w:t>GSA</w:t>
      </w:r>
      <w:r w:rsidR="00F519E2" w:rsidRPr="00E9592C">
        <w:rPr>
          <w:rFonts w:ascii="Times New Roman" w:hAnsi="Times New Roman" w:cs="Times New Roman"/>
          <w:sz w:val="24"/>
          <w:szCs w:val="24"/>
          <w:lang w:val="en-GB"/>
        </w:rPr>
        <w:t xml:space="preserve">, the </w:t>
      </w:r>
      <w:r w:rsidRPr="00E9592C">
        <w:rPr>
          <w:rFonts w:ascii="Times New Roman" w:hAnsi="Times New Roman" w:cs="Times New Roman"/>
          <w:sz w:val="24"/>
          <w:szCs w:val="24"/>
          <w:lang w:val="en-GB"/>
        </w:rPr>
        <w:t xml:space="preserve">Department and its entities on 2, 3, 5, 9 and 12 May 2017 on their </w:t>
      </w:r>
      <w:r w:rsidR="001C0084" w:rsidRPr="00E9592C">
        <w:rPr>
          <w:rFonts w:ascii="Times New Roman" w:eastAsia="Times New Roman" w:hAnsi="Times New Roman" w:cs="Times New Roman"/>
          <w:color w:val="000000"/>
          <w:sz w:val="24"/>
          <w:szCs w:val="24"/>
          <w:lang w:val="en-GB" w:eastAsia="en-GB"/>
        </w:rPr>
        <w:t>revised 2014-2019 Strategic Plans and 2017/18 Annual Performance Plans (APPs) and budgets</w:t>
      </w:r>
      <w:r w:rsidR="001C0084" w:rsidRPr="00E9592C">
        <w:rPr>
          <w:rFonts w:ascii="Times New Roman" w:hAnsi="Times New Roman" w:cs="Times New Roman"/>
          <w:sz w:val="24"/>
          <w:szCs w:val="24"/>
          <w:lang w:val="en-GB"/>
        </w:rPr>
        <w:t>.</w:t>
      </w:r>
    </w:p>
    <w:p w:rsidR="00270B4C" w:rsidRPr="00E9592C" w:rsidRDefault="00270B4C" w:rsidP="00E9592C">
      <w:pPr>
        <w:spacing w:before="120" w:after="120" w:line="240" w:lineRule="auto"/>
        <w:jc w:val="both"/>
        <w:rPr>
          <w:rFonts w:ascii="Times New Roman" w:hAnsi="Times New Roman" w:cs="Times New Roman"/>
          <w:sz w:val="24"/>
          <w:szCs w:val="24"/>
          <w:lang w:val="en-GB"/>
        </w:rPr>
      </w:pPr>
    </w:p>
    <w:p w:rsidR="00270B4C" w:rsidRPr="00E9592C" w:rsidRDefault="00270B4C"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The Committee met with the following entities: </w:t>
      </w:r>
    </w:p>
    <w:p w:rsidR="00270B4C" w:rsidRPr="00E9592C" w:rsidRDefault="00270B4C"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lang w:val="en-GB"/>
        </w:rPr>
        <w:tab/>
        <w:t>Airports Company South Africa (ACSA)</w:t>
      </w:r>
    </w:p>
    <w:p w:rsidR="00270B4C" w:rsidRPr="00E9592C" w:rsidRDefault="00270B4C"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lang w:val="en-GB"/>
        </w:rPr>
        <w:tab/>
        <w:t>Cross-Border Road Transport Agency (C-BRTA)</w:t>
      </w:r>
    </w:p>
    <w:p w:rsidR="00270B4C" w:rsidRPr="00E9592C" w:rsidRDefault="00270B4C"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lang w:val="en-GB"/>
        </w:rPr>
        <w:tab/>
        <w:t>Railway Safety Regulator (RSR)</w:t>
      </w:r>
    </w:p>
    <w:p w:rsidR="00270B4C" w:rsidRPr="00E9592C" w:rsidRDefault="00270B4C"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lang w:val="en-GB"/>
        </w:rPr>
        <w:tab/>
        <w:t>Passenger Rail Agency of South Africa (PRASA)</w:t>
      </w:r>
    </w:p>
    <w:p w:rsidR="00270B4C" w:rsidRPr="00E9592C" w:rsidRDefault="00270B4C"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5.</w:t>
      </w:r>
      <w:r w:rsidRPr="00E9592C">
        <w:rPr>
          <w:rFonts w:ascii="Times New Roman" w:hAnsi="Times New Roman" w:cs="Times New Roman"/>
          <w:sz w:val="24"/>
          <w:szCs w:val="24"/>
          <w:lang w:val="en-GB"/>
        </w:rPr>
        <w:tab/>
        <w:t>Ports Regulator of South Africa</w:t>
      </w:r>
    </w:p>
    <w:p w:rsidR="00270B4C" w:rsidRPr="00E9592C" w:rsidRDefault="00270B4C"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6.</w:t>
      </w:r>
      <w:r w:rsidRPr="00E9592C">
        <w:rPr>
          <w:rFonts w:ascii="Times New Roman" w:hAnsi="Times New Roman" w:cs="Times New Roman"/>
          <w:sz w:val="24"/>
          <w:szCs w:val="24"/>
          <w:lang w:val="en-GB"/>
        </w:rPr>
        <w:tab/>
        <w:t>Road Traffic Infringement Agency (RTIA)</w:t>
      </w:r>
    </w:p>
    <w:p w:rsidR="00270B4C" w:rsidRPr="00E9592C" w:rsidRDefault="00270B4C"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7.</w:t>
      </w:r>
      <w:r w:rsidRPr="00E9592C">
        <w:rPr>
          <w:rFonts w:ascii="Times New Roman" w:hAnsi="Times New Roman" w:cs="Times New Roman"/>
          <w:sz w:val="24"/>
          <w:szCs w:val="24"/>
          <w:lang w:val="en-GB"/>
        </w:rPr>
        <w:tab/>
        <w:t>Road Traffic Management Corporation</w:t>
      </w:r>
      <w:r w:rsidR="001C0084" w:rsidRPr="00E9592C">
        <w:rPr>
          <w:rFonts w:ascii="Times New Roman" w:hAnsi="Times New Roman" w:cs="Times New Roman"/>
          <w:sz w:val="24"/>
          <w:szCs w:val="24"/>
          <w:lang w:val="en-GB"/>
        </w:rPr>
        <w:t xml:space="preserve"> (RTMC)</w:t>
      </w:r>
    </w:p>
    <w:p w:rsidR="00270B4C" w:rsidRPr="00E9592C" w:rsidRDefault="00270B4C"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8.</w:t>
      </w:r>
      <w:r w:rsidRPr="00E9592C">
        <w:rPr>
          <w:rFonts w:ascii="Times New Roman" w:hAnsi="Times New Roman" w:cs="Times New Roman"/>
          <w:sz w:val="24"/>
          <w:szCs w:val="24"/>
          <w:lang w:val="en-GB"/>
        </w:rPr>
        <w:tab/>
        <w:t>Road Accident Fund (RAF)</w:t>
      </w:r>
    </w:p>
    <w:p w:rsidR="00270B4C" w:rsidRPr="00E9592C" w:rsidRDefault="00270B4C"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9.</w:t>
      </w:r>
      <w:r w:rsidRPr="00E9592C">
        <w:rPr>
          <w:rFonts w:ascii="Times New Roman" w:hAnsi="Times New Roman" w:cs="Times New Roman"/>
          <w:sz w:val="24"/>
          <w:szCs w:val="24"/>
          <w:lang w:val="en-GB"/>
        </w:rPr>
        <w:tab/>
        <w:t xml:space="preserve"> South African National Roads Agency Limited (SANRAL)</w:t>
      </w:r>
    </w:p>
    <w:p w:rsidR="00270B4C" w:rsidRPr="00E9592C" w:rsidRDefault="00270B4C"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10.</w:t>
      </w:r>
      <w:r w:rsidRPr="00E9592C">
        <w:rPr>
          <w:rFonts w:ascii="Times New Roman" w:hAnsi="Times New Roman" w:cs="Times New Roman"/>
          <w:sz w:val="24"/>
          <w:szCs w:val="24"/>
          <w:lang w:val="en-GB"/>
        </w:rPr>
        <w:tab/>
        <w:t>South African Maritime Safety Authority (SAMSA)</w:t>
      </w:r>
      <w:r w:rsidR="003E464E" w:rsidRPr="00E9592C">
        <w:rPr>
          <w:rFonts w:ascii="Times New Roman" w:hAnsi="Times New Roman" w:cs="Times New Roman"/>
          <w:sz w:val="24"/>
          <w:szCs w:val="24"/>
          <w:lang w:val="en-GB"/>
        </w:rPr>
        <w:t>.</w:t>
      </w:r>
    </w:p>
    <w:p w:rsidR="00270B4C" w:rsidRPr="00E9592C" w:rsidRDefault="00270B4C" w:rsidP="00E9592C">
      <w:pPr>
        <w:spacing w:before="120" w:after="120" w:line="240" w:lineRule="auto"/>
        <w:jc w:val="both"/>
        <w:rPr>
          <w:rFonts w:ascii="Times New Roman" w:hAnsi="Times New Roman" w:cs="Times New Roman"/>
          <w:sz w:val="24"/>
          <w:szCs w:val="24"/>
          <w:lang w:val="en-GB"/>
        </w:rPr>
      </w:pPr>
    </w:p>
    <w:p w:rsidR="00270B4C" w:rsidRPr="00E9592C" w:rsidRDefault="0055126E"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The report details </w:t>
      </w:r>
      <w:r w:rsidR="001C0084" w:rsidRPr="00E9592C">
        <w:rPr>
          <w:rFonts w:ascii="Times New Roman" w:hAnsi="Times New Roman" w:cs="Times New Roman"/>
          <w:sz w:val="24"/>
          <w:szCs w:val="24"/>
          <w:lang w:val="en-GB"/>
        </w:rPr>
        <w:t xml:space="preserve">an </w:t>
      </w:r>
      <w:r w:rsidRPr="00E9592C">
        <w:rPr>
          <w:rFonts w:ascii="Times New Roman" w:hAnsi="Times New Roman" w:cs="Times New Roman"/>
          <w:sz w:val="24"/>
          <w:szCs w:val="24"/>
          <w:lang w:val="en-GB"/>
        </w:rPr>
        <w:t xml:space="preserve">analysis </w:t>
      </w:r>
      <w:r w:rsidR="001C0084" w:rsidRPr="00E9592C">
        <w:rPr>
          <w:rFonts w:ascii="Times New Roman" w:hAnsi="Times New Roman" w:cs="Times New Roman"/>
          <w:sz w:val="24"/>
          <w:szCs w:val="24"/>
          <w:lang w:val="en-GB"/>
        </w:rPr>
        <w:t xml:space="preserve">on </w:t>
      </w:r>
      <w:r w:rsidRPr="00E9592C">
        <w:rPr>
          <w:rFonts w:ascii="Times New Roman" w:hAnsi="Times New Roman" w:cs="Times New Roman"/>
          <w:sz w:val="24"/>
          <w:szCs w:val="24"/>
          <w:lang w:val="en-GB"/>
        </w:rPr>
        <w:t>how the Department plans to execute its mandate in the 2017/18 financial year</w:t>
      </w:r>
      <w:r w:rsidR="00245603" w:rsidRPr="00E9592C">
        <w:rPr>
          <w:rFonts w:ascii="Times New Roman" w:hAnsi="Times New Roman" w:cs="Times New Roman"/>
          <w:sz w:val="24"/>
          <w:szCs w:val="24"/>
          <w:lang w:val="en-GB"/>
        </w:rPr>
        <w:t xml:space="preserve"> through </w:t>
      </w:r>
      <w:r w:rsidR="00270B4C" w:rsidRPr="00E9592C">
        <w:rPr>
          <w:rFonts w:ascii="Times New Roman" w:hAnsi="Times New Roman" w:cs="Times New Roman"/>
          <w:sz w:val="24"/>
          <w:szCs w:val="24"/>
          <w:lang w:val="en-GB"/>
        </w:rPr>
        <w:t>information accessed through:</w:t>
      </w:r>
    </w:p>
    <w:p w:rsidR="00270B4C" w:rsidRPr="00E9592C" w:rsidRDefault="00270B4C" w:rsidP="00E9592C">
      <w:pPr>
        <w:spacing w:before="120" w:after="120" w:line="240" w:lineRule="auto"/>
        <w:ind w:left="720" w:hanging="7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w:t>
      </w:r>
      <w:r w:rsidRPr="00E9592C">
        <w:rPr>
          <w:rFonts w:ascii="Times New Roman" w:hAnsi="Times New Roman" w:cs="Times New Roman"/>
          <w:sz w:val="24"/>
          <w:szCs w:val="24"/>
          <w:lang w:val="en-GB"/>
        </w:rPr>
        <w:tab/>
        <w:t xml:space="preserve">The Department of Transport’s </w:t>
      </w:r>
      <w:r w:rsidR="001C0084" w:rsidRPr="00E9592C">
        <w:rPr>
          <w:rFonts w:ascii="Times New Roman" w:hAnsi="Times New Roman" w:cs="Times New Roman"/>
          <w:sz w:val="24"/>
          <w:szCs w:val="24"/>
          <w:lang w:val="en-GB"/>
        </w:rPr>
        <w:t xml:space="preserve">Revised </w:t>
      </w:r>
      <w:r w:rsidRPr="00E9592C">
        <w:rPr>
          <w:rFonts w:ascii="Times New Roman" w:hAnsi="Times New Roman" w:cs="Times New Roman"/>
          <w:sz w:val="24"/>
          <w:szCs w:val="24"/>
          <w:lang w:val="en-GB"/>
        </w:rPr>
        <w:t>Strategic</w:t>
      </w:r>
      <w:r w:rsidR="001C0084" w:rsidRPr="00E9592C">
        <w:rPr>
          <w:rFonts w:ascii="Times New Roman" w:hAnsi="Times New Roman" w:cs="Times New Roman"/>
          <w:sz w:val="24"/>
          <w:szCs w:val="24"/>
          <w:lang w:val="en-GB"/>
        </w:rPr>
        <w:t xml:space="preserve"> Plan</w:t>
      </w:r>
      <w:r w:rsidRPr="00E9592C">
        <w:rPr>
          <w:rFonts w:ascii="Times New Roman" w:hAnsi="Times New Roman" w:cs="Times New Roman"/>
          <w:sz w:val="24"/>
          <w:szCs w:val="24"/>
          <w:lang w:val="en-GB"/>
        </w:rPr>
        <w:t xml:space="preserve"> and APPs for </w:t>
      </w:r>
      <w:r w:rsidR="00245603" w:rsidRPr="00E9592C">
        <w:rPr>
          <w:rFonts w:ascii="Times New Roman" w:hAnsi="Times New Roman" w:cs="Times New Roman"/>
          <w:sz w:val="24"/>
          <w:szCs w:val="24"/>
          <w:lang w:val="en-GB"/>
        </w:rPr>
        <w:t xml:space="preserve">2017/18; </w:t>
      </w:r>
    </w:p>
    <w:p w:rsidR="00270B4C" w:rsidRPr="00E9592C" w:rsidRDefault="00270B4C" w:rsidP="00E9592C">
      <w:pPr>
        <w:spacing w:before="120" w:after="120" w:line="240" w:lineRule="auto"/>
        <w:ind w:left="720" w:hanging="7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w:t>
      </w:r>
      <w:r w:rsidRPr="00E9592C">
        <w:rPr>
          <w:rFonts w:ascii="Times New Roman" w:hAnsi="Times New Roman" w:cs="Times New Roman"/>
          <w:sz w:val="24"/>
          <w:szCs w:val="24"/>
          <w:lang w:val="en-GB"/>
        </w:rPr>
        <w:tab/>
        <w:t xml:space="preserve">The </w:t>
      </w:r>
      <w:r w:rsidR="001C0084" w:rsidRPr="00E9592C">
        <w:rPr>
          <w:rFonts w:ascii="Times New Roman" w:hAnsi="Times New Roman" w:cs="Times New Roman"/>
          <w:sz w:val="24"/>
          <w:szCs w:val="24"/>
          <w:lang w:val="en-GB"/>
        </w:rPr>
        <w:t xml:space="preserve">revised Strategic Plans and the 2017/18 Annual Performance Plans of the entities that fall under </w:t>
      </w:r>
      <w:r w:rsidR="00245603" w:rsidRPr="00E9592C">
        <w:rPr>
          <w:rFonts w:ascii="Times New Roman" w:hAnsi="Times New Roman" w:cs="Times New Roman"/>
          <w:sz w:val="24"/>
          <w:szCs w:val="24"/>
          <w:lang w:val="en-GB"/>
        </w:rPr>
        <w:t xml:space="preserve">the Department of Transport; and </w:t>
      </w:r>
      <w:r w:rsidRPr="00E9592C">
        <w:rPr>
          <w:rFonts w:ascii="Times New Roman" w:hAnsi="Times New Roman" w:cs="Times New Roman"/>
          <w:sz w:val="24"/>
          <w:szCs w:val="24"/>
          <w:lang w:val="en-GB"/>
        </w:rPr>
        <w:t xml:space="preserve"> </w:t>
      </w:r>
    </w:p>
    <w:p w:rsidR="00270B4C" w:rsidRPr="00E9592C" w:rsidRDefault="00245603" w:rsidP="00E9592C">
      <w:pPr>
        <w:spacing w:before="120" w:after="120" w:line="240" w:lineRule="auto"/>
        <w:ind w:left="720" w:hanging="7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w:t>
      </w:r>
      <w:r w:rsidR="00270B4C" w:rsidRPr="00E9592C">
        <w:rPr>
          <w:rFonts w:ascii="Times New Roman" w:hAnsi="Times New Roman" w:cs="Times New Roman"/>
          <w:sz w:val="24"/>
          <w:szCs w:val="24"/>
          <w:lang w:val="en-GB"/>
        </w:rPr>
        <w:tab/>
        <w:t xml:space="preserve">The report of the Auditor-General of South Africa on the </w:t>
      </w:r>
      <w:r w:rsidRPr="00E9592C">
        <w:rPr>
          <w:rFonts w:ascii="Times New Roman" w:hAnsi="Times New Roman" w:cs="Times New Roman"/>
          <w:sz w:val="24"/>
          <w:szCs w:val="24"/>
          <w:lang w:val="en-GB"/>
        </w:rPr>
        <w:t xml:space="preserve">review of the </w:t>
      </w:r>
      <w:r w:rsidR="00270B4C" w:rsidRPr="00E9592C">
        <w:rPr>
          <w:rFonts w:ascii="Times New Roman" w:hAnsi="Times New Roman" w:cs="Times New Roman"/>
          <w:sz w:val="24"/>
          <w:szCs w:val="24"/>
          <w:lang w:val="en-GB"/>
        </w:rPr>
        <w:t>APPs of the Department and its entities</w:t>
      </w:r>
      <w:r w:rsidR="001C0084" w:rsidRPr="00E9592C">
        <w:rPr>
          <w:rFonts w:ascii="Times New Roman" w:hAnsi="Times New Roman" w:cs="Times New Roman"/>
          <w:sz w:val="24"/>
          <w:szCs w:val="24"/>
          <w:lang w:val="en-GB"/>
        </w:rPr>
        <w:t>.</w:t>
      </w:r>
    </w:p>
    <w:p w:rsidR="00E3159D" w:rsidRPr="00E9592C" w:rsidRDefault="00BE22E9"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 xml:space="preserve"> </w:t>
      </w:r>
      <w:r w:rsidR="00E3159D" w:rsidRPr="00E9592C">
        <w:rPr>
          <w:rFonts w:ascii="Times New Roman" w:hAnsi="Times New Roman" w:cs="Times New Roman"/>
          <w:b/>
          <w:sz w:val="24"/>
          <w:szCs w:val="24"/>
          <w:lang w:val="en-GB"/>
        </w:rPr>
        <w:t xml:space="preserve"> </w:t>
      </w:r>
    </w:p>
    <w:p w:rsidR="00691514" w:rsidRPr="00E9592C" w:rsidRDefault="00B32AC6" w:rsidP="00E9592C">
      <w:pPr>
        <w:spacing w:before="120" w:after="120" w:line="240" w:lineRule="auto"/>
        <w:ind w:left="720" w:hanging="7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2.</w:t>
      </w:r>
      <w:r w:rsidRPr="00E9592C">
        <w:rPr>
          <w:rFonts w:ascii="Times New Roman" w:hAnsi="Times New Roman" w:cs="Times New Roman"/>
          <w:b/>
          <w:sz w:val="24"/>
          <w:szCs w:val="24"/>
          <w:lang w:val="en-GB"/>
        </w:rPr>
        <w:tab/>
      </w:r>
      <w:r w:rsidR="00691514" w:rsidRPr="00E9592C">
        <w:rPr>
          <w:rFonts w:ascii="Times New Roman" w:hAnsi="Times New Roman" w:cs="Times New Roman"/>
          <w:b/>
          <w:sz w:val="24"/>
          <w:szCs w:val="24"/>
          <w:lang w:val="en-GB"/>
        </w:rPr>
        <w:t xml:space="preserve">ANALYSIS AND SUMMARY OF THE 2017/18 ANNUAL PERFORMANCE PLAN OF THE DEPARTMENT OF TRANSPORT </w:t>
      </w:r>
    </w:p>
    <w:p w:rsidR="00691514" w:rsidRPr="00E9592C" w:rsidRDefault="00691514" w:rsidP="00E9592C">
      <w:pPr>
        <w:spacing w:before="120" w:after="120" w:line="240" w:lineRule="auto"/>
        <w:jc w:val="both"/>
        <w:rPr>
          <w:rFonts w:ascii="Times New Roman" w:hAnsi="Times New Roman" w:cs="Times New Roman"/>
          <w:sz w:val="24"/>
          <w:szCs w:val="24"/>
          <w:lang w:val="en-GB"/>
        </w:rPr>
      </w:pPr>
    </w:p>
    <w:p w:rsidR="00691514" w:rsidRPr="00E9592C" w:rsidRDefault="00691514"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The Constitution of the Republic of South Africa, 1996, identifies the legislative responsibilities of different tiers of Government pertaining to airports, road traffic management and public transport. In addition, the 1996 White Paper on National Transport Policy defines the different sub-sectors in the transport sector. Broadly, these are the infrastructure and operations of rail, pipelines, roads, airports, harbours and intermodal operations of public transport and freight. The Department of Transport (hereinafter referred to as “the Department”) is responsible for the legislation and policies for all these sub-sectors.</w:t>
      </w:r>
    </w:p>
    <w:p w:rsidR="00691514" w:rsidRPr="00E9592C" w:rsidRDefault="00691514" w:rsidP="00E9592C">
      <w:pPr>
        <w:spacing w:before="120" w:after="120" w:line="240" w:lineRule="auto"/>
        <w:jc w:val="both"/>
        <w:rPr>
          <w:rFonts w:ascii="Times New Roman" w:hAnsi="Times New Roman" w:cs="Times New Roman"/>
          <w:sz w:val="24"/>
          <w:szCs w:val="24"/>
          <w:lang w:val="en-GB"/>
        </w:rPr>
      </w:pPr>
    </w:p>
    <w:p w:rsidR="00691514" w:rsidRPr="00E9592C" w:rsidRDefault="00691514"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For the intermodal functions of public transport and freight, the guiding documents are the National Land Transport Act (No. 5 of 2009), the Public Transport Strategy, 2007 and the National Freight Logistics Strategy, 2005. The Department is mandated to conduct sector research and formulate legislation and policy to set the strategic direction of these sub-sectors. Furthermore, it is entrusted with assigning responsibilities to public entities and other tiers of Government. The Department also regulates the transport sector through the setting of norms and standards, as well as the monitoring of their implementation. </w:t>
      </w:r>
    </w:p>
    <w:p w:rsidR="00691514" w:rsidRPr="00E9592C" w:rsidRDefault="00691514" w:rsidP="00E9592C">
      <w:pPr>
        <w:spacing w:before="120" w:after="120" w:line="240" w:lineRule="auto"/>
        <w:jc w:val="both"/>
        <w:rPr>
          <w:rFonts w:ascii="Times New Roman" w:hAnsi="Times New Roman" w:cs="Times New Roman"/>
          <w:sz w:val="24"/>
          <w:szCs w:val="24"/>
          <w:lang w:val="en-GB"/>
        </w:rPr>
      </w:pPr>
    </w:p>
    <w:p w:rsidR="00691514" w:rsidRPr="00E9592C" w:rsidRDefault="00691514"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Transport is a function that is legislated and executed at the national, provincial and local tiers of Government. The implementation of transport functions at the national sphere takes place through public entities. For 2017/18, the budget allocation of the Department stands at R59.8 billion, up from R56.3 billion allocated to it in 2016/17.</w:t>
      </w:r>
      <w:r w:rsidR="0059161F" w:rsidRPr="00E9592C">
        <w:rPr>
          <w:rFonts w:ascii="Times New Roman" w:hAnsi="Times New Roman" w:cs="Times New Roman"/>
          <w:sz w:val="24"/>
          <w:szCs w:val="24"/>
          <w:lang w:val="en-GB"/>
        </w:rPr>
        <w:t xml:space="preserve"> </w:t>
      </w:r>
      <w:r w:rsidRPr="00E9592C">
        <w:rPr>
          <w:rFonts w:ascii="Times New Roman" w:hAnsi="Times New Roman" w:cs="Times New Roman"/>
          <w:sz w:val="24"/>
          <w:szCs w:val="24"/>
          <w:lang w:val="en-GB"/>
        </w:rPr>
        <w:t xml:space="preserve">This translates into an increase of 6.2% in nominal terms, but a decrease of 0.1% in real terms (when taking cognisance of inflation). </w:t>
      </w:r>
    </w:p>
    <w:p w:rsidR="0013695A" w:rsidRPr="00E9592C" w:rsidRDefault="0013695A" w:rsidP="00E9592C">
      <w:pPr>
        <w:spacing w:before="120" w:after="120" w:line="240" w:lineRule="auto"/>
        <w:jc w:val="both"/>
        <w:rPr>
          <w:rFonts w:ascii="Times New Roman" w:hAnsi="Times New Roman" w:cs="Times New Roman"/>
          <w:sz w:val="24"/>
          <w:szCs w:val="24"/>
          <w:lang w:val="en-GB"/>
        </w:rPr>
      </w:pPr>
    </w:p>
    <w:p w:rsidR="00691514" w:rsidRPr="00E9592C" w:rsidRDefault="00691514" w:rsidP="00E9592C">
      <w:pPr>
        <w:pStyle w:val="ListParagraph"/>
        <w:numPr>
          <w:ilvl w:val="1"/>
          <w:numId w:val="5"/>
        </w:num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Organisational Structure of the Department</w:t>
      </w:r>
    </w:p>
    <w:p w:rsidR="00691514" w:rsidRPr="00E9592C" w:rsidRDefault="00691514"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In an endeavour to discharge its mandate, the Department is structured as follows:</w:t>
      </w:r>
    </w:p>
    <w:p w:rsidR="00691514" w:rsidRPr="00E9592C" w:rsidRDefault="00691514" w:rsidP="00E9592C">
      <w:pPr>
        <w:spacing w:before="120" w:after="120" w:line="240" w:lineRule="auto"/>
        <w:jc w:val="both"/>
        <w:rPr>
          <w:rFonts w:ascii="Times New Roman" w:hAnsi="Times New Roman" w:cs="Times New Roman"/>
          <w:sz w:val="24"/>
          <w:szCs w:val="24"/>
          <w:lang w:val="en-GB"/>
        </w:rPr>
      </w:pPr>
    </w:p>
    <w:p w:rsidR="00691514" w:rsidRPr="00E9592C" w:rsidRDefault="00691514" w:rsidP="00E9592C">
      <w:pPr>
        <w:numPr>
          <w:ilvl w:val="0"/>
          <w:numId w:val="1"/>
        </w:num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Programme 1: Administration;</w:t>
      </w:r>
    </w:p>
    <w:p w:rsidR="00691514" w:rsidRPr="00E9592C" w:rsidRDefault="00691514" w:rsidP="00E9592C">
      <w:pPr>
        <w:numPr>
          <w:ilvl w:val="0"/>
          <w:numId w:val="1"/>
        </w:num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Programme 2: Integrated Transport Planning;</w:t>
      </w:r>
    </w:p>
    <w:p w:rsidR="00691514" w:rsidRPr="00E9592C" w:rsidRDefault="00691514" w:rsidP="00E9592C">
      <w:pPr>
        <w:numPr>
          <w:ilvl w:val="0"/>
          <w:numId w:val="1"/>
        </w:num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Programme 3: Rail Transport;</w:t>
      </w:r>
    </w:p>
    <w:p w:rsidR="00691514" w:rsidRPr="00E9592C" w:rsidRDefault="00691514" w:rsidP="00E9592C">
      <w:pPr>
        <w:numPr>
          <w:ilvl w:val="0"/>
          <w:numId w:val="1"/>
        </w:num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Programme 4: Road Transport;</w:t>
      </w:r>
    </w:p>
    <w:p w:rsidR="00691514" w:rsidRPr="00E9592C" w:rsidRDefault="00691514" w:rsidP="00E9592C">
      <w:pPr>
        <w:numPr>
          <w:ilvl w:val="0"/>
          <w:numId w:val="1"/>
        </w:num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Programme 5: Civil Aviation Transport;</w:t>
      </w:r>
    </w:p>
    <w:p w:rsidR="00691514" w:rsidRPr="00E9592C" w:rsidRDefault="00691514" w:rsidP="00E9592C">
      <w:pPr>
        <w:numPr>
          <w:ilvl w:val="0"/>
          <w:numId w:val="1"/>
        </w:num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Programme 6: Maritime Transport; and</w:t>
      </w:r>
    </w:p>
    <w:p w:rsidR="00691514" w:rsidRPr="00E9592C" w:rsidRDefault="00691514" w:rsidP="00E9592C">
      <w:pPr>
        <w:numPr>
          <w:ilvl w:val="0"/>
          <w:numId w:val="1"/>
        </w:num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Programme 7: Public Transport.</w:t>
      </w:r>
    </w:p>
    <w:p w:rsidR="00691514" w:rsidRPr="00E9592C" w:rsidRDefault="00691514" w:rsidP="00E9592C">
      <w:pPr>
        <w:pStyle w:val="ListParagraph"/>
        <w:numPr>
          <w:ilvl w:val="1"/>
          <w:numId w:val="5"/>
        </w:num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b/>
          <w:sz w:val="24"/>
          <w:szCs w:val="24"/>
          <w:lang w:val="en-GB"/>
        </w:rPr>
        <w:t>Strategic Outcome-Oriented Goals of the Department</w:t>
      </w:r>
    </w:p>
    <w:p w:rsidR="00691514" w:rsidRPr="00E9592C" w:rsidRDefault="00691514"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The strategic outcome-oriented goals of the Department are as follows:</w:t>
      </w:r>
    </w:p>
    <w:p w:rsidR="00691514" w:rsidRPr="00E9592C" w:rsidRDefault="00691514" w:rsidP="00E9592C">
      <w:pPr>
        <w:spacing w:before="120" w:after="120" w:line="240" w:lineRule="auto"/>
        <w:jc w:val="both"/>
        <w:rPr>
          <w:rFonts w:ascii="Times New Roman" w:hAnsi="Times New Roman" w:cs="Times New Roman"/>
          <w:sz w:val="24"/>
          <w:szCs w:val="24"/>
          <w:lang w:val="en-GB"/>
        </w:rPr>
      </w:pPr>
    </w:p>
    <w:p w:rsidR="00691514" w:rsidRPr="00E9592C" w:rsidRDefault="00691514" w:rsidP="00E9592C">
      <w:pPr>
        <w:numPr>
          <w:ilvl w:val="0"/>
          <w:numId w:val="3"/>
        </w:numPr>
        <w:spacing w:before="120" w:after="120" w:line="240" w:lineRule="auto"/>
        <w:ind w:left="357" w:hanging="357"/>
        <w:contextualSpacing/>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Efficient and integrated infrastructure network and operations that serve as a catalyst for social and economic development;</w:t>
      </w:r>
    </w:p>
    <w:p w:rsidR="00691514" w:rsidRPr="00E9592C" w:rsidRDefault="00691514" w:rsidP="00E9592C">
      <w:pPr>
        <w:numPr>
          <w:ilvl w:val="0"/>
          <w:numId w:val="3"/>
        </w:numPr>
        <w:spacing w:before="120" w:after="120" w:line="240" w:lineRule="auto"/>
        <w:ind w:left="357" w:hanging="357"/>
        <w:contextualSpacing/>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A transport sector that is safe and secure;</w:t>
      </w:r>
    </w:p>
    <w:p w:rsidR="00691514" w:rsidRPr="00E9592C" w:rsidRDefault="00691514" w:rsidP="00E9592C">
      <w:pPr>
        <w:numPr>
          <w:ilvl w:val="0"/>
          <w:numId w:val="3"/>
        </w:numPr>
        <w:spacing w:before="120" w:after="120" w:line="240" w:lineRule="auto"/>
        <w:ind w:left="357" w:hanging="357"/>
        <w:contextualSpacing/>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Improved rural access, infrastructure and mobility;</w:t>
      </w:r>
    </w:p>
    <w:p w:rsidR="00691514" w:rsidRPr="00E9592C" w:rsidRDefault="00691514" w:rsidP="00E9592C">
      <w:pPr>
        <w:numPr>
          <w:ilvl w:val="0"/>
          <w:numId w:val="3"/>
        </w:numPr>
        <w:spacing w:before="120" w:after="120" w:line="240" w:lineRule="auto"/>
        <w:ind w:left="357" w:hanging="357"/>
        <w:contextualSpacing/>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Improved public transport services;</w:t>
      </w:r>
    </w:p>
    <w:p w:rsidR="00691514" w:rsidRPr="00E9592C" w:rsidRDefault="00691514" w:rsidP="00E9592C">
      <w:pPr>
        <w:numPr>
          <w:ilvl w:val="0"/>
          <w:numId w:val="3"/>
        </w:numPr>
        <w:spacing w:before="120" w:after="120" w:line="240" w:lineRule="auto"/>
        <w:ind w:left="357" w:hanging="357"/>
        <w:contextualSpacing/>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Increased contribution to job creation;</w:t>
      </w:r>
    </w:p>
    <w:p w:rsidR="00691514" w:rsidRPr="00E9592C" w:rsidRDefault="00691514" w:rsidP="00E9592C">
      <w:pPr>
        <w:numPr>
          <w:ilvl w:val="0"/>
          <w:numId w:val="3"/>
        </w:numPr>
        <w:spacing w:before="120" w:after="120" w:line="240" w:lineRule="auto"/>
        <w:ind w:left="357" w:hanging="357"/>
        <w:contextualSpacing/>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Increased contribution of transport to environmental protection; and</w:t>
      </w:r>
    </w:p>
    <w:p w:rsidR="00691514" w:rsidRPr="00E9592C" w:rsidRDefault="00691514" w:rsidP="00E9592C">
      <w:pPr>
        <w:numPr>
          <w:ilvl w:val="0"/>
          <w:numId w:val="3"/>
        </w:numPr>
        <w:spacing w:before="120" w:after="120" w:line="240" w:lineRule="auto"/>
        <w:ind w:left="357" w:hanging="357"/>
        <w:contextualSpacing/>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Effective and efficient management and support.</w:t>
      </w:r>
    </w:p>
    <w:p w:rsidR="007161A8" w:rsidRPr="00E9592C" w:rsidRDefault="007161A8" w:rsidP="00E9592C">
      <w:pPr>
        <w:spacing w:before="120" w:after="120" w:line="240" w:lineRule="auto"/>
        <w:jc w:val="both"/>
        <w:rPr>
          <w:rFonts w:ascii="Times New Roman" w:hAnsi="Times New Roman" w:cs="Times New Roman"/>
          <w:sz w:val="24"/>
          <w:szCs w:val="24"/>
          <w:lang w:val="en-GB"/>
        </w:rPr>
      </w:pPr>
    </w:p>
    <w:p w:rsidR="007161A8" w:rsidRPr="00E9592C" w:rsidRDefault="007161A8" w:rsidP="00E9592C">
      <w:pPr>
        <w:spacing w:before="120" w:after="120" w:line="240" w:lineRule="auto"/>
        <w:jc w:val="both"/>
        <w:rPr>
          <w:rFonts w:ascii="Times New Roman" w:hAnsi="Times New Roman" w:cs="Times New Roman"/>
          <w:sz w:val="24"/>
          <w:szCs w:val="24"/>
          <w:lang w:val="en-GB"/>
        </w:rPr>
      </w:pPr>
    </w:p>
    <w:p w:rsidR="00691514" w:rsidRPr="00E9592C" w:rsidRDefault="00691514" w:rsidP="00E9592C">
      <w:pPr>
        <w:pStyle w:val="ListParagraph"/>
        <w:numPr>
          <w:ilvl w:val="1"/>
          <w:numId w:val="5"/>
        </w:num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and Sub-Programme Plans (Quarterly Targets)</w:t>
      </w:r>
    </w:p>
    <w:p w:rsidR="00691514" w:rsidRPr="00E9592C" w:rsidRDefault="00691514" w:rsidP="00E9592C">
      <w:pPr>
        <w:spacing w:before="120" w:after="120" w:line="240" w:lineRule="auto"/>
        <w:ind w:left="360"/>
        <w:contextualSpacing/>
        <w:jc w:val="both"/>
        <w:rPr>
          <w:rFonts w:ascii="Times New Roman" w:hAnsi="Times New Roman" w:cs="Times New Roman"/>
          <w:b/>
          <w:sz w:val="24"/>
          <w:szCs w:val="24"/>
          <w:lang w:val="en-GB"/>
        </w:rPr>
      </w:pPr>
    </w:p>
    <w:p w:rsidR="00691514" w:rsidRPr="00E9592C" w:rsidRDefault="00691514" w:rsidP="00E9592C">
      <w:pPr>
        <w:pStyle w:val="ListParagraph"/>
        <w:numPr>
          <w:ilvl w:val="2"/>
          <w:numId w:val="5"/>
        </w:num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1: Administration</w:t>
      </w:r>
    </w:p>
    <w:p w:rsidR="00437CC7" w:rsidRPr="00E9592C" w:rsidRDefault="00437CC7" w:rsidP="00E9592C">
      <w:pPr>
        <w:spacing w:before="120" w:after="120" w:line="240" w:lineRule="auto"/>
        <w:jc w:val="both"/>
        <w:rPr>
          <w:rFonts w:ascii="Times New Roman" w:hAnsi="Times New Roman" w:cs="Times New Roman"/>
          <w:b/>
          <w:sz w:val="24"/>
          <w:szCs w:val="24"/>
          <w:lang w:val="en-GB"/>
        </w:rPr>
      </w:pPr>
    </w:p>
    <w:p w:rsidR="00437CC7" w:rsidRPr="00E9592C" w:rsidRDefault="00437CC7"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 xml:space="preserve">Strategic Objective: Enhance socio-economic transformation of the transport sector </w:t>
      </w:r>
    </w:p>
    <w:tbl>
      <w:tblPr>
        <w:tblStyle w:val="TableGrid"/>
        <w:tblW w:w="10207" w:type="dxa"/>
        <w:tblInd w:w="-431" w:type="dxa"/>
        <w:tblLayout w:type="fixed"/>
        <w:tblLook w:val="04A0" w:firstRow="1" w:lastRow="0" w:firstColumn="1" w:lastColumn="0" w:noHBand="0" w:noVBand="1"/>
      </w:tblPr>
      <w:tblGrid>
        <w:gridCol w:w="1708"/>
        <w:gridCol w:w="1610"/>
        <w:gridCol w:w="1207"/>
        <w:gridCol w:w="1501"/>
        <w:gridCol w:w="1280"/>
        <w:gridCol w:w="1478"/>
        <w:gridCol w:w="1423"/>
      </w:tblGrid>
      <w:tr w:rsidR="00437CC7" w:rsidRPr="00E9592C" w:rsidTr="00D8772C">
        <w:trPr>
          <w:trHeight w:val="591"/>
          <w:tblHeader/>
        </w:trPr>
        <w:tc>
          <w:tcPr>
            <w:tcW w:w="1708" w:type="dxa"/>
            <w:vMerge w:val="restart"/>
            <w:shd w:val="pct15" w:color="auto" w:fill="auto"/>
          </w:tcPr>
          <w:p w:rsidR="00437CC7" w:rsidRPr="00E9592C" w:rsidRDefault="00437CC7"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610" w:type="dxa"/>
            <w:vMerge w:val="restart"/>
            <w:shd w:val="pct15" w:color="auto" w:fill="auto"/>
          </w:tcPr>
          <w:p w:rsidR="00437CC7" w:rsidRPr="00E9592C" w:rsidRDefault="00437CC7"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207" w:type="dxa"/>
            <w:vMerge w:val="restart"/>
            <w:shd w:val="pct15" w:color="auto" w:fill="auto"/>
          </w:tcPr>
          <w:p w:rsidR="00437CC7" w:rsidRPr="00E9592C" w:rsidRDefault="00437CC7"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5682" w:type="dxa"/>
            <w:gridSpan w:val="4"/>
            <w:shd w:val="pct15" w:color="auto" w:fill="auto"/>
          </w:tcPr>
          <w:p w:rsidR="00437CC7" w:rsidRPr="00E9592C" w:rsidRDefault="00437CC7"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437CC7" w:rsidRPr="00E9592C" w:rsidTr="00D8772C">
        <w:trPr>
          <w:trHeight w:val="309"/>
          <w:tblHeader/>
        </w:trPr>
        <w:tc>
          <w:tcPr>
            <w:tcW w:w="1708" w:type="dxa"/>
            <w:vMerge/>
            <w:shd w:val="pct15" w:color="auto" w:fill="auto"/>
          </w:tcPr>
          <w:p w:rsidR="00437CC7" w:rsidRPr="00E9592C" w:rsidRDefault="00437CC7" w:rsidP="00E9592C">
            <w:pPr>
              <w:spacing w:before="120" w:after="120"/>
              <w:jc w:val="both"/>
              <w:rPr>
                <w:rFonts w:ascii="Times New Roman" w:hAnsi="Times New Roman" w:cs="Times New Roman"/>
                <w:sz w:val="24"/>
                <w:szCs w:val="24"/>
                <w:lang w:val="en-GB"/>
              </w:rPr>
            </w:pPr>
          </w:p>
        </w:tc>
        <w:tc>
          <w:tcPr>
            <w:tcW w:w="1610" w:type="dxa"/>
            <w:vMerge/>
            <w:shd w:val="pct15" w:color="auto" w:fill="auto"/>
          </w:tcPr>
          <w:p w:rsidR="00437CC7" w:rsidRPr="00E9592C" w:rsidRDefault="00437CC7" w:rsidP="00E9592C">
            <w:pPr>
              <w:spacing w:before="120" w:after="120"/>
              <w:jc w:val="both"/>
              <w:rPr>
                <w:rFonts w:ascii="Times New Roman" w:hAnsi="Times New Roman" w:cs="Times New Roman"/>
                <w:sz w:val="24"/>
                <w:szCs w:val="24"/>
                <w:lang w:val="en-GB"/>
              </w:rPr>
            </w:pPr>
          </w:p>
        </w:tc>
        <w:tc>
          <w:tcPr>
            <w:tcW w:w="1207" w:type="dxa"/>
            <w:vMerge/>
            <w:shd w:val="pct15" w:color="auto" w:fill="auto"/>
          </w:tcPr>
          <w:p w:rsidR="00437CC7" w:rsidRPr="00E9592C" w:rsidRDefault="00437CC7" w:rsidP="00E9592C">
            <w:pPr>
              <w:spacing w:before="120" w:after="120"/>
              <w:jc w:val="both"/>
              <w:rPr>
                <w:rFonts w:ascii="Times New Roman" w:hAnsi="Times New Roman" w:cs="Times New Roman"/>
                <w:sz w:val="24"/>
                <w:szCs w:val="24"/>
                <w:lang w:val="en-GB"/>
              </w:rPr>
            </w:pPr>
          </w:p>
        </w:tc>
        <w:tc>
          <w:tcPr>
            <w:tcW w:w="1501" w:type="dxa"/>
            <w:shd w:val="pct15" w:color="auto" w:fill="auto"/>
          </w:tcPr>
          <w:p w:rsidR="00437CC7" w:rsidRPr="00E9592C" w:rsidRDefault="00437CC7"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280" w:type="dxa"/>
            <w:shd w:val="pct15" w:color="auto" w:fill="auto"/>
          </w:tcPr>
          <w:p w:rsidR="00437CC7" w:rsidRPr="00E9592C" w:rsidRDefault="00437CC7"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478" w:type="dxa"/>
            <w:shd w:val="pct15" w:color="auto" w:fill="auto"/>
          </w:tcPr>
          <w:p w:rsidR="00437CC7" w:rsidRPr="00E9592C" w:rsidRDefault="00437CC7"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423" w:type="dxa"/>
            <w:shd w:val="pct15" w:color="auto" w:fill="auto"/>
          </w:tcPr>
          <w:p w:rsidR="00437CC7" w:rsidRPr="00E9592C" w:rsidRDefault="00437CC7"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437CC7" w:rsidRPr="00E9592C" w:rsidTr="00D8772C">
        <w:tc>
          <w:tcPr>
            <w:tcW w:w="1708" w:type="dxa"/>
          </w:tcPr>
          <w:p w:rsidR="00437CC7" w:rsidRPr="00E9592C" w:rsidRDefault="00437CC7" w:rsidP="00E9592C">
            <w:pPr>
              <w:spacing w:before="120" w:after="120"/>
              <w:ind w:left="22"/>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Status report on the transport sector socio-</w:t>
            </w:r>
          </w:p>
          <w:p w:rsidR="00437CC7" w:rsidRPr="00E9592C" w:rsidRDefault="00437CC7"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 xml:space="preserve">economic empowerment </w:t>
            </w:r>
          </w:p>
          <w:p w:rsidR="00437CC7" w:rsidRPr="00E9592C" w:rsidRDefault="00437CC7"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programmes for Gender, Disability, Youth and Children (GDYC) developed</w:t>
            </w:r>
          </w:p>
        </w:tc>
        <w:tc>
          <w:tcPr>
            <w:tcW w:w="1610" w:type="dxa"/>
          </w:tcPr>
          <w:p w:rsidR="00437CC7" w:rsidRPr="00E9592C" w:rsidRDefault="00437CC7"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Status report of the transport sector socio-economic empowerment programmes developed</w:t>
            </w:r>
          </w:p>
        </w:tc>
        <w:tc>
          <w:tcPr>
            <w:tcW w:w="1207" w:type="dxa"/>
          </w:tcPr>
          <w:p w:rsidR="00437CC7" w:rsidRPr="00E9592C" w:rsidRDefault="00437CC7"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R150</w:t>
            </w:r>
          </w:p>
        </w:tc>
        <w:tc>
          <w:tcPr>
            <w:tcW w:w="1501" w:type="dxa"/>
          </w:tcPr>
          <w:p w:rsidR="00437CC7" w:rsidRPr="00E9592C" w:rsidRDefault="00437CC7"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Conduct stakeholder consultations and compile a Draft status report</w:t>
            </w:r>
          </w:p>
        </w:tc>
        <w:tc>
          <w:tcPr>
            <w:tcW w:w="1280" w:type="dxa"/>
          </w:tcPr>
          <w:p w:rsidR="00437CC7" w:rsidRPr="00E9592C" w:rsidRDefault="00437CC7"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and present the Draft status report to the DoT Executive Committee (EXCO) for quality assurance</w:t>
            </w:r>
          </w:p>
        </w:tc>
        <w:tc>
          <w:tcPr>
            <w:tcW w:w="1478" w:type="dxa"/>
          </w:tcPr>
          <w:p w:rsidR="00437CC7" w:rsidRPr="00E9592C" w:rsidRDefault="00437CC7"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Consider and incorporate EXCO inputs and recommendations</w:t>
            </w:r>
          </w:p>
        </w:tc>
        <w:tc>
          <w:tcPr>
            <w:tcW w:w="1423" w:type="dxa"/>
          </w:tcPr>
          <w:p w:rsidR="00437CC7" w:rsidRPr="00E9592C" w:rsidRDefault="00437CC7"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w:t>
            </w:r>
          </w:p>
        </w:tc>
      </w:tr>
    </w:tbl>
    <w:p w:rsidR="00437CC7" w:rsidRPr="00E9592C" w:rsidRDefault="00437CC7" w:rsidP="00E9592C">
      <w:pPr>
        <w:spacing w:before="120" w:after="120" w:line="240" w:lineRule="auto"/>
        <w:contextualSpacing/>
        <w:jc w:val="both"/>
        <w:rPr>
          <w:rFonts w:ascii="Times New Roman" w:hAnsi="Times New Roman" w:cs="Times New Roman"/>
          <w:b/>
          <w:sz w:val="24"/>
          <w:szCs w:val="24"/>
          <w:lang w:val="en-GB"/>
        </w:rPr>
      </w:pPr>
    </w:p>
    <w:p w:rsidR="00691514" w:rsidRPr="00E9592C" w:rsidRDefault="00691514" w:rsidP="00E9592C">
      <w:pPr>
        <w:spacing w:before="120" w:after="120" w:line="240" w:lineRule="auto"/>
        <w:ind w:left="372"/>
        <w:contextualSpacing/>
        <w:jc w:val="both"/>
        <w:rPr>
          <w:rFonts w:ascii="Times New Roman" w:hAnsi="Times New Roman" w:cs="Times New Roman"/>
          <w:b/>
          <w:sz w:val="24"/>
          <w:szCs w:val="24"/>
          <w:lang w:val="en-GB"/>
        </w:rPr>
      </w:pPr>
    </w:p>
    <w:p w:rsidR="00E9592C" w:rsidRDefault="00E9592C">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691514" w:rsidRPr="00E9592C" w:rsidRDefault="00691514"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lastRenderedPageBreak/>
        <w:t xml:space="preserve">Strategic Objective: Enhance socio-economic transformation of the transport sector </w:t>
      </w:r>
      <w:r w:rsidRPr="00E9592C">
        <w:rPr>
          <w:rFonts w:ascii="Times New Roman" w:hAnsi="Times New Roman" w:cs="Times New Roman"/>
          <w:sz w:val="24"/>
          <w:szCs w:val="24"/>
          <w:lang w:val="en-GB"/>
        </w:rPr>
        <w:tab/>
      </w:r>
    </w:p>
    <w:tbl>
      <w:tblPr>
        <w:tblStyle w:val="TableGrid"/>
        <w:tblW w:w="10207" w:type="dxa"/>
        <w:tblInd w:w="-431" w:type="dxa"/>
        <w:tblLook w:val="04A0" w:firstRow="1" w:lastRow="0" w:firstColumn="1" w:lastColumn="0" w:noHBand="0" w:noVBand="1"/>
      </w:tblPr>
      <w:tblGrid>
        <w:gridCol w:w="1636"/>
        <w:gridCol w:w="1456"/>
        <w:gridCol w:w="1194"/>
        <w:gridCol w:w="1385"/>
        <w:gridCol w:w="1461"/>
        <w:gridCol w:w="1464"/>
        <w:gridCol w:w="1611"/>
      </w:tblGrid>
      <w:tr w:rsidR="00691514" w:rsidRPr="00E9592C" w:rsidTr="00D8772C">
        <w:trPr>
          <w:trHeight w:val="591"/>
        </w:trPr>
        <w:tc>
          <w:tcPr>
            <w:tcW w:w="1636"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456"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194"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5921" w:type="dxa"/>
            <w:gridSpan w:val="4"/>
            <w:shd w:val="pct15" w:color="auto" w:fill="auto"/>
          </w:tcPr>
          <w:p w:rsidR="00691514" w:rsidRPr="00E9592C" w:rsidRDefault="0069151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691514" w:rsidRPr="00E9592C" w:rsidTr="00D8772C">
        <w:trPr>
          <w:trHeight w:val="309"/>
        </w:trPr>
        <w:tc>
          <w:tcPr>
            <w:tcW w:w="1636"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56"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194"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385"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461"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464"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611"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691514" w:rsidRPr="00E9592C" w:rsidTr="00D8772C">
        <w:tc>
          <w:tcPr>
            <w:tcW w:w="1636" w:type="dxa"/>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Number of Community Outreach Campaigns conducted on GDYC</w:t>
            </w:r>
          </w:p>
        </w:tc>
        <w:tc>
          <w:tcPr>
            <w:tcW w:w="145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Nine (9) Community Outreach Campaigns conducted</w:t>
            </w:r>
          </w:p>
        </w:tc>
        <w:tc>
          <w:tcPr>
            <w:tcW w:w="1194"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R1 000</w:t>
            </w:r>
          </w:p>
        </w:tc>
        <w:tc>
          <w:tcPr>
            <w:tcW w:w="1385"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Conduct one (1) Community Outreach Campaign</w:t>
            </w:r>
          </w:p>
        </w:tc>
        <w:tc>
          <w:tcPr>
            <w:tcW w:w="1461"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Conduct three (3) Community Outreach Campaigns </w:t>
            </w:r>
          </w:p>
        </w:tc>
        <w:tc>
          <w:tcPr>
            <w:tcW w:w="1464"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Conduct two (2) Community Outreach Campaigns</w:t>
            </w:r>
          </w:p>
        </w:tc>
        <w:tc>
          <w:tcPr>
            <w:tcW w:w="1611"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Conduct three (3) Community Outreach Campaigns</w:t>
            </w:r>
          </w:p>
        </w:tc>
      </w:tr>
    </w:tbl>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b/>
          <w:sz w:val="24"/>
          <w:szCs w:val="24"/>
          <w:lang w:val="en-GB"/>
        </w:rPr>
        <w:t>Strategic Objective: Provide strategic support to corporate services</w:t>
      </w:r>
    </w:p>
    <w:tbl>
      <w:tblPr>
        <w:tblStyle w:val="TableGrid"/>
        <w:tblW w:w="10207" w:type="dxa"/>
        <w:tblInd w:w="-431" w:type="dxa"/>
        <w:tblLayout w:type="fixed"/>
        <w:tblLook w:val="04A0" w:firstRow="1" w:lastRow="0" w:firstColumn="1" w:lastColumn="0" w:noHBand="0" w:noVBand="1"/>
      </w:tblPr>
      <w:tblGrid>
        <w:gridCol w:w="1598"/>
        <w:gridCol w:w="1476"/>
        <w:gridCol w:w="1354"/>
        <w:gridCol w:w="1721"/>
        <w:gridCol w:w="1365"/>
        <w:gridCol w:w="1275"/>
        <w:gridCol w:w="1418"/>
      </w:tblGrid>
      <w:tr w:rsidR="00691514" w:rsidRPr="00E9592C" w:rsidTr="00D8772C">
        <w:trPr>
          <w:trHeight w:val="585"/>
        </w:trPr>
        <w:tc>
          <w:tcPr>
            <w:tcW w:w="1598"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476"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354"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5779" w:type="dxa"/>
            <w:gridSpan w:val="4"/>
            <w:shd w:val="pct15" w:color="auto" w:fill="auto"/>
          </w:tcPr>
          <w:p w:rsidR="00691514" w:rsidRPr="00E9592C" w:rsidRDefault="0069151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691514" w:rsidRPr="00E9592C" w:rsidTr="00D8772C">
        <w:trPr>
          <w:trHeight w:val="306"/>
        </w:trPr>
        <w:tc>
          <w:tcPr>
            <w:tcW w:w="1598"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76"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354"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721"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365"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275"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418"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691514" w:rsidRPr="00E9592C" w:rsidTr="00D8772C">
        <w:trPr>
          <w:trHeight w:val="2312"/>
        </w:trPr>
        <w:tc>
          <w:tcPr>
            <w:tcW w:w="1598" w:type="dxa"/>
            <w:vMerge w:val="restart"/>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DoT Human Resources Development (HRD) Strategy Framework implemented annually</w:t>
            </w:r>
          </w:p>
        </w:tc>
        <w:tc>
          <w:tcPr>
            <w:tcW w:w="1476" w:type="dxa"/>
            <w:vMerge w:val="restart"/>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HRD implemented</w:t>
            </w:r>
          </w:p>
        </w:tc>
        <w:tc>
          <w:tcPr>
            <w:tcW w:w="1354" w:type="dxa"/>
            <w:vMerge w:val="restart"/>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Operational Budget</w:t>
            </w:r>
          </w:p>
        </w:tc>
        <w:tc>
          <w:tcPr>
            <w:tcW w:w="1721"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Compile a Monitoring Report on the Implementation of the 2016/17 HRD Framework</w:t>
            </w:r>
          </w:p>
        </w:tc>
        <w:tc>
          <w:tcPr>
            <w:tcW w:w="1365"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w:t>
            </w:r>
          </w:p>
        </w:tc>
        <w:tc>
          <w:tcPr>
            <w:tcW w:w="1275"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w:t>
            </w:r>
          </w:p>
        </w:tc>
        <w:tc>
          <w:tcPr>
            <w:tcW w:w="1418"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w:t>
            </w:r>
          </w:p>
        </w:tc>
      </w:tr>
      <w:tr w:rsidR="00691514" w:rsidRPr="00E9592C" w:rsidTr="00D8772C">
        <w:trPr>
          <w:trHeight w:val="703"/>
        </w:trPr>
        <w:tc>
          <w:tcPr>
            <w:tcW w:w="1598" w:type="dxa"/>
            <w:vMerge/>
          </w:tcPr>
          <w:p w:rsidR="00691514" w:rsidRPr="00E9592C" w:rsidRDefault="00691514" w:rsidP="00E9592C">
            <w:pPr>
              <w:spacing w:before="120" w:after="120"/>
              <w:jc w:val="both"/>
              <w:rPr>
                <w:rFonts w:ascii="Times New Roman" w:hAnsi="Times New Roman" w:cs="Times New Roman"/>
                <w:b/>
                <w:sz w:val="24"/>
                <w:szCs w:val="24"/>
                <w:lang w:val="en-GB"/>
              </w:rPr>
            </w:pPr>
          </w:p>
        </w:tc>
        <w:tc>
          <w:tcPr>
            <w:tcW w:w="1476" w:type="dxa"/>
            <w:vMerge/>
          </w:tcPr>
          <w:p w:rsidR="00691514" w:rsidRPr="00E9592C" w:rsidRDefault="00691514" w:rsidP="00E9592C">
            <w:pPr>
              <w:spacing w:before="120" w:after="120"/>
              <w:jc w:val="both"/>
              <w:rPr>
                <w:rFonts w:ascii="Times New Roman" w:hAnsi="Times New Roman" w:cs="Times New Roman"/>
                <w:sz w:val="24"/>
                <w:szCs w:val="24"/>
                <w:lang w:val="en-GB"/>
              </w:rPr>
            </w:pPr>
          </w:p>
        </w:tc>
        <w:tc>
          <w:tcPr>
            <w:tcW w:w="1354" w:type="dxa"/>
            <w:vMerge/>
          </w:tcPr>
          <w:p w:rsidR="00691514" w:rsidRPr="00E9592C" w:rsidRDefault="00691514" w:rsidP="00E9592C">
            <w:pPr>
              <w:spacing w:before="120" w:after="120"/>
              <w:jc w:val="both"/>
              <w:rPr>
                <w:rFonts w:ascii="Times New Roman" w:hAnsi="Times New Roman" w:cs="Times New Roman"/>
                <w:sz w:val="24"/>
                <w:szCs w:val="24"/>
                <w:lang w:val="en-GB"/>
              </w:rPr>
            </w:pPr>
          </w:p>
        </w:tc>
        <w:tc>
          <w:tcPr>
            <w:tcW w:w="1721"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Develop and ensure approval of the 2017/18 HRD Plan</w:t>
            </w:r>
          </w:p>
        </w:tc>
        <w:tc>
          <w:tcPr>
            <w:tcW w:w="1365"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Monitor and ensure 50% implementation of the 2017/18 HRD Plan</w:t>
            </w:r>
          </w:p>
        </w:tc>
        <w:tc>
          <w:tcPr>
            <w:tcW w:w="1275"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Monitor and ensure 80% implementation of the 2017/18 HRD Plan</w:t>
            </w:r>
          </w:p>
        </w:tc>
        <w:tc>
          <w:tcPr>
            <w:tcW w:w="1418"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Monitor and ensure 100% implementation of the 2017/18 HRD Plan</w:t>
            </w:r>
          </w:p>
        </w:tc>
      </w:tr>
    </w:tbl>
    <w:p w:rsidR="00691514" w:rsidRPr="00E9592C" w:rsidRDefault="00691514" w:rsidP="00E9592C">
      <w:pPr>
        <w:spacing w:before="120" w:after="120" w:line="240" w:lineRule="auto"/>
        <w:jc w:val="both"/>
        <w:rPr>
          <w:rFonts w:ascii="Times New Roman" w:hAnsi="Times New Roman" w:cs="Times New Roman"/>
          <w:sz w:val="24"/>
          <w:szCs w:val="24"/>
          <w:lang w:val="en-GB"/>
        </w:rPr>
      </w:pPr>
    </w:p>
    <w:p w:rsidR="00E9592C" w:rsidRDefault="00E9592C">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691514" w:rsidRPr="00E9592C" w:rsidRDefault="00691514"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lastRenderedPageBreak/>
        <w:t>Strategic Objective: Ensure good governance and a sound internal control environment</w:t>
      </w:r>
    </w:p>
    <w:tbl>
      <w:tblPr>
        <w:tblStyle w:val="TableGrid"/>
        <w:tblW w:w="10207" w:type="dxa"/>
        <w:tblInd w:w="-431" w:type="dxa"/>
        <w:tblLayout w:type="fixed"/>
        <w:tblLook w:val="04A0" w:firstRow="1" w:lastRow="0" w:firstColumn="1" w:lastColumn="0" w:noHBand="0" w:noVBand="1"/>
      </w:tblPr>
      <w:tblGrid>
        <w:gridCol w:w="1711"/>
        <w:gridCol w:w="1446"/>
        <w:gridCol w:w="1354"/>
        <w:gridCol w:w="1302"/>
        <w:gridCol w:w="1417"/>
        <w:gridCol w:w="1547"/>
        <w:gridCol w:w="1430"/>
      </w:tblGrid>
      <w:tr w:rsidR="00691514" w:rsidRPr="00E9592C" w:rsidTr="00D8772C">
        <w:trPr>
          <w:trHeight w:val="591"/>
        </w:trPr>
        <w:tc>
          <w:tcPr>
            <w:tcW w:w="1711"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446"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354"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5696" w:type="dxa"/>
            <w:gridSpan w:val="4"/>
            <w:shd w:val="pct15" w:color="auto" w:fill="auto"/>
          </w:tcPr>
          <w:p w:rsidR="00691514" w:rsidRPr="00E9592C" w:rsidRDefault="0069151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691514" w:rsidRPr="00E9592C" w:rsidTr="00D8772C">
        <w:trPr>
          <w:trHeight w:val="309"/>
        </w:trPr>
        <w:tc>
          <w:tcPr>
            <w:tcW w:w="1711"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46"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354"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302"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417"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547"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430"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691514" w:rsidRPr="00E9592C" w:rsidTr="00D8772C">
        <w:tc>
          <w:tcPr>
            <w:tcW w:w="1711" w:type="dxa"/>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Financial governance compliance and control improved</w:t>
            </w:r>
          </w:p>
        </w:tc>
        <w:tc>
          <w:tcPr>
            <w:tcW w:w="144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Action plans to address audit findings developed and monitored</w:t>
            </w:r>
          </w:p>
        </w:tc>
        <w:tc>
          <w:tcPr>
            <w:tcW w:w="1354"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Operational Budget</w:t>
            </w:r>
          </w:p>
        </w:tc>
        <w:tc>
          <w:tcPr>
            <w:tcW w:w="1302"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w:t>
            </w:r>
          </w:p>
        </w:tc>
        <w:tc>
          <w:tcPr>
            <w:tcW w:w="1417"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Develop action plans to address audit findings and monitor progress</w:t>
            </w:r>
          </w:p>
        </w:tc>
        <w:tc>
          <w:tcPr>
            <w:tcW w:w="1547"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Monitor progress on the implementation of action plans</w:t>
            </w:r>
          </w:p>
        </w:tc>
        <w:tc>
          <w:tcPr>
            <w:tcW w:w="1430"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Develop the annual report on the implementation of action plans</w:t>
            </w:r>
          </w:p>
        </w:tc>
      </w:tr>
    </w:tbl>
    <w:p w:rsidR="00691514" w:rsidRPr="00E9592C" w:rsidRDefault="00691514" w:rsidP="00E9592C">
      <w:pPr>
        <w:spacing w:before="120" w:after="120" w:line="240" w:lineRule="auto"/>
        <w:jc w:val="both"/>
        <w:rPr>
          <w:rFonts w:ascii="Times New Roman" w:hAnsi="Times New Roman" w:cs="Times New Roman"/>
          <w:sz w:val="24"/>
          <w:szCs w:val="24"/>
          <w:lang w:val="en-GB"/>
        </w:rPr>
      </w:pPr>
    </w:p>
    <w:p w:rsidR="00BA342D" w:rsidRPr="00E9592C" w:rsidRDefault="00BA342D" w:rsidP="00E9592C">
      <w:pPr>
        <w:spacing w:before="120" w:after="120" w:line="240" w:lineRule="auto"/>
        <w:jc w:val="both"/>
        <w:rPr>
          <w:rFonts w:ascii="Times New Roman" w:hAnsi="Times New Roman" w:cs="Times New Roman"/>
          <w:sz w:val="24"/>
          <w:szCs w:val="24"/>
          <w:lang w:val="en-GB"/>
        </w:rPr>
      </w:pPr>
    </w:p>
    <w:p w:rsidR="00691514" w:rsidRPr="00E9592C" w:rsidRDefault="006A0141"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2.</w:t>
      </w:r>
      <w:r w:rsidR="00C63FE9" w:rsidRPr="00E9592C">
        <w:rPr>
          <w:rFonts w:ascii="Times New Roman" w:hAnsi="Times New Roman" w:cs="Times New Roman"/>
          <w:b/>
          <w:sz w:val="24"/>
          <w:szCs w:val="24"/>
          <w:lang w:val="en-GB"/>
        </w:rPr>
        <w:t>3</w:t>
      </w:r>
      <w:r w:rsidR="00691514" w:rsidRPr="00E9592C">
        <w:rPr>
          <w:rFonts w:ascii="Times New Roman" w:hAnsi="Times New Roman" w:cs="Times New Roman"/>
          <w:b/>
          <w:sz w:val="24"/>
          <w:szCs w:val="24"/>
          <w:lang w:val="en-GB"/>
        </w:rPr>
        <w:t>.2 Programme 2: Integrated Transport Planning</w:t>
      </w:r>
    </w:p>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Strategic Objective: Facilitate integrated macro-transport systems planning to guide investments in the sector</w:t>
      </w:r>
    </w:p>
    <w:tbl>
      <w:tblPr>
        <w:tblStyle w:val="TableGrid"/>
        <w:tblW w:w="10207" w:type="dxa"/>
        <w:tblInd w:w="-431" w:type="dxa"/>
        <w:tblLayout w:type="fixed"/>
        <w:tblLook w:val="04A0" w:firstRow="1" w:lastRow="0" w:firstColumn="1" w:lastColumn="0" w:noHBand="0" w:noVBand="1"/>
      </w:tblPr>
      <w:tblGrid>
        <w:gridCol w:w="1598"/>
        <w:gridCol w:w="1721"/>
        <w:gridCol w:w="1354"/>
        <w:gridCol w:w="1423"/>
        <w:gridCol w:w="1529"/>
        <w:gridCol w:w="1306"/>
        <w:gridCol w:w="1276"/>
      </w:tblGrid>
      <w:tr w:rsidR="00691514" w:rsidRPr="00E9592C" w:rsidTr="00D8772C">
        <w:trPr>
          <w:cantSplit/>
          <w:trHeight w:val="591"/>
          <w:tblHeader/>
        </w:trPr>
        <w:tc>
          <w:tcPr>
            <w:tcW w:w="1598"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721"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354"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5534" w:type="dxa"/>
            <w:gridSpan w:val="4"/>
            <w:shd w:val="pct15" w:color="auto" w:fill="auto"/>
          </w:tcPr>
          <w:p w:rsidR="00691514" w:rsidRPr="00E9592C" w:rsidRDefault="0069151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691514" w:rsidRPr="00E9592C" w:rsidTr="00D8772C">
        <w:trPr>
          <w:cantSplit/>
          <w:trHeight w:val="309"/>
          <w:tblHeader/>
        </w:trPr>
        <w:tc>
          <w:tcPr>
            <w:tcW w:w="1598"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721"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354"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23"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529"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306"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276"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691514" w:rsidRPr="00E9592C" w:rsidTr="00D8772C">
        <w:tc>
          <w:tcPr>
            <w:tcW w:w="1598" w:type="dxa"/>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Roll-out of 10 National Transport Master Plan (NATMAP) interventions by March 2019</w:t>
            </w:r>
          </w:p>
        </w:tc>
        <w:tc>
          <w:tcPr>
            <w:tcW w:w="1721"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Implementation of ten (10) NATMAP 2050 Priority Pilot projects monitored</w:t>
            </w:r>
          </w:p>
        </w:tc>
        <w:tc>
          <w:tcPr>
            <w:tcW w:w="1354"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Operational Budget</w:t>
            </w:r>
          </w:p>
        </w:tc>
        <w:tc>
          <w:tcPr>
            <w:tcW w:w="1423"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Develop Performance Monitoring Framework</w:t>
            </w:r>
          </w:p>
        </w:tc>
        <w:tc>
          <w:tcPr>
            <w:tcW w:w="1529"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Conduct Performance Monitoring on four (4) prioritised pilot projects</w:t>
            </w:r>
          </w:p>
        </w:tc>
        <w:tc>
          <w:tcPr>
            <w:tcW w:w="130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Conduct Performance Monitoring on four (4) prioritised pilot projects</w:t>
            </w:r>
          </w:p>
        </w:tc>
        <w:tc>
          <w:tcPr>
            <w:tcW w:w="127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Conduct Performance Monitoring on two (2) prioritised pilot projects</w:t>
            </w:r>
          </w:p>
        </w:tc>
      </w:tr>
      <w:tr w:rsidR="00691514" w:rsidRPr="00E9592C" w:rsidTr="00D8772C">
        <w:tc>
          <w:tcPr>
            <w:tcW w:w="1598" w:type="dxa"/>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White Paper on the National Transport Policy submitted to Cabinet by March 2018</w:t>
            </w:r>
          </w:p>
        </w:tc>
        <w:tc>
          <w:tcPr>
            <w:tcW w:w="1721"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Final revised White Paper on the National Transport Policy submitted to Cabinet</w:t>
            </w:r>
          </w:p>
        </w:tc>
        <w:tc>
          <w:tcPr>
            <w:tcW w:w="1354"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Operational Budget</w:t>
            </w:r>
          </w:p>
        </w:tc>
        <w:tc>
          <w:tcPr>
            <w:tcW w:w="1423"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Publish Draft Revised White Paper on the National Transport Policy in the Government Gazette</w:t>
            </w:r>
          </w:p>
        </w:tc>
        <w:tc>
          <w:tcPr>
            <w:tcW w:w="1529"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Submit the White Paper on the National Transport Policy to the Department of Planning, Monitoring and Evaluation (DPME) for Socio-Economic </w:t>
            </w:r>
            <w:r w:rsidRPr="00E9592C">
              <w:rPr>
                <w:rFonts w:ascii="Times New Roman" w:hAnsi="Times New Roman" w:cs="Times New Roman"/>
                <w:sz w:val="24"/>
                <w:szCs w:val="24"/>
                <w:lang w:val="en-GB"/>
              </w:rPr>
              <w:lastRenderedPageBreak/>
              <w:t xml:space="preserve">Impact Assessment System (SEIAS) </w:t>
            </w:r>
          </w:p>
        </w:tc>
        <w:tc>
          <w:tcPr>
            <w:tcW w:w="130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 xml:space="preserve">Submit the White Paper on the National Transport Policy to the Economic Sectors, Employment and Infrastructure </w:t>
            </w:r>
            <w:r w:rsidRPr="00E9592C">
              <w:rPr>
                <w:rFonts w:ascii="Times New Roman" w:hAnsi="Times New Roman" w:cs="Times New Roman"/>
                <w:sz w:val="24"/>
                <w:szCs w:val="24"/>
                <w:lang w:val="en-GB"/>
              </w:rPr>
              <w:lastRenderedPageBreak/>
              <w:t>Development (ESEID) Cluster</w:t>
            </w:r>
          </w:p>
        </w:tc>
        <w:tc>
          <w:tcPr>
            <w:tcW w:w="127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Submit the White Paper on the National Transport Policy to Cabinet</w:t>
            </w:r>
          </w:p>
        </w:tc>
      </w:tr>
    </w:tbl>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Strategic Objective: Promote national, regional and continental integration of transport infrastructure and operations</w:t>
      </w:r>
    </w:p>
    <w:tbl>
      <w:tblPr>
        <w:tblStyle w:val="TableGrid"/>
        <w:tblW w:w="10349" w:type="dxa"/>
        <w:tblInd w:w="-431" w:type="dxa"/>
        <w:tblLayout w:type="fixed"/>
        <w:tblLook w:val="04A0" w:firstRow="1" w:lastRow="0" w:firstColumn="1" w:lastColumn="0" w:noHBand="0" w:noVBand="1"/>
      </w:tblPr>
      <w:tblGrid>
        <w:gridCol w:w="1993"/>
        <w:gridCol w:w="1835"/>
        <w:gridCol w:w="1418"/>
        <w:gridCol w:w="709"/>
        <w:gridCol w:w="1417"/>
        <w:gridCol w:w="1559"/>
        <w:gridCol w:w="1418"/>
      </w:tblGrid>
      <w:tr w:rsidR="00691514" w:rsidRPr="00E9592C" w:rsidTr="00D8772C">
        <w:trPr>
          <w:cantSplit/>
          <w:trHeight w:val="591"/>
          <w:tblHeader/>
        </w:trPr>
        <w:tc>
          <w:tcPr>
            <w:tcW w:w="1993"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835"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418"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5103" w:type="dxa"/>
            <w:gridSpan w:val="4"/>
            <w:shd w:val="pct15" w:color="auto" w:fill="auto"/>
          </w:tcPr>
          <w:p w:rsidR="00691514" w:rsidRPr="00E9592C" w:rsidRDefault="0069151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1818AF" w:rsidRPr="00E9592C" w:rsidTr="00D8772C">
        <w:trPr>
          <w:cantSplit/>
          <w:trHeight w:val="309"/>
          <w:tblHeader/>
        </w:trPr>
        <w:tc>
          <w:tcPr>
            <w:tcW w:w="1993"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835"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18"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709"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417"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559"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418"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1818AF" w:rsidRPr="00E9592C" w:rsidTr="00D8772C">
        <w:tc>
          <w:tcPr>
            <w:tcW w:w="1993" w:type="dxa"/>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Implementation of the Road Freight Strategy monitored</w:t>
            </w:r>
          </w:p>
        </w:tc>
        <w:tc>
          <w:tcPr>
            <w:tcW w:w="1835"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Road Freight Strategy Implementation Plan developed</w:t>
            </w:r>
          </w:p>
        </w:tc>
        <w:tc>
          <w:tcPr>
            <w:tcW w:w="1418"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Operational Budget</w:t>
            </w:r>
          </w:p>
        </w:tc>
        <w:tc>
          <w:tcPr>
            <w:tcW w:w="709"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w:t>
            </w:r>
          </w:p>
        </w:tc>
        <w:tc>
          <w:tcPr>
            <w:tcW w:w="1417"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Develop Road Freight Strategy Implementation Plan</w:t>
            </w:r>
          </w:p>
        </w:tc>
        <w:tc>
          <w:tcPr>
            <w:tcW w:w="1559"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Conduct stakeholder consultations on the Road Freight Strategy Implementation Plan</w:t>
            </w:r>
          </w:p>
        </w:tc>
        <w:tc>
          <w:tcPr>
            <w:tcW w:w="1418"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Consolidate stakeholder inputs and finalise the Draft Implementation Plan</w:t>
            </w:r>
          </w:p>
        </w:tc>
      </w:tr>
    </w:tbl>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Strategic Objective: Enhance socio-economic transformation of the transport sector</w:t>
      </w:r>
    </w:p>
    <w:tbl>
      <w:tblPr>
        <w:tblStyle w:val="TableGrid"/>
        <w:tblW w:w="10349" w:type="dxa"/>
        <w:tblInd w:w="-431" w:type="dxa"/>
        <w:tblLook w:val="04A0" w:firstRow="1" w:lastRow="0" w:firstColumn="1" w:lastColumn="0" w:noHBand="0" w:noVBand="1"/>
      </w:tblPr>
      <w:tblGrid>
        <w:gridCol w:w="1715"/>
        <w:gridCol w:w="1419"/>
        <w:gridCol w:w="1351"/>
        <w:gridCol w:w="1492"/>
        <w:gridCol w:w="1593"/>
        <w:gridCol w:w="1527"/>
        <w:gridCol w:w="1252"/>
      </w:tblGrid>
      <w:tr w:rsidR="00691514" w:rsidRPr="00E9592C" w:rsidTr="00D8772C">
        <w:trPr>
          <w:cantSplit/>
          <w:trHeight w:val="591"/>
          <w:tblHeader/>
        </w:trPr>
        <w:tc>
          <w:tcPr>
            <w:tcW w:w="1715"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419"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351"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5864" w:type="dxa"/>
            <w:gridSpan w:val="4"/>
            <w:shd w:val="pct15" w:color="auto" w:fill="auto"/>
          </w:tcPr>
          <w:p w:rsidR="00691514" w:rsidRPr="00E9592C" w:rsidRDefault="0069151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691514" w:rsidRPr="00E9592C" w:rsidTr="00D8772C">
        <w:trPr>
          <w:cantSplit/>
          <w:trHeight w:val="309"/>
          <w:tblHeader/>
        </w:trPr>
        <w:tc>
          <w:tcPr>
            <w:tcW w:w="1715"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19"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351"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92"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593"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527"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252"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691514" w:rsidRPr="00E9592C" w:rsidTr="00D8772C">
        <w:tc>
          <w:tcPr>
            <w:tcW w:w="1715" w:type="dxa"/>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Single Transport Economic Regulator (STER) Bill submitted to Cabinet by March 2018</w:t>
            </w:r>
          </w:p>
        </w:tc>
        <w:tc>
          <w:tcPr>
            <w:tcW w:w="1419"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STER Bill submitted to Cabinet</w:t>
            </w:r>
          </w:p>
        </w:tc>
        <w:tc>
          <w:tcPr>
            <w:tcW w:w="1351"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Operational Budget</w:t>
            </w:r>
          </w:p>
        </w:tc>
        <w:tc>
          <w:tcPr>
            <w:tcW w:w="1492"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Draft STER Bill to Cabinet for approval to gazette for public consultations</w:t>
            </w:r>
          </w:p>
        </w:tc>
        <w:tc>
          <w:tcPr>
            <w:tcW w:w="1593"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Publish the STER Bill in the Government Gazette</w:t>
            </w:r>
          </w:p>
        </w:tc>
        <w:tc>
          <w:tcPr>
            <w:tcW w:w="1527"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Consider and incorporate inputs into the Draft STER Bill</w:t>
            </w:r>
          </w:p>
        </w:tc>
        <w:tc>
          <w:tcPr>
            <w:tcW w:w="1252"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Draft STER Bill to Cabinet</w:t>
            </w:r>
          </w:p>
        </w:tc>
      </w:tr>
    </w:tbl>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E9592C" w:rsidRDefault="00E9592C">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691514" w:rsidRPr="00E9592C" w:rsidRDefault="00691514"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lastRenderedPageBreak/>
        <w:t>Strategic Objective: Reduce Greenhouse Gas emissions</w:t>
      </w:r>
    </w:p>
    <w:tbl>
      <w:tblPr>
        <w:tblStyle w:val="TableGrid"/>
        <w:tblW w:w="10349" w:type="dxa"/>
        <w:tblInd w:w="-431" w:type="dxa"/>
        <w:tblLook w:val="04A0" w:firstRow="1" w:lastRow="0" w:firstColumn="1" w:lastColumn="0" w:noHBand="0" w:noVBand="1"/>
      </w:tblPr>
      <w:tblGrid>
        <w:gridCol w:w="1718"/>
        <w:gridCol w:w="1418"/>
        <w:gridCol w:w="1353"/>
        <w:gridCol w:w="1449"/>
        <w:gridCol w:w="1548"/>
        <w:gridCol w:w="1424"/>
        <w:gridCol w:w="1439"/>
      </w:tblGrid>
      <w:tr w:rsidR="00691514" w:rsidRPr="00E9592C" w:rsidTr="00D8772C">
        <w:trPr>
          <w:cantSplit/>
          <w:trHeight w:val="591"/>
          <w:tblHeader/>
        </w:trPr>
        <w:tc>
          <w:tcPr>
            <w:tcW w:w="1718"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418"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353"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5860" w:type="dxa"/>
            <w:gridSpan w:val="4"/>
            <w:shd w:val="pct15" w:color="auto" w:fill="auto"/>
          </w:tcPr>
          <w:p w:rsidR="00691514" w:rsidRPr="00E9592C" w:rsidRDefault="0069151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691514" w:rsidRPr="00E9592C" w:rsidTr="00D8772C">
        <w:trPr>
          <w:cantSplit/>
          <w:trHeight w:val="309"/>
          <w:tblHeader/>
        </w:trPr>
        <w:tc>
          <w:tcPr>
            <w:tcW w:w="1718"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18"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353"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49"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548"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424"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439"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691514" w:rsidRPr="00E9592C" w:rsidTr="00D8772C">
        <w:tc>
          <w:tcPr>
            <w:tcW w:w="1718" w:type="dxa"/>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Green Transport Strategy submitted to Cabinet by March 2018</w:t>
            </w:r>
          </w:p>
        </w:tc>
        <w:tc>
          <w:tcPr>
            <w:tcW w:w="1418"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Green Transport Strategy submitted to Cabinet </w:t>
            </w:r>
          </w:p>
        </w:tc>
        <w:tc>
          <w:tcPr>
            <w:tcW w:w="1353"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Operational Budget</w:t>
            </w:r>
          </w:p>
        </w:tc>
        <w:tc>
          <w:tcPr>
            <w:tcW w:w="1449"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Publish the Draft Green Transport Strategy in the Government </w:t>
            </w:r>
          </w:p>
        </w:tc>
        <w:tc>
          <w:tcPr>
            <w:tcW w:w="1548"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Draft Green Transport Strategy to the DPME and SEIAS assessment</w:t>
            </w:r>
          </w:p>
        </w:tc>
        <w:tc>
          <w:tcPr>
            <w:tcW w:w="1424"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Green Transport Strategy to the ESEID Cluster</w:t>
            </w:r>
          </w:p>
        </w:tc>
        <w:tc>
          <w:tcPr>
            <w:tcW w:w="1439"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Draft Green Transport Strategy to Cabinet</w:t>
            </w:r>
          </w:p>
        </w:tc>
      </w:tr>
    </w:tbl>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A0141"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2.</w:t>
      </w:r>
      <w:r w:rsidR="00C63FE9" w:rsidRPr="00E9592C">
        <w:rPr>
          <w:rFonts w:ascii="Times New Roman" w:hAnsi="Times New Roman" w:cs="Times New Roman"/>
          <w:b/>
          <w:sz w:val="24"/>
          <w:szCs w:val="24"/>
          <w:lang w:val="en-GB"/>
        </w:rPr>
        <w:t>3</w:t>
      </w:r>
      <w:r w:rsidR="00691514" w:rsidRPr="00E9592C">
        <w:rPr>
          <w:rFonts w:ascii="Times New Roman" w:hAnsi="Times New Roman" w:cs="Times New Roman"/>
          <w:b/>
          <w:sz w:val="24"/>
          <w:szCs w:val="24"/>
          <w:lang w:val="en-GB"/>
        </w:rPr>
        <w:t>.3 Programme 3: Rail Transport</w:t>
      </w:r>
    </w:p>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Strategic Objective: Enhance performance, efficiency and reliability of the rail transport sector</w:t>
      </w:r>
    </w:p>
    <w:tbl>
      <w:tblPr>
        <w:tblStyle w:val="TableGrid"/>
        <w:tblW w:w="10349" w:type="dxa"/>
        <w:tblInd w:w="-431" w:type="dxa"/>
        <w:tblLook w:val="04A0" w:firstRow="1" w:lastRow="0" w:firstColumn="1" w:lastColumn="0" w:noHBand="0" w:noVBand="1"/>
      </w:tblPr>
      <w:tblGrid>
        <w:gridCol w:w="1753"/>
        <w:gridCol w:w="1482"/>
        <w:gridCol w:w="1202"/>
        <w:gridCol w:w="1404"/>
        <w:gridCol w:w="1421"/>
        <w:gridCol w:w="1613"/>
        <w:gridCol w:w="1474"/>
      </w:tblGrid>
      <w:tr w:rsidR="00691514" w:rsidRPr="00E9592C" w:rsidTr="00D8772C">
        <w:trPr>
          <w:cantSplit/>
          <w:trHeight w:val="591"/>
          <w:tblHeader/>
        </w:trPr>
        <w:tc>
          <w:tcPr>
            <w:tcW w:w="1753"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482"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202"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5912" w:type="dxa"/>
            <w:gridSpan w:val="4"/>
            <w:shd w:val="pct15" w:color="auto" w:fill="auto"/>
          </w:tcPr>
          <w:p w:rsidR="00691514" w:rsidRPr="00E9592C" w:rsidRDefault="0069151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691514" w:rsidRPr="00E9592C" w:rsidTr="00D8772C">
        <w:trPr>
          <w:cantSplit/>
          <w:trHeight w:val="309"/>
          <w:tblHeader/>
        </w:trPr>
        <w:tc>
          <w:tcPr>
            <w:tcW w:w="1753"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82"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202"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04"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421"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613"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474"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691514" w:rsidRPr="00E9592C" w:rsidTr="00D8772C">
        <w:tc>
          <w:tcPr>
            <w:tcW w:w="1753" w:type="dxa"/>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White Paper on the National Rail Policy submitted to Cabinet by March 2018</w:t>
            </w:r>
          </w:p>
        </w:tc>
        <w:tc>
          <w:tcPr>
            <w:tcW w:w="1482"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White Paper on the National Rail Policy submitted to Cabinet</w:t>
            </w:r>
          </w:p>
        </w:tc>
        <w:tc>
          <w:tcPr>
            <w:tcW w:w="1202"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R2 406</w:t>
            </w:r>
          </w:p>
        </w:tc>
        <w:tc>
          <w:tcPr>
            <w:tcW w:w="1404"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National Rail Policy to DPME for SEIAS assessment</w:t>
            </w:r>
          </w:p>
        </w:tc>
        <w:tc>
          <w:tcPr>
            <w:tcW w:w="1421"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Draft White Paper on the National Rail Policy to the ESEID Cluster</w:t>
            </w:r>
          </w:p>
        </w:tc>
        <w:tc>
          <w:tcPr>
            <w:tcW w:w="1613"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Consolidate inputs and update the Draft  White Paper on the National Rail Policy</w:t>
            </w:r>
          </w:p>
        </w:tc>
        <w:tc>
          <w:tcPr>
            <w:tcW w:w="1474"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Draft White Paper on the National Rail Policy to Cabinet</w:t>
            </w:r>
          </w:p>
        </w:tc>
      </w:tr>
    </w:tbl>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Strategic Objective: Enhance performance, efficiency and reliability of the rail transport sector</w:t>
      </w:r>
    </w:p>
    <w:tbl>
      <w:tblPr>
        <w:tblStyle w:val="TableGrid"/>
        <w:tblW w:w="10349" w:type="dxa"/>
        <w:tblInd w:w="-431" w:type="dxa"/>
        <w:tblLook w:val="04A0" w:firstRow="1" w:lastRow="0" w:firstColumn="1" w:lastColumn="0" w:noHBand="0" w:noVBand="1"/>
      </w:tblPr>
      <w:tblGrid>
        <w:gridCol w:w="1629"/>
        <w:gridCol w:w="1286"/>
        <w:gridCol w:w="1351"/>
        <w:gridCol w:w="1491"/>
        <w:gridCol w:w="1559"/>
        <w:gridCol w:w="1417"/>
        <w:gridCol w:w="1616"/>
      </w:tblGrid>
      <w:tr w:rsidR="00691514" w:rsidRPr="00E9592C" w:rsidTr="00D8772C">
        <w:trPr>
          <w:cantSplit/>
          <w:trHeight w:val="591"/>
          <w:tblHeader/>
        </w:trPr>
        <w:tc>
          <w:tcPr>
            <w:tcW w:w="1629"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286"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351"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6083" w:type="dxa"/>
            <w:gridSpan w:val="4"/>
            <w:shd w:val="pct15" w:color="auto" w:fill="auto"/>
          </w:tcPr>
          <w:p w:rsidR="00691514" w:rsidRPr="00E9592C" w:rsidRDefault="0069151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691514" w:rsidRPr="00E9592C" w:rsidTr="00D8772C">
        <w:trPr>
          <w:cantSplit/>
          <w:trHeight w:val="309"/>
          <w:tblHeader/>
        </w:trPr>
        <w:tc>
          <w:tcPr>
            <w:tcW w:w="1629"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286"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351"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91"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559"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417"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616"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691514" w:rsidRPr="00E9592C" w:rsidTr="00D8772C">
        <w:tc>
          <w:tcPr>
            <w:tcW w:w="1629" w:type="dxa"/>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National Rail Bill submitted to Parliament by March 2019</w:t>
            </w:r>
          </w:p>
        </w:tc>
        <w:tc>
          <w:tcPr>
            <w:tcW w:w="128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National Rail Bill submitted to the ESEID Cluster</w:t>
            </w:r>
          </w:p>
        </w:tc>
        <w:tc>
          <w:tcPr>
            <w:tcW w:w="1351"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Operational Budget</w:t>
            </w:r>
          </w:p>
        </w:tc>
        <w:tc>
          <w:tcPr>
            <w:tcW w:w="1491"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Conduct stakeholder consultations on the National Rail Bill</w:t>
            </w:r>
          </w:p>
        </w:tc>
        <w:tc>
          <w:tcPr>
            <w:tcW w:w="1559"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Conduct stakeholder consultations on the National Rail Bill</w:t>
            </w:r>
          </w:p>
        </w:tc>
        <w:tc>
          <w:tcPr>
            <w:tcW w:w="1417"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National Rail Bill to DPME for SEIAS assessment</w:t>
            </w:r>
          </w:p>
        </w:tc>
        <w:tc>
          <w:tcPr>
            <w:tcW w:w="161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National Rail Bill to ESEID Cluster</w:t>
            </w:r>
          </w:p>
        </w:tc>
      </w:tr>
    </w:tbl>
    <w:p w:rsidR="00691514" w:rsidRPr="00E9592C" w:rsidRDefault="00691514"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lastRenderedPageBreak/>
        <w:t>Strategic Objective: Regulate and enhance transport safety and security</w:t>
      </w:r>
    </w:p>
    <w:tbl>
      <w:tblPr>
        <w:tblStyle w:val="TableGrid"/>
        <w:tblW w:w="10349" w:type="dxa"/>
        <w:tblInd w:w="-431" w:type="dxa"/>
        <w:tblLook w:val="04A0" w:firstRow="1" w:lastRow="0" w:firstColumn="1" w:lastColumn="0" w:noHBand="0" w:noVBand="1"/>
      </w:tblPr>
      <w:tblGrid>
        <w:gridCol w:w="1562"/>
        <w:gridCol w:w="1403"/>
        <w:gridCol w:w="1207"/>
        <w:gridCol w:w="1403"/>
        <w:gridCol w:w="1403"/>
        <w:gridCol w:w="1403"/>
        <w:gridCol w:w="1968"/>
      </w:tblGrid>
      <w:tr w:rsidR="00691514" w:rsidRPr="00E9592C" w:rsidTr="00D8772C">
        <w:trPr>
          <w:cantSplit/>
          <w:trHeight w:val="591"/>
          <w:tblHeader/>
        </w:trPr>
        <w:tc>
          <w:tcPr>
            <w:tcW w:w="1562"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403"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207"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6177" w:type="dxa"/>
            <w:gridSpan w:val="4"/>
            <w:shd w:val="pct15" w:color="auto" w:fill="auto"/>
          </w:tcPr>
          <w:p w:rsidR="00691514" w:rsidRPr="00E9592C" w:rsidRDefault="0069151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691514" w:rsidRPr="00E9592C" w:rsidTr="00D8772C">
        <w:trPr>
          <w:cantSplit/>
          <w:trHeight w:val="309"/>
          <w:tblHeader/>
        </w:trPr>
        <w:tc>
          <w:tcPr>
            <w:tcW w:w="1562"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03"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207"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03"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403"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403"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968"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691514" w:rsidRPr="00E9592C" w:rsidTr="00D8772C">
        <w:tc>
          <w:tcPr>
            <w:tcW w:w="1562" w:type="dxa"/>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Railway Safety Regulator Amendment Bill submitted to Parliament by March 2019</w:t>
            </w:r>
          </w:p>
        </w:tc>
        <w:tc>
          <w:tcPr>
            <w:tcW w:w="1403"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Draft Railway Safety Regulator Amendment Bill submitted to the ESEID Cluster</w:t>
            </w:r>
          </w:p>
        </w:tc>
        <w:tc>
          <w:tcPr>
            <w:tcW w:w="1207"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R1 654</w:t>
            </w:r>
          </w:p>
        </w:tc>
        <w:tc>
          <w:tcPr>
            <w:tcW w:w="1403"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Conduct stakeholder consultation on the Draft Railway Safety Regulator Amendment Bill</w:t>
            </w:r>
          </w:p>
        </w:tc>
        <w:tc>
          <w:tcPr>
            <w:tcW w:w="1403"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Consider and incorporate inputs on the Railway Safety Regulator Amendment Bill</w:t>
            </w:r>
          </w:p>
        </w:tc>
        <w:tc>
          <w:tcPr>
            <w:tcW w:w="1403"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Draft Railway Safety Regulator Amendment Bill to DPME for SEAIS assessment</w:t>
            </w:r>
          </w:p>
        </w:tc>
        <w:tc>
          <w:tcPr>
            <w:tcW w:w="1968"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Draft Railway Safety Regulator Amendment Bill to the ESEID Cluster</w:t>
            </w:r>
          </w:p>
        </w:tc>
      </w:tr>
    </w:tbl>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A0141"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b/>
          <w:sz w:val="24"/>
          <w:szCs w:val="24"/>
          <w:lang w:val="en-GB"/>
        </w:rPr>
        <w:t>2.</w:t>
      </w:r>
      <w:r w:rsidR="00C63FE9" w:rsidRPr="00E9592C">
        <w:rPr>
          <w:rFonts w:ascii="Times New Roman" w:hAnsi="Times New Roman" w:cs="Times New Roman"/>
          <w:b/>
          <w:sz w:val="24"/>
          <w:szCs w:val="24"/>
          <w:lang w:val="en-GB"/>
        </w:rPr>
        <w:t>3</w:t>
      </w:r>
      <w:r w:rsidR="00691514" w:rsidRPr="00E9592C">
        <w:rPr>
          <w:rFonts w:ascii="Times New Roman" w:hAnsi="Times New Roman" w:cs="Times New Roman"/>
          <w:b/>
          <w:sz w:val="24"/>
          <w:szCs w:val="24"/>
          <w:lang w:val="en-GB"/>
        </w:rPr>
        <w:t>.4 Programme 4: Road Transport</w:t>
      </w:r>
    </w:p>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Strategic Objective: Ensure a sustainable transport infrastructure network</w:t>
      </w:r>
    </w:p>
    <w:tbl>
      <w:tblPr>
        <w:tblStyle w:val="TableGrid"/>
        <w:tblW w:w="10349" w:type="dxa"/>
        <w:tblInd w:w="-431" w:type="dxa"/>
        <w:tblLayout w:type="fixed"/>
        <w:tblLook w:val="04A0" w:firstRow="1" w:lastRow="0" w:firstColumn="1" w:lastColumn="0" w:noHBand="0" w:noVBand="1"/>
      </w:tblPr>
      <w:tblGrid>
        <w:gridCol w:w="1697"/>
        <w:gridCol w:w="1564"/>
        <w:gridCol w:w="1387"/>
        <w:gridCol w:w="1513"/>
        <w:gridCol w:w="1636"/>
        <w:gridCol w:w="1276"/>
        <w:gridCol w:w="1276"/>
      </w:tblGrid>
      <w:tr w:rsidR="00691514" w:rsidRPr="00E9592C" w:rsidTr="00D8772C">
        <w:trPr>
          <w:cantSplit/>
          <w:trHeight w:val="591"/>
          <w:tblHeader/>
        </w:trPr>
        <w:tc>
          <w:tcPr>
            <w:tcW w:w="1697"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564"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387"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5701" w:type="dxa"/>
            <w:gridSpan w:val="4"/>
            <w:shd w:val="pct15" w:color="auto" w:fill="auto"/>
          </w:tcPr>
          <w:p w:rsidR="00691514" w:rsidRPr="00E9592C" w:rsidRDefault="0069151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691514" w:rsidRPr="00E9592C" w:rsidTr="00D8772C">
        <w:trPr>
          <w:cantSplit/>
          <w:trHeight w:val="309"/>
          <w:tblHeader/>
        </w:trPr>
        <w:tc>
          <w:tcPr>
            <w:tcW w:w="1697"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564"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387"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513"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636"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276"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276"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691514" w:rsidRPr="00E9592C" w:rsidTr="00D8772C">
        <w:tc>
          <w:tcPr>
            <w:tcW w:w="1697" w:type="dxa"/>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Access Road Development Plan submitted to Cabinet by March 2019</w:t>
            </w:r>
          </w:p>
        </w:tc>
        <w:tc>
          <w:tcPr>
            <w:tcW w:w="1564"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Conduct stakeholder consultations on the Draft Access Road Development Plan</w:t>
            </w:r>
          </w:p>
        </w:tc>
        <w:tc>
          <w:tcPr>
            <w:tcW w:w="1387"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Operational Budget</w:t>
            </w:r>
          </w:p>
        </w:tc>
        <w:tc>
          <w:tcPr>
            <w:tcW w:w="1513"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Conduct stakeholder consultations with provincial departments on the Draft Access Road Development Plan</w:t>
            </w:r>
          </w:p>
        </w:tc>
        <w:tc>
          <w:tcPr>
            <w:tcW w:w="163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Conduct stakeholder consultations with key municipalities on the Draft Road Access Development Plan</w:t>
            </w:r>
          </w:p>
        </w:tc>
        <w:tc>
          <w:tcPr>
            <w:tcW w:w="127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Conduct stakeholder consultations with sector departments on the Draft Access Road Development Plan</w:t>
            </w:r>
          </w:p>
        </w:tc>
        <w:tc>
          <w:tcPr>
            <w:tcW w:w="127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Incorporate inputs and consolidate the Draft Access Road Development Plan</w:t>
            </w:r>
          </w:p>
        </w:tc>
      </w:tr>
    </w:tbl>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E9592C" w:rsidRDefault="00E9592C">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691514" w:rsidRPr="00E9592C" w:rsidRDefault="00691514"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lastRenderedPageBreak/>
        <w:t>Strategic Objective: Ensure a sustainable transport infrastructure network</w:t>
      </w:r>
    </w:p>
    <w:tbl>
      <w:tblPr>
        <w:tblStyle w:val="TableGrid"/>
        <w:tblW w:w="10349" w:type="dxa"/>
        <w:tblInd w:w="-431" w:type="dxa"/>
        <w:tblLayout w:type="fixed"/>
        <w:tblLook w:val="04A0" w:firstRow="1" w:lastRow="0" w:firstColumn="1" w:lastColumn="0" w:noHBand="0" w:noVBand="1"/>
      </w:tblPr>
      <w:tblGrid>
        <w:gridCol w:w="1585"/>
        <w:gridCol w:w="1245"/>
        <w:gridCol w:w="1134"/>
        <w:gridCol w:w="1418"/>
        <w:gridCol w:w="1559"/>
        <w:gridCol w:w="1565"/>
        <w:gridCol w:w="1843"/>
      </w:tblGrid>
      <w:tr w:rsidR="001A38C4" w:rsidRPr="00E9592C" w:rsidTr="00D8772C">
        <w:trPr>
          <w:cantSplit/>
          <w:trHeight w:val="591"/>
          <w:tblHeader/>
        </w:trPr>
        <w:tc>
          <w:tcPr>
            <w:tcW w:w="1585" w:type="dxa"/>
            <w:vMerge w:val="restart"/>
            <w:shd w:val="pct15" w:color="auto" w:fill="auto"/>
          </w:tcPr>
          <w:p w:rsidR="001A38C4" w:rsidRPr="00E9592C" w:rsidRDefault="001A38C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245" w:type="dxa"/>
            <w:vMerge w:val="restart"/>
            <w:shd w:val="pct15" w:color="auto" w:fill="auto"/>
          </w:tcPr>
          <w:p w:rsidR="001A38C4" w:rsidRPr="00E9592C" w:rsidRDefault="001A38C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134" w:type="dxa"/>
            <w:vMerge w:val="restart"/>
            <w:shd w:val="pct15" w:color="auto" w:fill="auto"/>
          </w:tcPr>
          <w:p w:rsidR="001A38C4" w:rsidRPr="00E9592C" w:rsidRDefault="001A38C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6385" w:type="dxa"/>
            <w:gridSpan w:val="4"/>
            <w:shd w:val="pct15" w:color="auto" w:fill="auto"/>
          </w:tcPr>
          <w:p w:rsidR="001A38C4" w:rsidRPr="00E9592C" w:rsidRDefault="001A38C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1A38C4" w:rsidRPr="00E9592C" w:rsidTr="00D8772C">
        <w:trPr>
          <w:cantSplit/>
          <w:trHeight w:val="309"/>
          <w:tblHeader/>
        </w:trPr>
        <w:tc>
          <w:tcPr>
            <w:tcW w:w="1585" w:type="dxa"/>
            <w:vMerge/>
            <w:shd w:val="pct15" w:color="auto" w:fill="auto"/>
          </w:tcPr>
          <w:p w:rsidR="001A38C4" w:rsidRPr="00E9592C" w:rsidRDefault="001A38C4" w:rsidP="00E9592C">
            <w:pPr>
              <w:spacing w:before="120" w:after="120"/>
              <w:jc w:val="both"/>
              <w:rPr>
                <w:rFonts w:ascii="Times New Roman" w:hAnsi="Times New Roman" w:cs="Times New Roman"/>
                <w:sz w:val="24"/>
                <w:szCs w:val="24"/>
                <w:lang w:val="en-GB"/>
              </w:rPr>
            </w:pPr>
          </w:p>
        </w:tc>
        <w:tc>
          <w:tcPr>
            <w:tcW w:w="1245" w:type="dxa"/>
            <w:vMerge/>
            <w:shd w:val="pct15" w:color="auto" w:fill="auto"/>
          </w:tcPr>
          <w:p w:rsidR="001A38C4" w:rsidRPr="00E9592C" w:rsidRDefault="001A38C4" w:rsidP="00E9592C">
            <w:pPr>
              <w:spacing w:before="120" w:after="120"/>
              <w:jc w:val="both"/>
              <w:rPr>
                <w:rFonts w:ascii="Times New Roman" w:hAnsi="Times New Roman" w:cs="Times New Roman"/>
                <w:sz w:val="24"/>
                <w:szCs w:val="24"/>
                <w:lang w:val="en-GB"/>
              </w:rPr>
            </w:pPr>
          </w:p>
        </w:tc>
        <w:tc>
          <w:tcPr>
            <w:tcW w:w="1134" w:type="dxa"/>
            <w:vMerge/>
            <w:shd w:val="pct15" w:color="auto" w:fill="auto"/>
          </w:tcPr>
          <w:p w:rsidR="001A38C4" w:rsidRPr="00E9592C" w:rsidRDefault="001A38C4" w:rsidP="00E9592C">
            <w:pPr>
              <w:spacing w:before="120" w:after="120"/>
              <w:jc w:val="both"/>
              <w:rPr>
                <w:rFonts w:ascii="Times New Roman" w:hAnsi="Times New Roman" w:cs="Times New Roman"/>
                <w:sz w:val="24"/>
                <w:szCs w:val="24"/>
                <w:lang w:val="en-GB"/>
              </w:rPr>
            </w:pPr>
          </w:p>
        </w:tc>
        <w:tc>
          <w:tcPr>
            <w:tcW w:w="1418" w:type="dxa"/>
            <w:shd w:val="pct15" w:color="auto" w:fill="auto"/>
          </w:tcPr>
          <w:p w:rsidR="001A38C4" w:rsidRPr="00E9592C" w:rsidRDefault="001A38C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559" w:type="dxa"/>
            <w:shd w:val="pct15" w:color="auto" w:fill="auto"/>
          </w:tcPr>
          <w:p w:rsidR="001A38C4" w:rsidRPr="00E9592C" w:rsidRDefault="001A38C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565" w:type="dxa"/>
            <w:shd w:val="pct15" w:color="auto" w:fill="auto"/>
          </w:tcPr>
          <w:p w:rsidR="001A38C4" w:rsidRPr="00E9592C" w:rsidRDefault="001A38C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843" w:type="dxa"/>
            <w:shd w:val="pct15" w:color="auto" w:fill="auto"/>
          </w:tcPr>
          <w:p w:rsidR="001A38C4" w:rsidRPr="00E9592C" w:rsidRDefault="001A38C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1A38C4" w:rsidRPr="00E9592C" w:rsidTr="00D8772C">
        <w:tc>
          <w:tcPr>
            <w:tcW w:w="1585" w:type="dxa"/>
          </w:tcPr>
          <w:p w:rsidR="001A38C4" w:rsidRPr="00E9592C" w:rsidRDefault="001A38C4" w:rsidP="00E9592C">
            <w:pPr>
              <w:spacing w:before="120" w:after="120"/>
              <w:rPr>
                <w:rFonts w:ascii="Times New Roman" w:hAnsi="Times New Roman" w:cs="Times New Roman"/>
                <w:b/>
                <w:sz w:val="24"/>
                <w:szCs w:val="24"/>
                <w:lang w:val="en-GB"/>
              </w:rPr>
            </w:pPr>
            <w:r w:rsidRPr="00E9592C">
              <w:rPr>
                <w:rFonts w:ascii="Times New Roman" w:hAnsi="Times New Roman" w:cs="Times New Roman"/>
                <w:b/>
                <w:sz w:val="24"/>
                <w:szCs w:val="24"/>
                <w:lang w:val="en-GB"/>
              </w:rPr>
              <w:t>Construction and maintenance of provincial roads monitored in line with the approved budget</w:t>
            </w:r>
          </w:p>
        </w:tc>
        <w:tc>
          <w:tcPr>
            <w:tcW w:w="1245" w:type="dxa"/>
          </w:tcPr>
          <w:p w:rsidR="001A38C4" w:rsidRPr="00E9592C" w:rsidRDefault="001A38C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Overall implementation of the </w:t>
            </w:r>
            <w:r w:rsidRPr="00E9592C">
              <w:rPr>
                <w:rFonts w:ascii="Times New Roman" w:hAnsi="Times New Roman" w:cs="Times New Roman"/>
                <w:i/>
                <w:sz w:val="24"/>
                <w:szCs w:val="24"/>
                <w:lang w:val="en-GB"/>
              </w:rPr>
              <w:t>S’hamba Sonke</w:t>
            </w:r>
            <w:r w:rsidRPr="00E9592C">
              <w:rPr>
                <w:rFonts w:ascii="Times New Roman" w:hAnsi="Times New Roman" w:cs="Times New Roman"/>
                <w:sz w:val="24"/>
                <w:szCs w:val="24"/>
                <w:lang w:val="en-GB"/>
              </w:rPr>
              <w:t xml:space="preserve"> Programme (SSP) monitored in line with the Provincial Roads Maintenance Grant (PRMG) budget</w:t>
            </w:r>
          </w:p>
        </w:tc>
        <w:tc>
          <w:tcPr>
            <w:tcW w:w="1134" w:type="dxa"/>
          </w:tcPr>
          <w:p w:rsidR="001A38C4" w:rsidRPr="00E9592C" w:rsidRDefault="001A38C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R17 347</w:t>
            </w:r>
          </w:p>
        </w:tc>
        <w:tc>
          <w:tcPr>
            <w:tcW w:w="1418" w:type="dxa"/>
          </w:tcPr>
          <w:p w:rsidR="001A38C4" w:rsidRPr="00E9592C" w:rsidRDefault="001A38C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Monitor implementation of the SSP through site inspections, bilateral consultations, and compile progress report</w:t>
            </w:r>
          </w:p>
        </w:tc>
        <w:tc>
          <w:tcPr>
            <w:tcW w:w="1559" w:type="dxa"/>
          </w:tcPr>
          <w:p w:rsidR="001A38C4" w:rsidRPr="00E9592C" w:rsidRDefault="001A38C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Monitor implementation of the SSP through site inspections, bilateral consultations, and compile progress report</w:t>
            </w:r>
          </w:p>
        </w:tc>
        <w:tc>
          <w:tcPr>
            <w:tcW w:w="1565" w:type="dxa"/>
          </w:tcPr>
          <w:p w:rsidR="001A38C4" w:rsidRPr="00E9592C" w:rsidRDefault="001A38C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Monitor implementation of the SSP through site inspections, bilateral consultations, and compile progress report</w:t>
            </w:r>
          </w:p>
        </w:tc>
        <w:tc>
          <w:tcPr>
            <w:tcW w:w="1843" w:type="dxa"/>
          </w:tcPr>
          <w:p w:rsidR="001A38C4" w:rsidRPr="00E9592C" w:rsidRDefault="001A38C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Monitor implementation of the</w:t>
            </w:r>
          </w:p>
          <w:p w:rsidR="001A38C4" w:rsidRPr="00E9592C" w:rsidRDefault="001A38C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SSP through site </w:t>
            </w:r>
          </w:p>
          <w:p w:rsidR="001A38C4" w:rsidRPr="00E9592C" w:rsidRDefault="001A38C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inspections, bilateral </w:t>
            </w:r>
          </w:p>
          <w:p w:rsidR="001A38C4" w:rsidRPr="00E9592C" w:rsidRDefault="001A38C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consultations, and </w:t>
            </w:r>
          </w:p>
          <w:p w:rsidR="001A38C4" w:rsidRPr="00E9592C" w:rsidRDefault="001A38C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compile progress report</w:t>
            </w:r>
          </w:p>
        </w:tc>
      </w:tr>
    </w:tbl>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center"/>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Strategic Objective: Regulate and enhance transport safety and security</w:t>
      </w:r>
    </w:p>
    <w:tbl>
      <w:tblPr>
        <w:tblStyle w:val="TableGrid"/>
        <w:tblW w:w="10349" w:type="dxa"/>
        <w:tblInd w:w="-431" w:type="dxa"/>
        <w:tblLayout w:type="fixed"/>
        <w:tblLook w:val="04A0" w:firstRow="1" w:lastRow="0" w:firstColumn="1" w:lastColumn="0" w:noHBand="0" w:noVBand="1"/>
      </w:tblPr>
      <w:tblGrid>
        <w:gridCol w:w="1935"/>
        <w:gridCol w:w="1468"/>
        <w:gridCol w:w="1418"/>
        <w:gridCol w:w="1417"/>
        <w:gridCol w:w="1559"/>
        <w:gridCol w:w="1276"/>
        <w:gridCol w:w="1276"/>
      </w:tblGrid>
      <w:tr w:rsidR="00691514" w:rsidRPr="00E9592C" w:rsidTr="00D8772C">
        <w:trPr>
          <w:cantSplit/>
          <w:trHeight w:val="591"/>
          <w:tblHeader/>
        </w:trPr>
        <w:tc>
          <w:tcPr>
            <w:tcW w:w="1935"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468"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418"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5528" w:type="dxa"/>
            <w:gridSpan w:val="4"/>
            <w:shd w:val="pct15" w:color="auto" w:fill="auto"/>
          </w:tcPr>
          <w:p w:rsidR="00691514" w:rsidRPr="00E9592C" w:rsidRDefault="0069151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691514" w:rsidRPr="00E9592C" w:rsidTr="00D8772C">
        <w:trPr>
          <w:cantSplit/>
          <w:trHeight w:val="309"/>
          <w:tblHeader/>
        </w:trPr>
        <w:tc>
          <w:tcPr>
            <w:tcW w:w="1935"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68"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18"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17"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559"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276"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276"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691514" w:rsidRPr="00E9592C" w:rsidTr="00D8772C">
        <w:tc>
          <w:tcPr>
            <w:tcW w:w="1935" w:type="dxa"/>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The 2016-2030 National Road Safety Strategy submitted to Cabinet by December 2017</w:t>
            </w:r>
          </w:p>
        </w:tc>
        <w:tc>
          <w:tcPr>
            <w:tcW w:w="1468"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2016-2030 National Road Safety Strategy submitted to Cabinet</w:t>
            </w:r>
          </w:p>
        </w:tc>
        <w:tc>
          <w:tcPr>
            <w:tcW w:w="1418" w:type="dxa"/>
          </w:tcPr>
          <w:p w:rsidR="00691514" w:rsidRPr="00E9592C" w:rsidRDefault="00512F36"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Operational</w:t>
            </w:r>
            <w:r w:rsidR="00691514" w:rsidRPr="00E9592C">
              <w:rPr>
                <w:rFonts w:ascii="Times New Roman" w:hAnsi="Times New Roman" w:cs="Times New Roman"/>
                <w:sz w:val="24"/>
                <w:szCs w:val="24"/>
                <w:lang w:val="en-GB"/>
              </w:rPr>
              <w:t xml:space="preserve"> Budget</w:t>
            </w:r>
          </w:p>
        </w:tc>
        <w:tc>
          <w:tcPr>
            <w:tcW w:w="1417"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National Road Safety Strategy to the DPME for SEAIS assessment</w:t>
            </w:r>
          </w:p>
        </w:tc>
        <w:tc>
          <w:tcPr>
            <w:tcW w:w="1559"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2016-2030 National Road Safety Strategy to the ESEID Cluster</w:t>
            </w:r>
          </w:p>
        </w:tc>
        <w:tc>
          <w:tcPr>
            <w:tcW w:w="127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2016-2030 National Road Safety Strategy to Cabinet</w:t>
            </w:r>
          </w:p>
        </w:tc>
        <w:tc>
          <w:tcPr>
            <w:tcW w:w="1276" w:type="dxa"/>
          </w:tcPr>
          <w:p w:rsidR="00691514" w:rsidRPr="00E9592C" w:rsidRDefault="00691514" w:rsidP="00E9592C">
            <w:pPr>
              <w:spacing w:before="120" w:after="120"/>
              <w:jc w:val="both"/>
              <w:rPr>
                <w:rFonts w:ascii="Times New Roman" w:hAnsi="Times New Roman" w:cs="Times New Roman"/>
                <w:sz w:val="24"/>
                <w:szCs w:val="24"/>
                <w:lang w:val="en-GB"/>
              </w:rPr>
            </w:pPr>
          </w:p>
        </w:tc>
      </w:tr>
    </w:tbl>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E9592C" w:rsidRDefault="00E9592C">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691514" w:rsidRPr="00E9592C" w:rsidRDefault="006A0141"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lastRenderedPageBreak/>
        <w:t>2.</w:t>
      </w:r>
      <w:r w:rsidR="00C63FE9" w:rsidRPr="00E9592C">
        <w:rPr>
          <w:rFonts w:ascii="Times New Roman" w:hAnsi="Times New Roman" w:cs="Times New Roman"/>
          <w:b/>
          <w:sz w:val="24"/>
          <w:szCs w:val="24"/>
          <w:lang w:val="en-GB"/>
        </w:rPr>
        <w:t>3</w:t>
      </w:r>
      <w:r w:rsidR="00691514" w:rsidRPr="00E9592C">
        <w:rPr>
          <w:rFonts w:ascii="Times New Roman" w:hAnsi="Times New Roman" w:cs="Times New Roman"/>
          <w:b/>
          <w:sz w:val="24"/>
          <w:szCs w:val="24"/>
          <w:lang w:val="en-GB"/>
        </w:rPr>
        <w:t>.5 Programme 5: Civil Aviation Transport</w:t>
      </w:r>
    </w:p>
    <w:p w:rsidR="00691514" w:rsidRPr="00E9592C" w:rsidRDefault="00691514"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The following targets under the Civil Aviation Transport programme have been revised:</w:t>
      </w:r>
    </w:p>
    <w:p w:rsidR="00691514" w:rsidRPr="00E9592C" w:rsidRDefault="00691514" w:rsidP="00E9592C">
      <w:pPr>
        <w:spacing w:before="120" w:after="120" w:line="240" w:lineRule="auto"/>
        <w:jc w:val="both"/>
        <w:rPr>
          <w:rFonts w:ascii="Times New Roman" w:hAnsi="Times New Roman" w:cs="Times New Roman"/>
          <w:sz w:val="24"/>
          <w:szCs w:val="24"/>
          <w:lang w:val="en-GB"/>
        </w:rPr>
      </w:pPr>
    </w:p>
    <w:tbl>
      <w:tblPr>
        <w:tblStyle w:val="TableGrid"/>
        <w:tblW w:w="9918" w:type="dxa"/>
        <w:tblInd w:w="-431" w:type="dxa"/>
        <w:tblLook w:val="04A0" w:firstRow="1" w:lastRow="0" w:firstColumn="1" w:lastColumn="0" w:noHBand="0" w:noVBand="1"/>
      </w:tblPr>
      <w:tblGrid>
        <w:gridCol w:w="5796"/>
        <w:gridCol w:w="4122"/>
      </w:tblGrid>
      <w:tr w:rsidR="00691514" w:rsidRPr="00E9592C" w:rsidTr="00D8772C">
        <w:tc>
          <w:tcPr>
            <w:tcW w:w="5796" w:type="dxa"/>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Initial Target</w:t>
            </w:r>
          </w:p>
        </w:tc>
        <w:tc>
          <w:tcPr>
            <w:tcW w:w="4122" w:type="dxa"/>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Revised Target</w:t>
            </w:r>
          </w:p>
        </w:tc>
      </w:tr>
      <w:tr w:rsidR="00691514" w:rsidRPr="00E9592C" w:rsidTr="00D8772C">
        <w:tc>
          <w:tcPr>
            <w:tcW w:w="579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Airports Company South Africa (ACSA) and Air Traffic Navigation Services (ATNS) Amendment Bills submitted to Cabinet by March 2017</w:t>
            </w:r>
          </w:p>
        </w:tc>
        <w:tc>
          <w:tcPr>
            <w:tcW w:w="4122"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ACSA Amendment Bill and ATNS Amendment Bill submitted to Cabinet by March 2018</w:t>
            </w:r>
          </w:p>
        </w:tc>
      </w:tr>
      <w:tr w:rsidR="00691514" w:rsidRPr="00E9592C" w:rsidTr="00D8772C">
        <w:tc>
          <w:tcPr>
            <w:tcW w:w="579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Amendment Bill for the rationalisation of the Air Services Licensing Act and the International Air Services Act submitted to Cabinet by March 2017</w:t>
            </w:r>
          </w:p>
        </w:tc>
        <w:tc>
          <w:tcPr>
            <w:tcW w:w="4122"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Air Services Licensing and International Air Services Amendment Bill submitted to Cabinet by March 2019</w:t>
            </w:r>
          </w:p>
        </w:tc>
      </w:tr>
      <w:tr w:rsidR="00691514" w:rsidRPr="00E9592C" w:rsidTr="00D8772C">
        <w:tc>
          <w:tcPr>
            <w:tcW w:w="579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South African Civil Aviation Authority (SACAA) Amendment Bill submitted to Cabinet by March 2017</w:t>
            </w:r>
          </w:p>
        </w:tc>
        <w:tc>
          <w:tcPr>
            <w:tcW w:w="4122"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Civil Aviation Amendment Bill submitted to Cabinet by March 2019</w:t>
            </w:r>
          </w:p>
        </w:tc>
      </w:tr>
    </w:tbl>
    <w:p w:rsidR="00691514" w:rsidRPr="00E9592C" w:rsidRDefault="00691514" w:rsidP="00E9592C">
      <w:pPr>
        <w:spacing w:before="120" w:after="120" w:line="240" w:lineRule="auto"/>
        <w:jc w:val="both"/>
        <w:rPr>
          <w:rFonts w:ascii="Times New Roman" w:hAnsi="Times New Roman" w:cs="Times New Roman"/>
          <w:sz w:val="24"/>
          <w:szCs w:val="24"/>
          <w:lang w:val="en-GB"/>
        </w:rPr>
      </w:pPr>
    </w:p>
    <w:p w:rsidR="00437CC7" w:rsidRPr="00E9592C" w:rsidRDefault="00437CC7"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Strategic Objective: Regulate and enhance transport safety and security</w:t>
      </w:r>
    </w:p>
    <w:tbl>
      <w:tblPr>
        <w:tblStyle w:val="TableGrid"/>
        <w:tblW w:w="10349" w:type="dxa"/>
        <w:tblInd w:w="-431" w:type="dxa"/>
        <w:tblLook w:val="04A0" w:firstRow="1" w:lastRow="0" w:firstColumn="1" w:lastColumn="0" w:noHBand="0" w:noVBand="1"/>
      </w:tblPr>
      <w:tblGrid>
        <w:gridCol w:w="1608"/>
        <w:gridCol w:w="1460"/>
        <w:gridCol w:w="1351"/>
        <w:gridCol w:w="1252"/>
        <w:gridCol w:w="1418"/>
        <w:gridCol w:w="1417"/>
        <w:gridCol w:w="1843"/>
      </w:tblGrid>
      <w:tr w:rsidR="00691514" w:rsidRPr="00E9592C" w:rsidTr="00D8772C">
        <w:trPr>
          <w:cantSplit/>
          <w:trHeight w:val="591"/>
          <w:tblHeader/>
        </w:trPr>
        <w:tc>
          <w:tcPr>
            <w:tcW w:w="1608"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460"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351"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5930" w:type="dxa"/>
            <w:gridSpan w:val="4"/>
            <w:shd w:val="pct15" w:color="auto" w:fill="auto"/>
          </w:tcPr>
          <w:p w:rsidR="00691514" w:rsidRPr="00E9592C" w:rsidRDefault="0069151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691514" w:rsidRPr="00E9592C" w:rsidTr="00D8772C">
        <w:trPr>
          <w:cantSplit/>
          <w:trHeight w:val="309"/>
          <w:tblHeader/>
        </w:trPr>
        <w:tc>
          <w:tcPr>
            <w:tcW w:w="1608"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60"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351"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252"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418"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417"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843"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691514" w:rsidRPr="00E9592C" w:rsidTr="00D8772C">
        <w:tc>
          <w:tcPr>
            <w:tcW w:w="1608" w:type="dxa"/>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Civil Aviation Amendment Bill submitted to Cabinet by March 2018</w:t>
            </w:r>
          </w:p>
        </w:tc>
        <w:tc>
          <w:tcPr>
            <w:tcW w:w="1460"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Civil Aviation Amendment Bill submitted to Cabinet</w:t>
            </w:r>
          </w:p>
        </w:tc>
        <w:tc>
          <w:tcPr>
            <w:tcW w:w="1351"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Operational Budget</w:t>
            </w:r>
          </w:p>
        </w:tc>
        <w:tc>
          <w:tcPr>
            <w:tcW w:w="1252"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w:t>
            </w:r>
          </w:p>
        </w:tc>
        <w:tc>
          <w:tcPr>
            <w:tcW w:w="1418"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Aviation Amendment Bill to DPME for SEIAS assessment</w:t>
            </w:r>
          </w:p>
        </w:tc>
        <w:tc>
          <w:tcPr>
            <w:tcW w:w="1417"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Civil Aviation Amendment Bill to the ESEID Cluster</w:t>
            </w:r>
          </w:p>
        </w:tc>
        <w:tc>
          <w:tcPr>
            <w:tcW w:w="1843"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Civil Aviation Amendment Bill to Cabinet</w:t>
            </w:r>
          </w:p>
        </w:tc>
      </w:tr>
    </w:tbl>
    <w:p w:rsidR="00691514" w:rsidRPr="00E9592C" w:rsidRDefault="00691514" w:rsidP="00E9592C">
      <w:pPr>
        <w:spacing w:before="120" w:after="120" w:line="240" w:lineRule="auto"/>
        <w:jc w:val="both"/>
        <w:rPr>
          <w:rFonts w:ascii="Times New Roman" w:hAnsi="Times New Roman" w:cs="Times New Roman"/>
          <w:sz w:val="24"/>
          <w:szCs w:val="24"/>
          <w:lang w:val="en-GB"/>
        </w:rPr>
      </w:pPr>
    </w:p>
    <w:p w:rsidR="00691514" w:rsidRPr="00E9592C" w:rsidRDefault="006A0141"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2.</w:t>
      </w:r>
      <w:r w:rsidR="00C63FE9" w:rsidRPr="00E9592C">
        <w:rPr>
          <w:rFonts w:ascii="Times New Roman" w:hAnsi="Times New Roman" w:cs="Times New Roman"/>
          <w:b/>
          <w:sz w:val="24"/>
          <w:szCs w:val="24"/>
          <w:lang w:val="en-GB"/>
        </w:rPr>
        <w:t>3</w:t>
      </w:r>
      <w:r w:rsidR="00691514" w:rsidRPr="00E9592C">
        <w:rPr>
          <w:rFonts w:ascii="Times New Roman" w:hAnsi="Times New Roman" w:cs="Times New Roman"/>
          <w:b/>
          <w:sz w:val="24"/>
          <w:szCs w:val="24"/>
          <w:lang w:val="en-GB"/>
        </w:rPr>
        <w:t>.6 Programme 6: Maritime Transport</w:t>
      </w:r>
    </w:p>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The following target has been revisited:</w:t>
      </w:r>
    </w:p>
    <w:p w:rsidR="00691514" w:rsidRPr="00E9592C" w:rsidRDefault="00691514" w:rsidP="00E9592C">
      <w:pPr>
        <w:spacing w:before="120" w:after="120" w:line="240" w:lineRule="auto"/>
        <w:jc w:val="both"/>
        <w:rPr>
          <w:rFonts w:ascii="Times New Roman" w:hAnsi="Times New Roman" w:cs="Times New Roman"/>
          <w:sz w:val="24"/>
          <w:szCs w:val="24"/>
          <w:lang w:val="en-GB"/>
        </w:rPr>
      </w:pPr>
    </w:p>
    <w:tbl>
      <w:tblPr>
        <w:tblStyle w:val="TableGrid"/>
        <w:tblW w:w="10349" w:type="dxa"/>
        <w:tblInd w:w="-431" w:type="dxa"/>
        <w:tblLook w:val="04A0" w:firstRow="1" w:lastRow="0" w:firstColumn="1" w:lastColumn="0" w:noHBand="0" w:noVBand="1"/>
      </w:tblPr>
      <w:tblGrid>
        <w:gridCol w:w="5547"/>
        <w:gridCol w:w="4802"/>
      </w:tblGrid>
      <w:tr w:rsidR="00691514" w:rsidRPr="00E9592C" w:rsidTr="00D8772C">
        <w:tc>
          <w:tcPr>
            <w:tcW w:w="5547" w:type="dxa"/>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Initial Target</w:t>
            </w:r>
          </w:p>
        </w:tc>
        <w:tc>
          <w:tcPr>
            <w:tcW w:w="4802" w:type="dxa"/>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Revised Target</w:t>
            </w:r>
          </w:p>
        </w:tc>
      </w:tr>
      <w:tr w:rsidR="00691514" w:rsidRPr="00E9592C" w:rsidTr="00D8772C">
        <w:tc>
          <w:tcPr>
            <w:tcW w:w="5547"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Merchant Shipping Bill (2016) submitted to Cabinet by March 2016</w:t>
            </w:r>
          </w:p>
        </w:tc>
        <w:tc>
          <w:tcPr>
            <w:tcW w:w="4802"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Merchant Shipping Bill submitted to Cabinet by March 2018</w:t>
            </w:r>
          </w:p>
        </w:tc>
      </w:tr>
    </w:tbl>
    <w:p w:rsidR="00691514" w:rsidRPr="00E9592C" w:rsidRDefault="00691514" w:rsidP="00E9592C">
      <w:pPr>
        <w:spacing w:before="120" w:after="120" w:line="240" w:lineRule="auto"/>
        <w:jc w:val="both"/>
        <w:rPr>
          <w:rFonts w:ascii="Times New Roman" w:hAnsi="Times New Roman" w:cs="Times New Roman"/>
          <w:sz w:val="24"/>
          <w:szCs w:val="24"/>
          <w:lang w:val="en-GB"/>
        </w:rPr>
      </w:pPr>
    </w:p>
    <w:p w:rsidR="00E9592C" w:rsidRDefault="00E9592C">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691514" w:rsidRPr="00E9592C" w:rsidRDefault="00691514"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lastRenderedPageBreak/>
        <w:t>Strategic Objective: Regulate and enhance transport safety and security</w:t>
      </w:r>
    </w:p>
    <w:tbl>
      <w:tblPr>
        <w:tblStyle w:val="TableGrid"/>
        <w:tblW w:w="10349" w:type="dxa"/>
        <w:tblInd w:w="-431" w:type="dxa"/>
        <w:tblLook w:val="04A0" w:firstRow="1" w:lastRow="0" w:firstColumn="1" w:lastColumn="0" w:noHBand="0" w:noVBand="1"/>
      </w:tblPr>
      <w:tblGrid>
        <w:gridCol w:w="1756"/>
        <w:gridCol w:w="1483"/>
        <w:gridCol w:w="1271"/>
        <w:gridCol w:w="1305"/>
        <w:gridCol w:w="1597"/>
        <w:gridCol w:w="1512"/>
        <w:gridCol w:w="1425"/>
      </w:tblGrid>
      <w:tr w:rsidR="00691514" w:rsidRPr="00E9592C" w:rsidTr="00D8772C">
        <w:trPr>
          <w:cantSplit/>
          <w:trHeight w:val="591"/>
          <w:tblHeader/>
        </w:trPr>
        <w:tc>
          <w:tcPr>
            <w:tcW w:w="1756"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483"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271"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5839" w:type="dxa"/>
            <w:gridSpan w:val="4"/>
            <w:shd w:val="pct15" w:color="auto" w:fill="auto"/>
          </w:tcPr>
          <w:p w:rsidR="00691514" w:rsidRPr="00E9592C" w:rsidRDefault="0069151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691514" w:rsidRPr="00E9592C" w:rsidTr="00D8772C">
        <w:trPr>
          <w:cantSplit/>
          <w:trHeight w:val="309"/>
          <w:tblHeader/>
        </w:trPr>
        <w:tc>
          <w:tcPr>
            <w:tcW w:w="1756"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83"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271"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305"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597"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512"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425"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691514" w:rsidRPr="00E9592C" w:rsidTr="00D8772C">
        <w:tc>
          <w:tcPr>
            <w:tcW w:w="1756" w:type="dxa"/>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Merchant Shipping Bill submitted to Cabinet by March 2018</w:t>
            </w:r>
          </w:p>
        </w:tc>
        <w:tc>
          <w:tcPr>
            <w:tcW w:w="1483"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Merchant Shipping Bill submitted to Cabinet</w:t>
            </w:r>
          </w:p>
        </w:tc>
        <w:tc>
          <w:tcPr>
            <w:tcW w:w="1271"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R1 103</w:t>
            </w:r>
          </w:p>
        </w:tc>
        <w:tc>
          <w:tcPr>
            <w:tcW w:w="1305"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Develop the Draft Merchant Shipping Bill</w:t>
            </w:r>
          </w:p>
        </w:tc>
        <w:tc>
          <w:tcPr>
            <w:tcW w:w="1597"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Draft  Merchant Shipping Bill to DPME for SEIAS assessment</w:t>
            </w:r>
          </w:p>
        </w:tc>
        <w:tc>
          <w:tcPr>
            <w:tcW w:w="1512"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Draft Merchant Shipping Bill to the Forum of South African Directors-General (FOSAD) Clusters</w:t>
            </w:r>
          </w:p>
        </w:tc>
        <w:tc>
          <w:tcPr>
            <w:tcW w:w="1425"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Submit the Draft Merchant Shipping Bill to Cabinet</w:t>
            </w:r>
          </w:p>
        </w:tc>
      </w:tr>
    </w:tbl>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A0141"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2.</w:t>
      </w:r>
      <w:r w:rsidR="00C63FE9" w:rsidRPr="00E9592C">
        <w:rPr>
          <w:rFonts w:ascii="Times New Roman" w:hAnsi="Times New Roman" w:cs="Times New Roman"/>
          <w:b/>
          <w:sz w:val="24"/>
          <w:szCs w:val="24"/>
          <w:lang w:val="en-GB"/>
        </w:rPr>
        <w:t>3</w:t>
      </w:r>
      <w:r w:rsidR="00691514" w:rsidRPr="00E9592C">
        <w:rPr>
          <w:rFonts w:ascii="Times New Roman" w:hAnsi="Times New Roman" w:cs="Times New Roman"/>
          <w:b/>
          <w:sz w:val="24"/>
          <w:szCs w:val="24"/>
          <w:lang w:val="en-GB"/>
        </w:rPr>
        <w:t>.7 Programme 7: Public Transport</w:t>
      </w:r>
    </w:p>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Strategic Objective: Promote sustainable public transport</w:t>
      </w:r>
    </w:p>
    <w:tbl>
      <w:tblPr>
        <w:tblStyle w:val="TableGrid"/>
        <w:tblW w:w="10349" w:type="dxa"/>
        <w:tblInd w:w="-431" w:type="dxa"/>
        <w:tblLayout w:type="fixed"/>
        <w:tblLook w:val="04A0" w:firstRow="1" w:lastRow="0" w:firstColumn="1" w:lastColumn="0" w:noHBand="0" w:noVBand="1"/>
      </w:tblPr>
      <w:tblGrid>
        <w:gridCol w:w="1870"/>
        <w:gridCol w:w="1736"/>
        <w:gridCol w:w="1349"/>
        <w:gridCol w:w="1283"/>
        <w:gridCol w:w="1276"/>
        <w:gridCol w:w="1277"/>
        <w:gridCol w:w="1558"/>
      </w:tblGrid>
      <w:tr w:rsidR="00691514" w:rsidRPr="00E9592C" w:rsidTr="00D8772C">
        <w:trPr>
          <w:cantSplit/>
          <w:trHeight w:val="591"/>
          <w:tblHeader/>
        </w:trPr>
        <w:tc>
          <w:tcPr>
            <w:tcW w:w="1870"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736"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349"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5394" w:type="dxa"/>
            <w:gridSpan w:val="4"/>
            <w:shd w:val="pct15" w:color="auto" w:fill="auto"/>
          </w:tcPr>
          <w:p w:rsidR="00691514" w:rsidRPr="00E9592C" w:rsidRDefault="0069151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093BF0" w:rsidRPr="00E9592C" w:rsidTr="00D8772C">
        <w:trPr>
          <w:cantSplit/>
          <w:trHeight w:val="309"/>
          <w:tblHeader/>
        </w:trPr>
        <w:tc>
          <w:tcPr>
            <w:tcW w:w="1870"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736"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349"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283"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276"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277"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558"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093BF0" w:rsidRPr="00E9592C" w:rsidTr="00D8772C">
        <w:tc>
          <w:tcPr>
            <w:tcW w:w="1870" w:type="dxa"/>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Implementation of the revised Taxi Recapitalisation Programme (TRP) monitored</w:t>
            </w:r>
          </w:p>
        </w:tc>
        <w:tc>
          <w:tcPr>
            <w:tcW w:w="173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Implementation Plan of the new TRP developed</w:t>
            </w:r>
          </w:p>
        </w:tc>
        <w:tc>
          <w:tcPr>
            <w:tcW w:w="1349"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Operational Budget</w:t>
            </w:r>
          </w:p>
        </w:tc>
        <w:tc>
          <w:tcPr>
            <w:tcW w:w="1283"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Develop Technical Specifications</w:t>
            </w:r>
          </w:p>
        </w:tc>
        <w:tc>
          <w:tcPr>
            <w:tcW w:w="127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Develop Inception Report</w:t>
            </w:r>
          </w:p>
        </w:tc>
        <w:tc>
          <w:tcPr>
            <w:tcW w:w="1277"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Draft design of the new TRP</w:t>
            </w:r>
          </w:p>
        </w:tc>
        <w:tc>
          <w:tcPr>
            <w:tcW w:w="1558"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Develop Implementation Plan of the new TRP</w:t>
            </w:r>
          </w:p>
        </w:tc>
      </w:tr>
    </w:tbl>
    <w:p w:rsidR="00691514" w:rsidRPr="00E9592C" w:rsidRDefault="00691514" w:rsidP="00E9592C">
      <w:pPr>
        <w:spacing w:before="120" w:after="120" w:line="240" w:lineRule="auto"/>
        <w:jc w:val="both"/>
        <w:rPr>
          <w:rFonts w:ascii="Times New Roman" w:hAnsi="Times New Roman" w:cs="Times New Roman"/>
          <w:b/>
          <w:sz w:val="24"/>
          <w:szCs w:val="24"/>
          <w:lang w:val="en-GB"/>
        </w:rPr>
      </w:pPr>
    </w:p>
    <w:p w:rsidR="00691514" w:rsidRPr="00E9592C" w:rsidRDefault="00691514"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Strategic Objective: Promote sustainable public transport</w:t>
      </w:r>
    </w:p>
    <w:tbl>
      <w:tblPr>
        <w:tblStyle w:val="TableGrid"/>
        <w:tblW w:w="10349" w:type="dxa"/>
        <w:tblInd w:w="-431" w:type="dxa"/>
        <w:tblLayout w:type="fixed"/>
        <w:tblLook w:val="04A0" w:firstRow="1" w:lastRow="0" w:firstColumn="1" w:lastColumn="0" w:noHBand="0" w:noVBand="1"/>
      </w:tblPr>
      <w:tblGrid>
        <w:gridCol w:w="1562"/>
        <w:gridCol w:w="1558"/>
        <w:gridCol w:w="1417"/>
        <w:gridCol w:w="1559"/>
        <w:gridCol w:w="1560"/>
        <w:gridCol w:w="1417"/>
        <w:gridCol w:w="1276"/>
      </w:tblGrid>
      <w:tr w:rsidR="00691514" w:rsidRPr="00E9592C" w:rsidTr="00D8772C">
        <w:trPr>
          <w:cantSplit/>
          <w:trHeight w:val="591"/>
          <w:tblHeader/>
        </w:trPr>
        <w:tc>
          <w:tcPr>
            <w:tcW w:w="1562"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Programme Performance Indicator</w:t>
            </w:r>
          </w:p>
        </w:tc>
        <w:tc>
          <w:tcPr>
            <w:tcW w:w="1558"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Annual Target 2017/18</w:t>
            </w:r>
          </w:p>
        </w:tc>
        <w:tc>
          <w:tcPr>
            <w:tcW w:w="1417" w:type="dxa"/>
            <w:vMerge w:val="restart"/>
            <w:shd w:val="pct15" w:color="auto" w:fill="auto"/>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Allocated Budget ‘000</w:t>
            </w:r>
          </w:p>
        </w:tc>
        <w:tc>
          <w:tcPr>
            <w:tcW w:w="5812" w:type="dxa"/>
            <w:gridSpan w:val="4"/>
            <w:shd w:val="pct15" w:color="auto" w:fill="auto"/>
          </w:tcPr>
          <w:p w:rsidR="00691514" w:rsidRPr="00E9592C" w:rsidRDefault="00691514" w:rsidP="00E9592C">
            <w:pPr>
              <w:spacing w:before="120" w:after="120"/>
              <w:jc w:val="center"/>
              <w:rPr>
                <w:rFonts w:ascii="Times New Roman" w:hAnsi="Times New Roman" w:cs="Times New Roman"/>
                <w:b/>
                <w:sz w:val="24"/>
                <w:szCs w:val="24"/>
                <w:lang w:val="en-GB"/>
              </w:rPr>
            </w:pPr>
            <w:r w:rsidRPr="00E9592C">
              <w:rPr>
                <w:rFonts w:ascii="Times New Roman" w:hAnsi="Times New Roman" w:cs="Times New Roman"/>
                <w:b/>
                <w:sz w:val="24"/>
                <w:szCs w:val="24"/>
                <w:lang w:val="en-GB"/>
              </w:rPr>
              <w:t>Quarterly Targets</w:t>
            </w:r>
          </w:p>
        </w:tc>
      </w:tr>
      <w:tr w:rsidR="00691514" w:rsidRPr="00E9592C" w:rsidTr="00D8772C">
        <w:trPr>
          <w:cantSplit/>
          <w:trHeight w:val="309"/>
          <w:tblHeader/>
        </w:trPr>
        <w:tc>
          <w:tcPr>
            <w:tcW w:w="1562"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558"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417" w:type="dxa"/>
            <w:vMerge/>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p>
        </w:tc>
        <w:tc>
          <w:tcPr>
            <w:tcW w:w="1559"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1</w:t>
            </w:r>
            <w:r w:rsidRPr="00E9592C">
              <w:rPr>
                <w:rFonts w:ascii="Times New Roman" w:hAnsi="Times New Roman" w:cs="Times New Roman"/>
                <w:sz w:val="24"/>
                <w:szCs w:val="24"/>
                <w:vertAlign w:val="superscript"/>
                <w:lang w:val="en-GB"/>
              </w:rPr>
              <w:t>st</w:t>
            </w:r>
            <w:r w:rsidRPr="00E9592C">
              <w:rPr>
                <w:rFonts w:ascii="Times New Roman" w:hAnsi="Times New Roman" w:cs="Times New Roman"/>
                <w:sz w:val="24"/>
                <w:szCs w:val="24"/>
                <w:lang w:val="en-GB"/>
              </w:rPr>
              <w:t xml:space="preserve"> Quarter</w:t>
            </w:r>
          </w:p>
        </w:tc>
        <w:tc>
          <w:tcPr>
            <w:tcW w:w="1560"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2</w:t>
            </w:r>
            <w:r w:rsidRPr="00E9592C">
              <w:rPr>
                <w:rFonts w:ascii="Times New Roman" w:hAnsi="Times New Roman" w:cs="Times New Roman"/>
                <w:sz w:val="24"/>
                <w:szCs w:val="24"/>
                <w:vertAlign w:val="superscript"/>
                <w:lang w:val="en-GB"/>
              </w:rPr>
              <w:t>nd</w:t>
            </w:r>
            <w:r w:rsidRPr="00E9592C">
              <w:rPr>
                <w:rFonts w:ascii="Times New Roman" w:hAnsi="Times New Roman" w:cs="Times New Roman"/>
                <w:sz w:val="24"/>
                <w:szCs w:val="24"/>
                <w:lang w:val="en-GB"/>
              </w:rPr>
              <w:t xml:space="preserve"> Quarter </w:t>
            </w:r>
          </w:p>
        </w:tc>
        <w:tc>
          <w:tcPr>
            <w:tcW w:w="1417"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3</w:t>
            </w:r>
            <w:r w:rsidRPr="00E9592C">
              <w:rPr>
                <w:rFonts w:ascii="Times New Roman" w:hAnsi="Times New Roman" w:cs="Times New Roman"/>
                <w:sz w:val="24"/>
                <w:szCs w:val="24"/>
                <w:vertAlign w:val="superscript"/>
                <w:lang w:val="en-GB"/>
              </w:rPr>
              <w:t>rd</w:t>
            </w:r>
            <w:r w:rsidRPr="00E9592C">
              <w:rPr>
                <w:rFonts w:ascii="Times New Roman" w:hAnsi="Times New Roman" w:cs="Times New Roman"/>
                <w:sz w:val="24"/>
                <w:szCs w:val="24"/>
                <w:lang w:val="en-GB"/>
              </w:rPr>
              <w:t xml:space="preserve"> Quarter</w:t>
            </w:r>
          </w:p>
        </w:tc>
        <w:tc>
          <w:tcPr>
            <w:tcW w:w="1276" w:type="dxa"/>
            <w:shd w:val="pct15" w:color="auto" w:fill="auto"/>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4</w:t>
            </w:r>
            <w:r w:rsidRPr="00E9592C">
              <w:rPr>
                <w:rFonts w:ascii="Times New Roman" w:hAnsi="Times New Roman" w:cs="Times New Roman"/>
                <w:sz w:val="24"/>
                <w:szCs w:val="24"/>
                <w:vertAlign w:val="superscript"/>
                <w:lang w:val="en-GB"/>
              </w:rPr>
              <w:t>th</w:t>
            </w:r>
            <w:r w:rsidRPr="00E9592C">
              <w:rPr>
                <w:rFonts w:ascii="Times New Roman" w:hAnsi="Times New Roman" w:cs="Times New Roman"/>
                <w:sz w:val="24"/>
                <w:szCs w:val="24"/>
                <w:lang w:val="en-GB"/>
              </w:rPr>
              <w:t xml:space="preserve"> Quarter</w:t>
            </w:r>
          </w:p>
        </w:tc>
      </w:tr>
      <w:tr w:rsidR="00691514" w:rsidRPr="00E9592C" w:rsidTr="00D8772C">
        <w:tc>
          <w:tcPr>
            <w:tcW w:w="1562" w:type="dxa"/>
          </w:tcPr>
          <w:p w:rsidR="00691514" w:rsidRPr="00E9592C" w:rsidRDefault="00691514" w:rsidP="00E9592C">
            <w:pPr>
              <w:spacing w:before="120" w:after="120"/>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 xml:space="preserve">Integrated Public Transport Networks (IPTNs) funded and </w:t>
            </w:r>
            <w:r w:rsidRPr="00E9592C">
              <w:rPr>
                <w:rFonts w:ascii="Times New Roman" w:hAnsi="Times New Roman" w:cs="Times New Roman"/>
                <w:b/>
                <w:sz w:val="24"/>
                <w:szCs w:val="24"/>
                <w:lang w:val="en-GB"/>
              </w:rPr>
              <w:lastRenderedPageBreak/>
              <w:t>monitored in selected cities</w:t>
            </w:r>
          </w:p>
        </w:tc>
        <w:tc>
          <w:tcPr>
            <w:tcW w:w="1558"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 xml:space="preserve">IPTNs monitored in selected cities (Ekurhuleni, Mbombela, Nelson </w:t>
            </w:r>
            <w:r w:rsidRPr="00E9592C">
              <w:rPr>
                <w:rFonts w:ascii="Times New Roman" w:hAnsi="Times New Roman" w:cs="Times New Roman"/>
                <w:sz w:val="24"/>
                <w:szCs w:val="24"/>
                <w:lang w:val="en-GB"/>
              </w:rPr>
              <w:lastRenderedPageBreak/>
              <w:t>Mandela Bay, Johannesburg, Cape Town, George and Tshwane)</w:t>
            </w:r>
          </w:p>
        </w:tc>
        <w:tc>
          <w:tcPr>
            <w:tcW w:w="1417"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Operational Budget</w:t>
            </w:r>
          </w:p>
        </w:tc>
        <w:tc>
          <w:tcPr>
            <w:tcW w:w="1559"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Fund and monitor implementation of seven (7) IPTNS</w:t>
            </w:r>
          </w:p>
        </w:tc>
        <w:tc>
          <w:tcPr>
            <w:tcW w:w="1560"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Fund and monitor implementation of seven (7) IPTNS</w:t>
            </w:r>
          </w:p>
        </w:tc>
        <w:tc>
          <w:tcPr>
            <w:tcW w:w="1417"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Fund and monitor implementation of seven (7) IPTNS</w:t>
            </w:r>
          </w:p>
        </w:tc>
        <w:tc>
          <w:tcPr>
            <w:tcW w:w="1276" w:type="dxa"/>
          </w:tcPr>
          <w:p w:rsidR="00691514" w:rsidRPr="00E9592C" w:rsidRDefault="00691514" w:rsidP="00E9592C">
            <w:pPr>
              <w:spacing w:before="120" w:after="120"/>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Fund and monitor implementation of seven (7) </w:t>
            </w:r>
            <w:r w:rsidRPr="00E9592C">
              <w:rPr>
                <w:rFonts w:ascii="Times New Roman" w:hAnsi="Times New Roman" w:cs="Times New Roman"/>
                <w:sz w:val="24"/>
                <w:szCs w:val="24"/>
                <w:lang w:val="en-GB"/>
              </w:rPr>
              <w:lastRenderedPageBreak/>
              <w:t>IPTNS</w:t>
            </w:r>
          </w:p>
        </w:tc>
      </w:tr>
    </w:tbl>
    <w:p w:rsidR="00437CC7" w:rsidRPr="00E9592C" w:rsidRDefault="00437CC7" w:rsidP="00E9592C">
      <w:pPr>
        <w:spacing w:before="120" w:after="120" w:line="240" w:lineRule="auto"/>
        <w:rPr>
          <w:rFonts w:ascii="Times New Roman" w:hAnsi="Times New Roman" w:cs="Times New Roman"/>
          <w:b/>
          <w:sz w:val="24"/>
          <w:szCs w:val="24"/>
          <w:lang w:val="en-GB"/>
        </w:rPr>
      </w:pPr>
    </w:p>
    <w:p w:rsidR="00E457CE" w:rsidRPr="00E9592C" w:rsidRDefault="00437CC7" w:rsidP="00E9592C">
      <w:pPr>
        <w:pStyle w:val="ListParagraph"/>
        <w:numPr>
          <w:ilvl w:val="0"/>
          <w:numId w:val="5"/>
        </w:numPr>
        <w:spacing w:before="120" w:after="120" w:line="240" w:lineRule="auto"/>
        <w:rPr>
          <w:rFonts w:ascii="Times New Roman" w:hAnsi="Times New Roman" w:cs="Times New Roman"/>
          <w:b/>
          <w:sz w:val="24"/>
          <w:szCs w:val="24"/>
          <w:lang w:val="en-GB"/>
        </w:rPr>
      </w:pPr>
      <w:r w:rsidRPr="00E9592C">
        <w:rPr>
          <w:rFonts w:ascii="Times New Roman" w:hAnsi="Times New Roman" w:cs="Times New Roman"/>
          <w:b/>
          <w:sz w:val="24"/>
          <w:szCs w:val="24"/>
          <w:lang w:val="en-GB"/>
        </w:rPr>
        <w:t xml:space="preserve">REVIEW OF 2017/18 </w:t>
      </w:r>
      <w:r w:rsidR="00250C48" w:rsidRPr="00E9592C">
        <w:rPr>
          <w:rFonts w:ascii="Times New Roman" w:hAnsi="Times New Roman" w:cs="Times New Roman"/>
          <w:b/>
          <w:sz w:val="24"/>
          <w:szCs w:val="24"/>
          <w:lang w:val="en-GB"/>
        </w:rPr>
        <w:t xml:space="preserve">DRAFT </w:t>
      </w:r>
      <w:r w:rsidRPr="00E9592C">
        <w:rPr>
          <w:rFonts w:ascii="Times New Roman" w:hAnsi="Times New Roman" w:cs="Times New Roman"/>
          <w:b/>
          <w:sz w:val="24"/>
          <w:szCs w:val="24"/>
          <w:lang w:val="en-GB"/>
        </w:rPr>
        <w:t xml:space="preserve">APP OF THE DEPARTMENT </w:t>
      </w:r>
      <w:r w:rsidR="00882327" w:rsidRPr="00E9592C">
        <w:rPr>
          <w:rFonts w:ascii="Times New Roman" w:hAnsi="Times New Roman" w:cs="Times New Roman"/>
          <w:b/>
          <w:sz w:val="24"/>
          <w:szCs w:val="24"/>
          <w:lang w:val="en-GB"/>
        </w:rPr>
        <w:t xml:space="preserve">OF TRANSPORT </w:t>
      </w:r>
      <w:r w:rsidRPr="00E9592C">
        <w:rPr>
          <w:rFonts w:ascii="Times New Roman" w:hAnsi="Times New Roman" w:cs="Times New Roman"/>
          <w:b/>
          <w:sz w:val="24"/>
          <w:szCs w:val="24"/>
          <w:lang w:val="en-GB"/>
        </w:rPr>
        <w:t>BY T</w:t>
      </w:r>
      <w:r w:rsidR="003E464E" w:rsidRPr="00E9592C">
        <w:rPr>
          <w:rFonts w:ascii="Times New Roman" w:hAnsi="Times New Roman" w:cs="Times New Roman"/>
          <w:b/>
          <w:sz w:val="24"/>
          <w:szCs w:val="24"/>
          <w:lang w:val="en-GB"/>
        </w:rPr>
        <w:t>HE AUDITOR-</w:t>
      </w:r>
      <w:r w:rsidR="00AB296E" w:rsidRPr="00E9592C">
        <w:rPr>
          <w:rFonts w:ascii="Times New Roman" w:hAnsi="Times New Roman" w:cs="Times New Roman"/>
          <w:b/>
          <w:sz w:val="24"/>
          <w:szCs w:val="24"/>
          <w:lang w:val="en-GB"/>
        </w:rPr>
        <w:t xml:space="preserve">GENERAL OF SOUTH AFRICA </w:t>
      </w:r>
    </w:p>
    <w:p w:rsidR="008B04EB" w:rsidRPr="00E9592C" w:rsidRDefault="008B04EB" w:rsidP="00E9592C">
      <w:pPr>
        <w:spacing w:before="120" w:after="120" w:line="240" w:lineRule="auto"/>
        <w:rPr>
          <w:rFonts w:ascii="Times New Roman" w:hAnsi="Times New Roman" w:cs="Times New Roman"/>
          <w:b/>
          <w:sz w:val="24"/>
          <w:szCs w:val="24"/>
          <w:lang w:val="en-GB"/>
        </w:rPr>
      </w:pPr>
    </w:p>
    <w:p w:rsidR="008B04EB" w:rsidRPr="00E9592C" w:rsidRDefault="008B04EB"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The Auditor-General of South Africa on 2 May 2017 briefed the Committee on the scope of the review of the 2017/18 dra</w:t>
      </w:r>
      <w:r w:rsidR="006A63C9" w:rsidRPr="00E9592C">
        <w:rPr>
          <w:rFonts w:ascii="Times New Roman" w:hAnsi="Times New Roman" w:cs="Times New Roman"/>
          <w:sz w:val="24"/>
          <w:szCs w:val="24"/>
          <w:lang w:val="en-GB"/>
        </w:rPr>
        <w:t xml:space="preserve">ft APP of the Department. The review assessed the process followed by the Department to prepare and submit strategic plans and APPs, as well as the measurability and relevance of the final draft indicators and targets planned for selected programmes. The review </w:t>
      </w:r>
      <w:r w:rsidR="002613F4" w:rsidRPr="00E9592C">
        <w:rPr>
          <w:rFonts w:ascii="Times New Roman" w:hAnsi="Times New Roman" w:cs="Times New Roman"/>
          <w:sz w:val="24"/>
          <w:szCs w:val="24"/>
          <w:lang w:val="en-GB"/>
        </w:rPr>
        <w:t xml:space="preserve">of the past 3 years in audit outcomes </w:t>
      </w:r>
      <w:r w:rsidR="006A63C9" w:rsidRPr="00E9592C">
        <w:rPr>
          <w:rFonts w:ascii="Times New Roman" w:hAnsi="Times New Roman" w:cs="Times New Roman"/>
          <w:sz w:val="24"/>
          <w:szCs w:val="24"/>
          <w:lang w:val="en-GB"/>
        </w:rPr>
        <w:t xml:space="preserve">indicated that </w:t>
      </w:r>
      <w:r w:rsidR="002613F4" w:rsidRPr="00E9592C">
        <w:rPr>
          <w:rFonts w:ascii="Times New Roman" w:hAnsi="Times New Roman" w:cs="Times New Roman"/>
          <w:sz w:val="24"/>
          <w:szCs w:val="24"/>
          <w:lang w:val="en-GB"/>
        </w:rPr>
        <w:t>t</w:t>
      </w:r>
      <w:r w:rsidR="00C0327A" w:rsidRPr="00E9592C">
        <w:rPr>
          <w:rFonts w:ascii="Times New Roman" w:hAnsi="Times New Roman" w:cs="Times New Roman"/>
          <w:sz w:val="24"/>
          <w:szCs w:val="24"/>
          <w:lang w:val="en-GB"/>
        </w:rPr>
        <w:t xml:space="preserve">here has been a regression in the area of </w:t>
      </w:r>
      <w:r w:rsidR="002613F4" w:rsidRPr="00E9592C">
        <w:rPr>
          <w:rFonts w:ascii="Times New Roman" w:hAnsi="Times New Roman" w:cs="Times New Roman"/>
          <w:sz w:val="24"/>
          <w:szCs w:val="24"/>
          <w:lang w:val="en-GB"/>
        </w:rPr>
        <w:t xml:space="preserve">reliable performance reporting in the Department. </w:t>
      </w:r>
      <w:r w:rsidR="00C0327A" w:rsidRPr="00E9592C">
        <w:rPr>
          <w:rFonts w:ascii="Times New Roman" w:hAnsi="Times New Roman" w:cs="Times New Roman"/>
          <w:sz w:val="24"/>
          <w:szCs w:val="24"/>
          <w:lang w:val="en-GB"/>
        </w:rPr>
        <w:t>Annual performance plans of PRASA, RSR, SAMSA and SANRAL also contained targets that were not specific, time bound and verifiable. Achievements reported by PRASA, RSR, RTIA and SAMSA were either incorrect or not supported by appropriate sufficient evidence to confirm the accuracy and reliability thereof.</w:t>
      </w:r>
    </w:p>
    <w:p w:rsidR="000A3512" w:rsidRPr="00E9592C" w:rsidRDefault="000A3512" w:rsidP="00E9592C">
      <w:pPr>
        <w:spacing w:before="120" w:after="120" w:line="240" w:lineRule="auto"/>
        <w:jc w:val="both"/>
        <w:rPr>
          <w:rFonts w:ascii="Times New Roman" w:hAnsi="Times New Roman" w:cs="Times New Roman"/>
          <w:sz w:val="24"/>
          <w:szCs w:val="24"/>
          <w:lang w:val="en-GB"/>
        </w:rPr>
      </w:pPr>
    </w:p>
    <w:p w:rsidR="0013166B" w:rsidRPr="00E9592C" w:rsidRDefault="006A0141"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3</w:t>
      </w:r>
      <w:r w:rsidR="00E854BA" w:rsidRPr="00E9592C">
        <w:rPr>
          <w:rFonts w:ascii="Times New Roman" w:hAnsi="Times New Roman" w:cs="Times New Roman"/>
          <w:b/>
          <w:sz w:val="24"/>
          <w:szCs w:val="24"/>
          <w:lang w:val="en-GB"/>
        </w:rPr>
        <w:t>.1</w:t>
      </w:r>
      <w:r w:rsidR="00E854BA" w:rsidRPr="00E9592C">
        <w:rPr>
          <w:rFonts w:ascii="Times New Roman" w:hAnsi="Times New Roman" w:cs="Times New Roman"/>
          <w:b/>
          <w:sz w:val="24"/>
          <w:szCs w:val="24"/>
          <w:lang w:val="en-GB"/>
        </w:rPr>
        <w:tab/>
      </w:r>
      <w:r w:rsidR="0013166B" w:rsidRPr="00E9592C">
        <w:rPr>
          <w:rFonts w:ascii="Times New Roman" w:hAnsi="Times New Roman" w:cs="Times New Roman"/>
          <w:b/>
          <w:sz w:val="24"/>
          <w:szCs w:val="24"/>
          <w:lang w:val="en-GB"/>
        </w:rPr>
        <w:t>Preliminary review of the 2017/18 APP</w:t>
      </w:r>
    </w:p>
    <w:tbl>
      <w:tblPr>
        <w:tblStyle w:val="TableGrid"/>
        <w:tblW w:w="10097" w:type="dxa"/>
        <w:tblInd w:w="-431" w:type="dxa"/>
        <w:tblLook w:val="04A0" w:firstRow="1" w:lastRow="0" w:firstColumn="1" w:lastColumn="0" w:noHBand="0" w:noVBand="1"/>
      </w:tblPr>
      <w:tblGrid>
        <w:gridCol w:w="1443"/>
        <w:gridCol w:w="1736"/>
        <w:gridCol w:w="1736"/>
        <w:gridCol w:w="1723"/>
        <w:gridCol w:w="1810"/>
        <w:gridCol w:w="1649"/>
      </w:tblGrid>
      <w:tr w:rsidR="007E38A3" w:rsidRPr="00E9592C" w:rsidTr="00D8772C">
        <w:trPr>
          <w:trHeight w:val="901"/>
        </w:trPr>
        <w:tc>
          <w:tcPr>
            <w:tcW w:w="1443" w:type="dxa"/>
            <w:shd w:val="clear" w:color="auto" w:fill="A6A6A6" w:themeFill="background1" w:themeFillShade="A6"/>
            <w:hideMark/>
          </w:tcPr>
          <w:p w:rsidR="00E457CE" w:rsidRPr="00E9592C" w:rsidRDefault="00E457CE" w:rsidP="00E9592C">
            <w:pPr>
              <w:spacing w:before="120" w:after="120"/>
              <w:rPr>
                <w:rFonts w:ascii="Times New Roman" w:hAnsi="Times New Roman" w:cs="Times New Roman"/>
                <w:sz w:val="24"/>
                <w:szCs w:val="24"/>
                <w:lang w:val="en-GB"/>
              </w:rPr>
            </w:pPr>
            <w:r w:rsidRPr="00E9592C">
              <w:rPr>
                <w:rFonts w:ascii="Times New Roman" w:hAnsi="Times New Roman" w:cs="Times New Roman"/>
                <w:b/>
                <w:bCs/>
                <w:sz w:val="24"/>
                <w:szCs w:val="24"/>
                <w:lang w:val="en-GB"/>
              </w:rPr>
              <w:t>Programme</w:t>
            </w:r>
          </w:p>
        </w:tc>
        <w:tc>
          <w:tcPr>
            <w:tcW w:w="1736" w:type="dxa"/>
            <w:shd w:val="clear" w:color="auto" w:fill="A6A6A6" w:themeFill="background1" w:themeFillShade="A6"/>
            <w:hideMark/>
          </w:tcPr>
          <w:p w:rsidR="00E457CE" w:rsidRPr="00E9592C" w:rsidRDefault="00E457CE" w:rsidP="00E9592C">
            <w:pPr>
              <w:spacing w:before="120" w:after="120"/>
              <w:rPr>
                <w:rFonts w:ascii="Times New Roman" w:hAnsi="Times New Roman" w:cs="Times New Roman"/>
                <w:sz w:val="24"/>
                <w:szCs w:val="24"/>
                <w:lang w:val="en-GB"/>
              </w:rPr>
            </w:pPr>
            <w:r w:rsidRPr="00E9592C">
              <w:rPr>
                <w:rFonts w:ascii="Times New Roman" w:hAnsi="Times New Roman" w:cs="Times New Roman"/>
                <w:b/>
                <w:bCs/>
                <w:sz w:val="24"/>
                <w:szCs w:val="24"/>
                <w:lang w:val="en-GB"/>
              </w:rPr>
              <w:t>Indicator</w:t>
            </w:r>
          </w:p>
        </w:tc>
        <w:tc>
          <w:tcPr>
            <w:tcW w:w="1736" w:type="dxa"/>
            <w:shd w:val="clear" w:color="auto" w:fill="A6A6A6" w:themeFill="background1" w:themeFillShade="A6"/>
            <w:hideMark/>
          </w:tcPr>
          <w:p w:rsidR="00E457CE" w:rsidRPr="00E9592C" w:rsidRDefault="00E457CE" w:rsidP="00E9592C">
            <w:pPr>
              <w:spacing w:before="120" w:after="120"/>
              <w:rPr>
                <w:rFonts w:ascii="Times New Roman" w:hAnsi="Times New Roman" w:cs="Times New Roman"/>
                <w:sz w:val="24"/>
                <w:szCs w:val="24"/>
                <w:lang w:val="en-GB"/>
              </w:rPr>
            </w:pPr>
            <w:r w:rsidRPr="00E9592C">
              <w:rPr>
                <w:rFonts w:ascii="Times New Roman" w:hAnsi="Times New Roman" w:cs="Times New Roman"/>
                <w:b/>
                <w:bCs/>
                <w:sz w:val="24"/>
                <w:szCs w:val="24"/>
                <w:lang w:val="en-GB"/>
              </w:rPr>
              <w:t>Annual target</w:t>
            </w:r>
          </w:p>
        </w:tc>
        <w:tc>
          <w:tcPr>
            <w:tcW w:w="1723" w:type="dxa"/>
            <w:shd w:val="clear" w:color="auto" w:fill="A6A6A6" w:themeFill="background1" w:themeFillShade="A6"/>
            <w:hideMark/>
          </w:tcPr>
          <w:p w:rsidR="00E457CE" w:rsidRPr="00E9592C" w:rsidRDefault="00E457CE" w:rsidP="00E9592C">
            <w:pPr>
              <w:spacing w:before="120" w:after="120"/>
              <w:rPr>
                <w:rFonts w:ascii="Times New Roman" w:hAnsi="Times New Roman" w:cs="Times New Roman"/>
                <w:sz w:val="24"/>
                <w:szCs w:val="24"/>
                <w:lang w:val="en-GB"/>
              </w:rPr>
            </w:pPr>
            <w:r w:rsidRPr="00E9592C">
              <w:rPr>
                <w:rFonts w:ascii="Times New Roman" w:hAnsi="Times New Roman" w:cs="Times New Roman"/>
                <w:b/>
                <w:bCs/>
                <w:sz w:val="24"/>
                <w:szCs w:val="24"/>
                <w:lang w:val="en-GB"/>
              </w:rPr>
              <w:t>APP</w:t>
            </w:r>
          </w:p>
          <w:p w:rsidR="00E457CE" w:rsidRPr="00E9592C" w:rsidRDefault="00E457CE" w:rsidP="00E9592C">
            <w:pPr>
              <w:spacing w:before="120" w:after="120"/>
              <w:rPr>
                <w:rFonts w:ascii="Times New Roman" w:hAnsi="Times New Roman" w:cs="Times New Roman"/>
                <w:sz w:val="24"/>
                <w:szCs w:val="24"/>
                <w:lang w:val="en-GB"/>
              </w:rPr>
            </w:pPr>
            <w:r w:rsidRPr="00E9592C">
              <w:rPr>
                <w:rFonts w:ascii="Times New Roman" w:hAnsi="Times New Roman" w:cs="Times New Roman"/>
                <w:b/>
                <w:bCs/>
                <w:sz w:val="24"/>
                <w:szCs w:val="24"/>
                <w:lang w:val="en-GB"/>
              </w:rPr>
              <w:t>Q2, Q3 &amp; Q4</w:t>
            </w:r>
          </w:p>
        </w:tc>
        <w:tc>
          <w:tcPr>
            <w:tcW w:w="1810" w:type="dxa"/>
            <w:shd w:val="clear" w:color="auto" w:fill="A6A6A6" w:themeFill="background1" w:themeFillShade="A6"/>
            <w:hideMark/>
          </w:tcPr>
          <w:p w:rsidR="00E457CE" w:rsidRPr="00E9592C" w:rsidRDefault="00E457CE" w:rsidP="00E9592C">
            <w:pPr>
              <w:spacing w:before="120" w:after="120"/>
              <w:rPr>
                <w:rFonts w:ascii="Times New Roman" w:hAnsi="Times New Roman" w:cs="Times New Roman"/>
                <w:sz w:val="24"/>
                <w:szCs w:val="24"/>
                <w:lang w:val="en-GB"/>
              </w:rPr>
            </w:pPr>
            <w:r w:rsidRPr="00E9592C">
              <w:rPr>
                <w:rFonts w:ascii="Times New Roman" w:hAnsi="Times New Roman" w:cs="Times New Roman"/>
                <w:b/>
                <w:bCs/>
                <w:sz w:val="24"/>
                <w:szCs w:val="24"/>
                <w:lang w:val="en-GB"/>
              </w:rPr>
              <w:t>Observation</w:t>
            </w:r>
          </w:p>
        </w:tc>
        <w:tc>
          <w:tcPr>
            <w:tcW w:w="1649" w:type="dxa"/>
            <w:shd w:val="clear" w:color="auto" w:fill="A6A6A6" w:themeFill="background1" w:themeFillShade="A6"/>
            <w:hideMark/>
          </w:tcPr>
          <w:p w:rsidR="00E457CE" w:rsidRPr="00E9592C" w:rsidRDefault="00E457CE" w:rsidP="00E9592C">
            <w:pPr>
              <w:spacing w:before="120" w:after="120"/>
              <w:rPr>
                <w:rFonts w:ascii="Times New Roman" w:hAnsi="Times New Roman" w:cs="Times New Roman"/>
                <w:sz w:val="24"/>
                <w:szCs w:val="24"/>
                <w:lang w:val="en-GB"/>
              </w:rPr>
            </w:pPr>
            <w:r w:rsidRPr="00E9592C">
              <w:rPr>
                <w:rFonts w:ascii="Times New Roman" w:hAnsi="Times New Roman" w:cs="Times New Roman"/>
                <w:b/>
                <w:bCs/>
                <w:sz w:val="24"/>
                <w:szCs w:val="24"/>
                <w:lang w:val="en-GB"/>
              </w:rPr>
              <w:t>Amendments by management</w:t>
            </w:r>
          </w:p>
        </w:tc>
      </w:tr>
      <w:tr w:rsidR="006571BF" w:rsidRPr="00E9592C" w:rsidTr="00D8772C">
        <w:trPr>
          <w:trHeight w:val="343"/>
        </w:trPr>
        <w:tc>
          <w:tcPr>
            <w:tcW w:w="10097" w:type="dxa"/>
            <w:gridSpan w:val="6"/>
          </w:tcPr>
          <w:p w:rsidR="006571BF" w:rsidRPr="00E9592C" w:rsidRDefault="00C42117" w:rsidP="00E9592C">
            <w:pPr>
              <w:spacing w:before="120" w:after="120"/>
              <w:rPr>
                <w:rFonts w:ascii="Times New Roman" w:hAnsi="Times New Roman" w:cs="Times New Roman"/>
                <w:b/>
                <w:bCs/>
                <w:sz w:val="24"/>
                <w:szCs w:val="24"/>
                <w:lang w:val="en-GB"/>
              </w:rPr>
            </w:pPr>
            <w:r w:rsidRPr="00E9592C">
              <w:rPr>
                <w:rFonts w:ascii="Times New Roman" w:hAnsi="Times New Roman" w:cs="Times New Roman"/>
                <w:b/>
                <w:bCs/>
                <w:sz w:val="24"/>
                <w:szCs w:val="24"/>
                <w:lang w:val="en-GB"/>
              </w:rPr>
              <w:t>Targets</w:t>
            </w:r>
            <w:r w:rsidR="006571BF" w:rsidRPr="00E9592C">
              <w:rPr>
                <w:rFonts w:ascii="Times New Roman" w:hAnsi="Times New Roman" w:cs="Times New Roman"/>
                <w:b/>
                <w:bCs/>
                <w:sz w:val="24"/>
                <w:szCs w:val="24"/>
                <w:lang w:val="en-GB"/>
              </w:rPr>
              <w:t xml:space="preserve"> not specific and measurable</w:t>
            </w:r>
          </w:p>
          <w:p w:rsidR="00C42117" w:rsidRPr="00E9592C" w:rsidRDefault="00C42117" w:rsidP="00E9592C">
            <w:pPr>
              <w:spacing w:before="120" w:after="120"/>
              <w:rPr>
                <w:rFonts w:ascii="Times New Roman" w:hAnsi="Times New Roman" w:cs="Times New Roman"/>
                <w:b/>
                <w:bCs/>
                <w:sz w:val="24"/>
                <w:szCs w:val="24"/>
                <w:lang w:val="en-GB"/>
              </w:rPr>
            </w:pPr>
          </w:p>
        </w:tc>
      </w:tr>
      <w:tr w:rsidR="007E38A3" w:rsidRPr="00E9592C" w:rsidTr="00D8772C">
        <w:tc>
          <w:tcPr>
            <w:tcW w:w="1443"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Programme 2: Integrated Transport Planning</w:t>
            </w:r>
          </w:p>
        </w:tc>
        <w:tc>
          <w:tcPr>
            <w:tcW w:w="1736"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Roll-out of 10 NATMAP 2050 interventions by March 2019</w:t>
            </w:r>
          </w:p>
        </w:tc>
        <w:tc>
          <w:tcPr>
            <w:tcW w:w="1736"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Implementation of ten (10) NATMAP 2050 Priority Pilot Projects monitored</w:t>
            </w:r>
          </w:p>
        </w:tc>
        <w:tc>
          <w:tcPr>
            <w:tcW w:w="1723"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Q2: Conduct Performance Monitoring on four (4) prioritised projects</w:t>
            </w:r>
          </w:p>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Q3: Conduct Performance Monitoring on four (4) prioritised projects</w:t>
            </w:r>
          </w:p>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Q4: Conduct Performance Monitoring on two (2) prioritised projects</w:t>
            </w:r>
          </w:p>
        </w:tc>
        <w:tc>
          <w:tcPr>
            <w:tcW w:w="1810"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 xml:space="preserve">Neither the APP nor the TIDs defines the priority projects that will be rolled out and monitored.  This makes it impossible to measure achievement at the end of any quarter or at </w:t>
            </w:r>
            <w:r w:rsidRPr="00E9592C">
              <w:rPr>
                <w:rFonts w:ascii="Times New Roman" w:hAnsi="Times New Roman" w:cs="Times New Roman"/>
                <w:sz w:val="24"/>
                <w:szCs w:val="24"/>
                <w:lang w:val="en-GB"/>
              </w:rPr>
              <w:lastRenderedPageBreak/>
              <w:t>year end.</w:t>
            </w:r>
          </w:p>
        </w:tc>
        <w:tc>
          <w:tcPr>
            <w:tcW w:w="1649"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Yes</w:t>
            </w:r>
            <w:r w:rsidR="005A0D9D" w:rsidRPr="00E9592C">
              <w:rPr>
                <w:rFonts w:ascii="Times New Roman" w:hAnsi="Times New Roman" w:cs="Times New Roman"/>
                <w:sz w:val="24"/>
                <w:szCs w:val="24"/>
                <w:lang w:val="en-GB"/>
              </w:rPr>
              <w:t>.</w:t>
            </w:r>
          </w:p>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The Technical Indicator Description was amended to specify the priority projects to be implemented in each of the quarters i.e. 2, 3 and 4.</w:t>
            </w:r>
          </w:p>
        </w:tc>
      </w:tr>
      <w:tr w:rsidR="007E38A3" w:rsidRPr="00E9592C" w:rsidTr="00D8772C">
        <w:tc>
          <w:tcPr>
            <w:tcW w:w="1443" w:type="dxa"/>
          </w:tcPr>
          <w:p w:rsidR="00ED31D0" w:rsidRPr="00E9592C" w:rsidRDefault="00ED31D0" w:rsidP="00E9592C">
            <w:pPr>
              <w:spacing w:before="120" w:after="120"/>
              <w:rPr>
                <w:rFonts w:ascii="Times New Roman" w:hAnsi="Times New Roman" w:cs="Times New Roman"/>
                <w:sz w:val="24"/>
                <w:szCs w:val="24"/>
                <w:lang w:val="en-GB"/>
              </w:rPr>
            </w:pPr>
          </w:p>
        </w:tc>
        <w:tc>
          <w:tcPr>
            <w:tcW w:w="1736"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Regional Transport Market Access Strategy developed by March 2018</w:t>
            </w:r>
          </w:p>
        </w:tc>
        <w:tc>
          <w:tcPr>
            <w:tcW w:w="1736"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Draft Regional Transport Market Access Strategy developed</w:t>
            </w:r>
          </w:p>
        </w:tc>
        <w:tc>
          <w:tcPr>
            <w:tcW w:w="1723"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Q3: Conduct a benchmarking exercise towards the Draft Regional Transport Market Access Strategy of SA</w:t>
            </w:r>
          </w:p>
        </w:tc>
        <w:tc>
          <w:tcPr>
            <w:tcW w:w="1810"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Target is not specific as information to be used as the benchmark is not defined.  It would be difficult to determine whether the target was achieved if it is not specific.</w:t>
            </w:r>
            <w:r w:rsidRPr="00E9592C">
              <w:rPr>
                <w:rFonts w:ascii="Times New Roman" w:hAnsi="Times New Roman" w:cs="Times New Roman"/>
                <w:sz w:val="24"/>
                <w:szCs w:val="24"/>
                <w:lang w:val="en-GB"/>
              </w:rPr>
              <w:tab/>
            </w:r>
          </w:p>
        </w:tc>
        <w:tc>
          <w:tcPr>
            <w:tcW w:w="1649"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Yes</w:t>
            </w:r>
            <w:r w:rsidR="005A0D9D" w:rsidRPr="00E9592C">
              <w:rPr>
                <w:rFonts w:ascii="Times New Roman" w:hAnsi="Times New Roman" w:cs="Times New Roman"/>
                <w:sz w:val="24"/>
                <w:szCs w:val="24"/>
                <w:lang w:val="en-GB"/>
              </w:rPr>
              <w:t>.</w:t>
            </w:r>
          </w:p>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The Technical Indicator Description was updated to include the method of benchmarking, criteria for identifying member states for the benchmarking exercise and the members states identified.</w:t>
            </w:r>
          </w:p>
        </w:tc>
      </w:tr>
      <w:tr w:rsidR="007E38A3" w:rsidRPr="00E9592C" w:rsidTr="00D8772C">
        <w:tc>
          <w:tcPr>
            <w:tcW w:w="1443"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Programme 3: Rail Transport</w:t>
            </w:r>
          </w:p>
        </w:tc>
        <w:tc>
          <w:tcPr>
            <w:tcW w:w="1736"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National Rail Bill submitted to the Cabinet by March 2019</w:t>
            </w:r>
          </w:p>
        </w:tc>
        <w:tc>
          <w:tcPr>
            <w:tcW w:w="1736"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National Rail Bill submitted to the ESEID Cluster</w:t>
            </w:r>
          </w:p>
        </w:tc>
        <w:tc>
          <w:tcPr>
            <w:tcW w:w="1723"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Q1 &amp; Q2: Conduct stakeholder consultation on the Draft National Rail Bill</w:t>
            </w:r>
          </w:p>
        </w:tc>
        <w:tc>
          <w:tcPr>
            <w:tcW w:w="1810"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Targets are not specific as stakeholders to be consulted are not defined.  It would be impossible to measure quarterly achievements if the targets are not specific.</w:t>
            </w:r>
          </w:p>
        </w:tc>
        <w:tc>
          <w:tcPr>
            <w:tcW w:w="1649"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Yes</w:t>
            </w:r>
            <w:r w:rsidR="005A0D9D" w:rsidRPr="00E9592C">
              <w:rPr>
                <w:rFonts w:ascii="Times New Roman" w:hAnsi="Times New Roman" w:cs="Times New Roman"/>
                <w:sz w:val="24"/>
                <w:szCs w:val="24"/>
                <w:lang w:val="en-GB"/>
              </w:rPr>
              <w:t>.</w:t>
            </w:r>
          </w:p>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Stakeholders have been included in the final Technical Indicator Descriptions, making the achievement of the targets measurable and well defined</w:t>
            </w:r>
            <w:r w:rsidR="005A0D9D" w:rsidRPr="00E9592C">
              <w:rPr>
                <w:rFonts w:ascii="Times New Roman" w:hAnsi="Times New Roman" w:cs="Times New Roman"/>
                <w:sz w:val="24"/>
                <w:szCs w:val="24"/>
                <w:lang w:val="en-GB"/>
              </w:rPr>
              <w:t>.</w:t>
            </w:r>
          </w:p>
        </w:tc>
      </w:tr>
      <w:tr w:rsidR="007E38A3" w:rsidRPr="00E9592C" w:rsidTr="00D8772C">
        <w:tc>
          <w:tcPr>
            <w:tcW w:w="1443"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Programme 4: Road Transport</w:t>
            </w:r>
          </w:p>
        </w:tc>
        <w:tc>
          <w:tcPr>
            <w:tcW w:w="1736"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Access Road Development Plan submitted to Cabinet by March 2019</w:t>
            </w:r>
          </w:p>
        </w:tc>
        <w:tc>
          <w:tcPr>
            <w:tcW w:w="1736"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Comprehensive stakeholder consultations conducted on the draft Access Road Development Plan</w:t>
            </w:r>
          </w:p>
        </w:tc>
        <w:tc>
          <w:tcPr>
            <w:tcW w:w="1723"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Conduct stakeholder consultations on the draft Access Road Development Plan </w:t>
            </w:r>
          </w:p>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Q1: relevant provincial </w:t>
            </w:r>
            <w:r w:rsidRPr="00E9592C">
              <w:rPr>
                <w:rFonts w:ascii="Times New Roman" w:hAnsi="Times New Roman" w:cs="Times New Roman"/>
                <w:sz w:val="24"/>
                <w:szCs w:val="24"/>
                <w:lang w:val="en-GB"/>
              </w:rPr>
              <w:lastRenderedPageBreak/>
              <w:t>departments</w:t>
            </w:r>
          </w:p>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Q2: relevant municipalities</w:t>
            </w:r>
          </w:p>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Q3: relevant sector departments</w:t>
            </w:r>
          </w:p>
        </w:tc>
        <w:tc>
          <w:tcPr>
            <w:tcW w:w="1810"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 xml:space="preserve">Targets are not specific as stakeholders to be consulted are not defined.  The targets are therefore not measurable as the desired level </w:t>
            </w:r>
            <w:r w:rsidRPr="00E9592C">
              <w:rPr>
                <w:rFonts w:ascii="Times New Roman" w:hAnsi="Times New Roman" w:cs="Times New Roman"/>
                <w:sz w:val="24"/>
                <w:szCs w:val="24"/>
                <w:lang w:val="en-GB"/>
              </w:rPr>
              <w:lastRenderedPageBreak/>
              <w:t>of achievement is unknown</w:t>
            </w:r>
          </w:p>
        </w:tc>
        <w:tc>
          <w:tcPr>
            <w:tcW w:w="1649"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Yes</w:t>
            </w:r>
            <w:r w:rsidR="005A0D9D" w:rsidRPr="00E9592C">
              <w:rPr>
                <w:rFonts w:ascii="Times New Roman" w:hAnsi="Times New Roman" w:cs="Times New Roman"/>
                <w:sz w:val="24"/>
                <w:szCs w:val="24"/>
                <w:lang w:val="en-GB"/>
              </w:rPr>
              <w:t>.</w:t>
            </w:r>
          </w:p>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The final Technical Indicator Descriptions define the stakeholders for consultation in </w:t>
            </w:r>
            <w:r w:rsidRPr="00E9592C">
              <w:rPr>
                <w:rFonts w:ascii="Times New Roman" w:hAnsi="Times New Roman" w:cs="Times New Roman"/>
                <w:sz w:val="24"/>
                <w:szCs w:val="24"/>
                <w:lang w:val="en-GB"/>
              </w:rPr>
              <w:lastRenderedPageBreak/>
              <w:t>all the quarters, making the target specific and measurable.</w:t>
            </w:r>
          </w:p>
        </w:tc>
      </w:tr>
      <w:tr w:rsidR="007E38A3" w:rsidRPr="00E9592C" w:rsidTr="00D8772C">
        <w:tc>
          <w:tcPr>
            <w:tcW w:w="1443" w:type="dxa"/>
          </w:tcPr>
          <w:p w:rsidR="00ED31D0" w:rsidRPr="00E9592C" w:rsidRDefault="00ED31D0" w:rsidP="00E9592C">
            <w:pPr>
              <w:spacing w:before="120" w:after="120"/>
              <w:rPr>
                <w:rFonts w:ascii="Times New Roman" w:hAnsi="Times New Roman" w:cs="Times New Roman"/>
                <w:sz w:val="24"/>
                <w:szCs w:val="24"/>
                <w:lang w:val="en-GB"/>
              </w:rPr>
            </w:pPr>
          </w:p>
        </w:tc>
        <w:tc>
          <w:tcPr>
            <w:tcW w:w="1736"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Construction and maintenance of provincial roads monitored in line with the approved budget</w:t>
            </w:r>
          </w:p>
        </w:tc>
        <w:tc>
          <w:tcPr>
            <w:tcW w:w="1736"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Overall implementation of the SSP monitored in line with PRMG budget</w:t>
            </w:r>
          </w:p>
        </w:tc>
        <w:tc>
          <w:tcPr>
            <w:tcW w:w="1723"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Q1, Q2, Q3 &amp; Q4: Monitor implementation of the SSP through the site inspections, bilateral consultations and compile progress report</w:t>
            </w:r>
          </w:p>
        </w:tc>
        <w:tc>
          <w:tcPr>
            <w:tcW w:w="1810"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In all four quarters, the TID does not define the parties involved in the bilateral consultations. Further there is no indication of which sites will be visited. It would be impossible to measure quarterly achievements if the targets are not specific.</w:t>
            </w:r>
          </w:p>
        </w:tc>
        <w:tc>
          <w:tcPr>
            <w:tcW w:w="1649"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Yes</w:t>
            </w:r>
            <w:r w:rsidR="005A0D9D" w:rsidRPr="00E9592C">
              <w:rPr>
                <w:rFonts w:ascii="Times New Roman" w:hAnsi="Times New Roman" w:cs="Times New Roman"/>
                <w:sz w:val="24"/>
                <w:szCs w:val="24"/>
                <w:lang w:val="en-GB"/>
              </w:rPr>
              <w:t>.</w:t>
            </w:r>
          </w:p>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The final Technical Indicator Descriptions define the stakeholders for consultation in all the quarters, making the target specific and measurable</w:t>
            </w:r>
            <w:r w:rsidR="005A0D9D" w:rsidRPr="00E9592C">
              <w:rPr>
                <w:rFonts w:ascii="Times New Roman" w:hAnsi="Times New Roman" w:cs="Times New Roman"/>
                <w:sz w:val="24"/>
                <w:szCs w:val="24"/>
                <w:lang w:val="en-GB"/>
              </w:rPr>
              <w:t>.</w:t>
            </w:r>
          </w:p>
        </w:tc>
      </w:tr>
      <w:tr w:rsidR="007E38A3" w:rsidRPr="00E9592C" w:rsidTr="00D8772C">
        <w:tc>
          <w:tcPr>
            <w:tcW w:w="1443" w:type="dxa"/>
          </w:tcPr>
          <w:p w:rsidR="00ED31D0" w:rsidRPr="00E9592C" w:rsidRDefault="00ED31D0" w:rsidP="00E9592C">
            <w:pPr>
              <w:spacing w:before="120" w:after="120"/>
              <w:rPr>
                <w:rFonts w:ascii="Times New Roman" w:hAnsi="Times New Roman" w:cs="Times New Roman"/>
                <w:sz w:val="24"/>
                <w:szCs w:val="24"/>
                <w:lang w:val="en-GB"/>
              </w:rPr>
            </w:pPr>
          </w:p>
        </w:tc>
        <w:tc>
          <w:tcPr>
            <w:tcW w:w="1736"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Draft Bill for Founding legislations of road entities submitted to Cabinet by March 2020</w:t>
            </w:r>
          </w:p>
        </w:tc>
        <w:tc>
          <w:tcPr>
            <w:tcW w:w="1736"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Review founding legislations of road entities conducted</w:t>
            </w:r>
          </w:p>
        </w:tc>
        <w:tc>
          <w:tcPr>
            <w:tcW w:w="1723"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Q1: Conduct status qou analysis of founding legislations of road entities</w:t>
            </w:r>
          </w:p>
        </w:tc>
        <w:tc>
          <w:tcPr>
            <w:tcW w:w="1810"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Target is not specific as road entities to be consulted are not defined.  The target is therefore not measurable as the desired level of achievement is unknown</w:t>
            </w:r>
          </w:p>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It is not clear whether the consultations will take place with all road entities.</w:t>
            </w:r>
          </w:p>
        </w:tc>
        <w:tc>
          <w:tcPr>
            <w:tcW w:w="1649"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Yes</w:t>
            </w:r>
            <w:r w:rsidR="005A0D9D" w:rsidRPr="00E9592C">
              <w:rPr>
                <w:rFonts w:ascii="Times New Roman" w:hAnsi="Times New Roman" w:cs="Times New Roman"/>
                <w:sz w:val="24"/>
                <w:szCs w:val="24"/>
                <w:lang w:val="en-GB"/>
              </w:rPr>
              <w:t>.</w:t>
            </w:r>
          </w:p>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The final Technical Indicator Descriptions define the road entities that will be consulted, making the target specific and measurable.</w:t>
            </w:r>
          </w:p>
        </w:tc>
      </w:tr>
      <w:tr w:rsidR="007E38A3" w:rsidRPr="00E9592C" w:rsidTr="00D8772C">
        <w:tc>
          <w:tcPr>
            <w:tcW w:w="1443"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Programme 7: Public Transport</w:t>
            </w:r>
          </w:p>
        </w:tc>
        <w:tc>
          <w:tcPr>
            <w:tcW w:w="1736"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Implementation of the National Land Transport Amendment Act monitored</w:t>
            </w:r>
          </w:p>
        </w:tc>
        <w:tc>
          <w:tcPr>
            <w:tcW w:w="1736"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Develop draft regulations for the Land Transport Amendment </w:t>
            </w:r>
            <w:r w:rsidRPr="00E9592C">
              <w:rPr>
                <w:rFonts w:ascii="Times New Roman" w:hAnsi="Times New Roman" w:cs="Times New Roman"/>
                <w:sz w:val="24"/>
                <w:szCs w:val="24"/>
                <w:lang w:val="en-GB"/>
              </w:rPr>
              <w:lastRenderedPageBreak/>
              <w:t>Act</w:t>
            </w:r>
          </w:p>
        </w:tc>
        <w:tc>
          <w:tcPr>
            <w:tcW w:w="1723"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 xml:space="preserve">Q3: Conduct public consultations of the draft Regulations </w:t>
            </w:r>
            <w:r w:rsidRPr="00E9592C">
              <w:rPr>
                <w:rFonts w:ascii="Times New Roman" w:hAnsi="Times New Roman" w:cs="Times New Roman"/>
                <w:sz w:val="24"/>
                <w:szCs w:val="24"/>
                <w:lang w:val="en-GB"/>
              </w:rPr>
              <w:lastRenderedPageBreak/>
              <w:t>through the Gazette process</w:t>
            </w:r>
          </w:p>
        </w:tc>
        <w:tc>
          <w:tcPr>
            <w:tcW w:w="1810"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 xml:space="preserve">Target is not specific as it is not defined who the consultations </w:t>
            </w:r>
            <w:r w:rsidRPr="00E9592C">
              <w:rPr>
                <w:rFonts w:ascii="Times New Roman" w:hAnsi="Times New Roman" w:cs="Times New Roman"/>
                <w:sz w:val="24"/>
                <w:szCs w:val="24"/>
                <w:lang w:val="en-GB"/>
              </w:rPr>
              <w:lastRenderedPageBreak/>
              <w:t>will be conducted with.</w:t>
            </w:r>
          </w:p>
        </w:tc>
        <w:tc>
          <w:tcPr>
            <w:tcW w:w="1649"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Removed from the APP</w:t>
            </w:r>
            <w:r w:rsidR="005A0D9D" w:rsidRPr="00E9592C">
              <w:rPr>
                <w:rFonts w:ascii="Times New Roman" w:hAnsi="Times New Roman" w:cs="Times New Roman"/>
                <w:sz w:val="24"/>
                <w:szCs w:val="24"/>
                <w:lang w:val="en-GB"/>
              </w:rPr>
              <w:t>.</w:t>
            </w:r>
          </w:p>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Removal of this indicator may result in </w:t>
            </w:r>
            <w:r w:rsidRPr="00E9592C">
              <w:rPr>
                <w:rFonts w:ascii="Times New Roman" w:hAnsi="Times New Roman" w:cs="Times New Roman"/>
                <w:sz w:val="24"/>
                <w:szCs w:val="24"/>
                <w:lang w:val="en-GB"/>
              </w:rPr>
              <w:lastRenderedPageBreak/>
              <w:t>the Department not meeting its mandatory requirements.</w:t>
            </w:r>
          </w:p>
          <w:p w:rsidR="00ED31D0" w:rsidRPr="00E9592C" w:rsidRDefault="00ED31D0" w:rsidP="00E9592C">
            <w:pPr>
              <w:spacing w:before="120" w:after="120"/>
              <w:rPr>
                <w:rFonts w:ascii="Times New Roman" w:hAnsi="Times New Roman" w:cs="Times New Roman"/>
                <w:sz w:val="24"/>
                <w:szCs w:val="24"/>
                <w:lang w:val="en-GB"/>
              </w:rPr>
            </w:pPr>
          </w:p>
          <w:p w:rsidR="00ED31D0" w:rsidRPr="00E9592C" w:rsidRDefault="00ED31D0" w:rsidP="00E9592C">
            <w:pPr>
              <w:spacing w:before="120" w:after="120"/>
              <w:rPr>
                <w:rFonts w:ascii="Times New Roman" w:hAnsi="Times New Roman" w:cs="Times New Roman"/>
                <w:sz w:val="24"/>
                <w:szCs w:val="24"/>
                <w:lang w:val="en-GB"/>
              </w:rPr>
            </w:pPr>
          </w:p>
          <w:p w:rsidR="00ED31D0" w:rsidRPr="00E9592C" w:rsidRDefault="00ED31D0" w:rsidP="00E9592C">
            <w:pPr>
              <w:spacing w:before="120" w:after="120"/>
              <w:rPr>
                <w:rFonts w:ascii="Times New Roman" w:hAnsi="Times New Roman" w:cs="Times New Roman"/>
                <w:sz w:val="24"/>
                <w:szCs w:val="24"/>
                <w:lang w:val="en-GB"/>
              </w:rPr>
            </w:pPr>
          </w:p>
        </w:tc>
      </w:tr>
      <w:tr w:rsidR="007E38A3" w:rsidRPr="00E9592C" w:rsidTr="00D8772C">
        <w:tc>
          <w:tcPr>
            <w:tcW w:w="1443" w:type="dxa"/>
          </w:tcPr>
          <w:p w:rsidR="00ED31D0" w:rsidRPr="00E9592C" w:rsidRDefault="00ED31D0" w:rsidP="00E9592C">
            <w:pPr>
              <w:spacing w:before="120" w:after="120"/>
              <w:rPr>
                <w:rFonts w:ascii="Times New Roman" w:hAnsi="Times New Roman" w:cs="Times New Roman"/>
                <w:sz w:val="24"/>
                <w:szCs w:val="24"/>
                <w:lang w:val="en-GB"/>
              </w:rPr>
            </w:pPr>
          </w:p>
        </w:tc>
        <w:tc>
          <w:tcPr>
            <w:tcW w:w="1736"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Transport Appeal Tribunal (TAT) Amendment Bill submitted to Cabinet by March 2019</w:t>
            </w:r>
          </w:p>
        </w:tc>
        <w:tc>
          <w:tcPr>
            <w:tcW w:w="1736"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Develop draft Transport Appeal Tribunal (TAT) Amendment Bill</w:t>
            </w:r>
          </w:p>
        </w:tc>
        <w:tc>
          <w:tcPr>
            <w:tcW w:w="1723"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Q3: Conduct public consultations of the draft TAT Amendment Bill through the Gazette process</w:t>
            </w:r>
          </w:p>
        </w:tc>
        <w:tc>
          <w:tcPr>
            <w:tcW w:w="1810"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Target is not specific as it is not defined who the consultations will be conducted with.</w:t>
            </w:r>
          </w:p>
        </w:tc>
        <w:tc>
          <w:tcPr>
            <w:tcW w:w="1649" w:type="dxa"/>
          </w:tcPr>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Yes</w:t>
            </w:r>
            <w:r w:rsidR="005A0D9D" w:rsidRPr="00E9592C">
              <w:rPr>
                <w:rFonts w:ascii="Times New Roman" w:hAnsi="Times New Roman" w:cs="Times New Roman"/>
                <w:sz w:val="24"/>
                <w:szCs w:val="24"/>
                <w:lang w:val="en-GB"/>
              </w:rPr>
              <w:t>.</w:t>
            </w:r>
          </w:p>
          <w:p w:rsidR="00ED31D0" w:rsidRPr="00E9592C" w:rsidRDefault="00ED31D0" w:rsidP="00E9592C">
            <w:pPr>
              <w:spacing w:before="120" w:after="120"/>
              <w:rPr>
                <w:rFonts w:ascii="Times New Roman" w:hAnsi="Times New Roman" w:cs="Times New Roman"/>
                <w:sz w:val="24"/>
                <w:szCs w:val="24"/>
                <w:lang w:val="en-GB"/>
              </w:rPr>
            </w:pPr>
            <w:r w:rsidRPr="00E9592C">
              <w:rPr>
                <w:rFonts w:ascii="Times New Roman" w:hAnsi="Times New Roman" w:cs="Times New Roman"/>
                <w:sz w:val="24"/>
                <w:szCs w:val="24"/>
                <w:lang w:val="en-GB"/>
              </w:rPr>
              <w:t>The final Technical Indicator Descriptions define the stakeholders that will be consulted, making the target specific and measurable</w:t>
            </w:r>
            <w:r w:rsidR="005A0D9D" w:rsidRPr="00E9592C">
              <w:rPr>
                <w:rFonts w:ascii="Times New Roman" w:hAnsi="Times New Roman" w:cs="Times New Roman"/>
                <w:sz w:val="24"/>
                <w:szCs w:val="24"/>
                <w:lang w:val="en-GB"/>
              </w:rPr>
              <w:t>.</w:t>
            </w:r>
          </w:p>
        </w:tc>
      </w:tr>
    </w:tbl>
    <w:p w:rsidR="00CC6358" w:rsidRPr="00E9592C" w:rsidRDefault="00CC6358" w:rsidP="00E9592C">
      <w:pPr>
        <w:spacing w:before="120" w:after="120" w:line="240" w:lineRule="auto"/>
        <w:rPr>
          <w:rFonts w:ascii="Times New Roman" w:hAnsi="Times New Roman" w:cs="Times New Roman"/>
          <w:sz w:val="24"/>
          <w:szCs w:val="24"/>
          <w:lang w:val="en-GB"/>
        </w:rPr>
      </w:pPr>
    </w:p>
    <w:p w:rsidR="00ED604F" w:rsidRPr="00E9592C" w:rsidRDefault="00ED604F" w:rsidP="00E9592C">
      <w:pPr>
        <w:pStyle w:val="ListParagraph"/>
        <w:numPr>
          <w:ilvl w:val="0"/>
          <w:numId w:val="5"/>
        </w:numPr>
        <w:spacing w:before="120" w:after="120" w:line="240" w:lineRule="auto"/>
        <w:rPr>
          <w:rFonts w:ascii="Times New Roman" w:hAnsi="Times New Roman" w:cs="Times New Roman"/>
          <w:b/>
          <w:sz w:val="24"/>
          <w:szCs w:val="24"/>
          <w:lang w:val="en-GB"/>
        </w:rPr>
      </w:pPr>
      <w:r w:rsidRPr="00E9592C">
        <w:rPr>
          <w:rFonts w:ascii="Times New Roman" w:hAnsi="Times New Roman" w:cs="Times New Roman"/>
          <w:b/>
          <w:sz w:val="24"/>
          <w:szCs w:val="24"/>
          <w:lang w:val="en-GB"/>
        </w:rPr>
        <w:t xml:space="preserve">OBSERVATIONS </w:t>
      </w:r>
    </w:p>
    <w:p w:rsidR="00430305" w:rsidRPr="00E9592C" w:rsidRDefault="00430305"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The Committee </w:t>
      </w:r>
      <w:r w:rsidR="00930148" w:rsidRPr="00E9592C">
        <w:rPr>
          <w:rFonts w:ascii="Times New Roman" w:hAnsi="Times New Roman" w:cs="Times New Roman"/>
          <w:sz w:val="24"/>
          <w:szCs w:val="24"/>
          <w:lang w:val="en-GB"/>
        </w:rPr>
        <w:t xml:space="preserve">commended the Department on the improvement in targets and indicators set by </w:t>
      </w:r>
      <w:r w:rsidR="00BA342D" w:rsidRPr="00E9592C">
        <w:rPr>
          <w:rFonts w:ascii="Times New Roman" w:hAnsi="Times New Roman" w:cs="Times New Roman"/>
          <w:sz w:val="24"/>
          <w:szCs w:val="24"/>
          <w:lang w:val="en-GB"/>
        </w:rPr>
        <w:t>it</w:t>
      </w:r>
      <w:r w:rsidR="00930148" w:rsidRPr="00E9592C">
        <w:rPr>
          <w:rFonts w:ascii="Times New Roman" w:hAnsi="Times New Roman" w:cs="Times New Roman"/>
          <w:sz w:val="24"/>
          <w:szCs w:val="24"/>
          <w:lang w:val="en-GB"/>
        </w:rPr>
        <w:t xml:space="preserve"> through consultations with the A</w:t>
      </w:r>
      <w:r w:rsidR="00BA342D" w:rsidRPr="00E9592C">
        <w:rPr>
          <w:rFonts w:ascii="Times New Roman" w:hAnsi="Times New Roman" w:cs="Times New Roman"/>
          <w:sz w:val="24"/>
          <w:szCs w:val="24"/>
          <w:lang w:val="en-GB"/>
        </w:rPr>
        <w:t>uditor-</w:t>
      </w:r>
      <w:r w:rsidR="00930148" w:rsidRPr="00E9592C">
        <w:rPr>
          <w:rFonts w:ascii="Times New Roman" w:hAnsi="Times New Roman" w:cs="Times New Roman"/>
          <w:sz w:val="24"/>
          <w:szCs w:val="24"/>
          <w:lang w:val="en-GB"/>
        </w:rPr>
        <w:t>G</w:t>
      </w:r>
      <w:r w:rsidR="00BA342D" w:rsidRPr="00E9592C">
        <w:rPr>
          <w:rFonts w:ascii="Times New Roman" w:hAnsi="Times New Roman" w:cs="Times New Roman"/>
          <w:sz w:val="24"/>
          <w:szCs w:val="24"/>
          <w:lang w:val="en-GB"/>
        </w:rPr>
        <w:t xml:space="preserve">eneral of </w:t>
      </w:r>
      <w:r w:rsidR="00930148" w:rsidRPr="00E9592C">
        <w:rPr>
          <w:rFonts w:ascii="Times New Roman" w:hAnsi="Times New Roman" w:cs="Times New Roman"/>
          <w:sz w:val="24"/>
          <w:szCs w:val="24"/>
          <w:lang w:val="en-GB"/>
        </w:rPr>
        <w:t>S</w:t>
      </w:r>
      <w:r w:rsidR="00BA342D" w:rsidRPr="00E9592C">
        <w:rPr>
          <w:rFonts w:ascii="Times New Roman" w:hAnsi="Times New Roman" w:cs="Times New Roman"/>
          <w:sz w:val="24"/>
          <w:szCs w:val="24"/>
          <w:lang w:val="en-GB"/>
        </w:rPr>
        <w:t xml:space="preserve">outh </w:t>
      </w:r>
      <w:r w:rsidR="00930148" w:rsidRPr="00E9592C">
        <w:rPr>
          <w:rFonts w:ascii="Times New Roman" w:hAnsi="Times New Roman" w:cs="Times New Roman"/>
          <w:sz w:val="24"/>
          <w:szCs w:val="24"/>
          <w:lang w:val="en-GB"/>
        </w:rPr>
        <w:t>A</w:t>
      </w:r>
      <w:r w:rsidR="00BA342D" w:rsidRPr="00E9592C">
        <w:rPr>
          <w:rFonts w:ascii="Times New Roman" w:hAnsi="Times New Roman" w:cs="Times New Roman"/>
          <w:sz w:val="24"/>
          <w:szCs w:val="24"/>
          <w:lang w:val="en-GB"/>
        </w:rPr>
        <w:t>frica</w:t>
      </w:r>
      <w:r w:rsidR="00930148" w:rsidRPr="00E9592C">
        <w:rPr>
          <w:rFonts w:ascii="Times New Roman" w:hAnsi="Times New Roman" w:cs="Times New Roman"/>
          <w:sz w:val="24"/>
          <w:szCs w:val="24"/>
          <w:lang w:val="en-GB"/>
        </w:rPr>
        <w:t>. It further noted</w:t>
      </w:r>
      <w:r w:rsidRPr="00E9592C">
        <w:rPr>
          <w:rFonts w:ascii="Times New Roman" w:hAnsi="Times New Roman" w:cs="Times New Roman"/>
          <w:sz w:val="24"/>
          <w:szCs w:val="24"/>
          <w:lang w:val="en-GB"/>
        </w:rPr>
        <w:t xml:space="preserve"> the following observations regarding the </w:t>
      </w:r>
      <w:r w:rsidR="00BA342D" w:rsidRPr="00E9592C">
        <w:rPr>
          <w:rFonts w:ascii="Times New Roman" w:hAnsi="Times New Roman" w:cs="Times New Roman"/>
          <w:sz w:val="24"/>
          <w:szCs w:val="24"/>
          <w:lang w:val="en-GB"/>
        </w:rPr>
        <w:t xml:space="preserve">revised </w:t>
      </w:r>
      <w:r w:rsidRPr="00E9592C">
        <w:rPr>
          <w:rFonts w:ascii="Times New Roman" w:hAnsi="Times New Roman" w:cs="Times New Roman"/>
          <w:sz w:val="24"/>
          <w:szCs w:val="24"/>
          <w:lang w:val="en-GB"/>
        </w:rPr>
        <w:t xml:space="preserve">Strategic Plans and the </w:t>
      </w:r>
      <w:r w:rsidR="00BA342D" w:rsidRPr="00E9592C">
        <w:rPr>
          <w:rFonts w:ascii="Times New Roman" w:hAnsi="Times New Roman" w:cs="Times New Roman"/>
          <w:sz w:val="24"/>
          <w:szCs w:val="24"/>
          <w:lang w:val="en-GB"/>
        </w:rPr>
        <w:t xml:space="preserve">2017/18 </w:t>
      </w:r>
      <w:r w:rsidRPr="00E9592C">
        <w:rPr>
          <w:rFonts w:ascii="Times New Roman" w:hAnsi="Times New Roman" w:cs="Times New Roman"/>
          <w:sz w:val="24"/>
          <w:szCs w:val="24"/>
          <w:lang w:val="en-GB"/>
        </w:rPr>
        <w:t>APP</w:t>
      </w:r>
      <w:r w:rsidR="00E854BA" w:rsidRPr="00E9592C">
        <w:rPr>
          <w:rFonts w:ascii="Times New Roman" w:hAnsi="Times New Roman" w:cs="Times New Roman"/>
          <w:sz w:val="24"/>
          <w:szCs w:val="24"/>
          <w:lang w:val="en-GB"/>
        </w:rPr>
        <w:t>s</w:t>
      </w:r>
      <w:r w:rsidRPr="00E9592C">
        <w:rPr>
          <w:rFonts w:ascii="Times New Roman" w:hAnsi="Times New Roman" w:cs="Times New Roman"/>
          <w:sz w:val="24"/>
          <w:szCs w:val="24"/>
          <w:lang w:val="en-GB"/>
        </w:rPr>
        <w:t xml:space="preserve"> of the Department and its public entities</w:t>
      </w:r>
      <w:r w:rsidR="005819CE" w:rsidRPr="00E9592C">
        <w:rPr>
          <w:rFonts w:ascii="Times New Roman" w:hAnsi="Times New Roman" w:cs="Times New Roman"/>
          <w:sz w:val="24"/>
          <w:szCs w:val="24"/>
          <w:lang w:val="en-GB"/>
        </w:rPr>
        <w:t>:</w:t>
      </w:r>
    </w:p>
    <w:p w:rsidR="00CC5A79" w:rsidRPr="00E9592C" w:rsidRDefault="00CC5A79" w:rsidP="00E9592C">
      <w:pPr>
        <w:spacing w:before="120" w:after="120" w:line="240" w:lineRule="auto"/>
        <w:rPr>
          <w:rFonts w:ascii="Times New Roman" w:hAnsi="Times New Roman" w:cs="Times New Roman"/>
          <w:sz w:val="24"/>
          <w:szCs w:val="24"/>
          <w:lang w:val="en-GB"/>
        </w:rPr>
      </w:pPr>
    </w:p>
    <w:p w:rsidR="00502B17" w:rsidRPr="00E9592C" w:rsidRDefault="006A0141" w:rsidP="00E9592C">
      <w:pPr>
        <w:spacing w:before="120" w:after="120" w:line="240" w:lineRule="auto"/>
        <w:ind w:left="-426" w:firstLine="426"/>
        <w:rPr>
          <w:rFonts w:ascii="Times New Roman" w:hAnsi="Times New Roman" w:cs="Times New Roman"/>
          <w:b/>
          <w:sz w:val="24"/>
          <w:szCs w:val="24"/>
          <w:lang w:val="en-GB"/>
        </w:rPr>
      </w:pPr>
      <w:r w:rsidRPr="00E9592C">
        <w:rPr>
          <w:rFonts w:ascii="Times New Roman" w:hAnsi="Times New Roman" w:cs="Times New Roman"/>
          <w:b/>
          <w:sz w:val="24"/>
          <w:szCs w:val="24"/>
          <w:lang w:val="en-GB"/>
        </w:rPr>
        <w:t>4</w:t>
      </w:r>
      <w:r w:rsidR="0013166B" w:rsidRPr="00E9592C">
        <w:rPr>
          <w:rFonts w:ascii="Times New Roman" w:hAnsi="Times New Roman" w:cs="Times New Roman"/>
          <w:b/>
          <w:sz w:val="24"/>
          <w:szCs w:val="24"/>
          <w:lang w:val="en-GB"/>
        </w:rPr>
        <w:t>.1</w:t>
      </w:r>
      <w:r w:rsidR="0013166B" w:rsidRPr="00E9592C">
        <w:rPr>
          <w:rFonts w:ascii="Times New Roman" w:hAnsi="Times New Roman" w:cs="Times New Roman"/>
          <w:b/>
          <w:sz w:val="24"/>
          <w:szCs w:val="24"/>
          <w:lang w:val="en-GB"/>
        </w:rPr>
        <w:tab/>
      </w:r>
      <w:r w:rsidR="00502B17" w:rsidRPr="00E9592C">
        <w:rPr>
          <w:rFonts w:ascii="Times New Roman" w:hAnsi="Times New Roman" w:cs="Times New Roman"/>
          <w:b/>
          <w:sz w:val="24"/>
          <w:szCs w:val="24"/>
          <w:lang w:val="en-GB"/>
        </w:rPr>
        <w:t>Consultations with stakeholders</w:t>
      </w:r>
    </w:p>
    <w:p w:rsidR="005819CE" w:rsidRPr="00E9592C" w:rsidRDefault="005819CE"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The Department did not indicate the stakeholders that it plans to consult during the First Quarter with a view to developing the status report on the transport sector socio-economic empowerment programmes for </w:t>
      </w:r>
      <w:r w:rsidR="003E30DE" w:rsidRPr="00E9592C">
        <w:rPr>
          <w:rFonts w:ascii="Times New Roman" w:hAnsi="Times New Roman" w:cs="Times New Roman"/>
          <w:sz w:val="24"/>
          <w:szCs w:val="24"/>
          <w:lang w:val="en-GB"/>
        </w:rPr>
        <w:t>Gender, Disability, Youth and Children (GDYC)</w:t>
      </w:r>
      <w:r w:rsidRPr="00E9592C">
        <w:rPr>
          <w:rFonts w:ascii="Times New Roman" w:hAnsi="Times New Roman" w:cs="Times New Roman"/>
          <w:sz w:val="24"/>
          <w:szCs w:val="24"/>
          <w:lang w:val="en-GB"/>
        </w:rPr>
        <w:t>.</w:t>
      </w:r>
    </w:p>
    <w:p w:rsidR="00502B17" w:rsidRPr="00E9592C" w:rsidRDefault="00502B17" w:rsidP="00E9592C">
      <w:pPr>
        <w:spacing w:before="120" w:after="120" w:line="240" w:lineRule="auto"/>
        <w:ind w:left="-426"/>
        <w:rPr>
          <w:rFonts w:ascii="Times New Roman" w:hAnsi="Times New Roman" w:cs="Times New Roman"/>
          <w:sz w:val="24"/>
          <w:szCs w:val="24"/>
          <w:lang w:val="en-GB"/>
        </w:rPr>
      </w:pPr>
    </w:p>
    <w:p w:rsidR="00502B17" w:rsidRPr="00E9592C" w:rsidRDefault="006A0141" w:rsidP="00E9592C">
      <w:pPr>
        <w:spacing w:before="120" w:after="120" w:line="240" w:lineRule="auto"/>
        <w:ind w:left="-426" w:firstLine="426"/>
        <w:rPr>
          <w:rFonts w:ascii="Times New Roman" w:hAnsi="Times New Roman" w:cs="Times New Roman"/>
          <w:b/>
          <w:sz w:val="24"/>
          <w:szCs w:val="24"/>
          <w:lang w:val="en-GB"/>
        </w:rPr>
      </w:pPr>
      <w:r w:rsidRPr="00E9592C">
        <w:rPr>
          <w:rFonts w:ascii="Times New Roman" w:hAnsi="Times New Roman" w:cs="Times New Roman"/>
          <w:b/>
          <w:sz w:val="24"/>
          <w:szCs w:val="24"/>
          <w:lang w:val="en-GB"/>
        </w:rPr>
        <w:t>4</w:t>
      </w:r>
      <w:r w:rsidR="0013166B" w:rsidRPr="00E9592C">
        <w:rPr>
          <w:rFonts w:ascii="Times New Roman" w:hAnsi="Times New Roman" w:cs="Times New Roman"/>
          <w:b/>
          <w:sz w:val="24"/>
          <w:szCs w:val="24"/>
          <w:lang w:val="en-GB"/>
        </w:rPr>
        <w:t>.2</w:t>
      </w:r>
      <w:r w:rsidR="0013166B" w:rsidRPr="00E9592C">
        <w:rPr>
          <w:rFonts w:ascii="Times New Roman" w:hAnsi="Times New Roman" w:cs="Times New Roman"/>
          <w:b/>
          <w:sz w:val="24"/>
          <w:szCs w:val="24"/>
          <w:lang w:val="en-GB"/>
        </w:rPr>
        <w:tab/>
      </w:r>
      <w:r w:rsidR="00502B17" w:rsidRPr="00E9592C">
        <w:rPr>
          <w:rFonts w:ascii="Times New Roman" w:hAnsi="Times New Roman" w:cs="Times New Roman"/>
          <w:b/>
          <w:sz w:val="24"/>
          <w:szCs w:val="24"/>
          <w:lang w:val="en-GB"/>
        </w:rPr>
        <w:t>NATMAP 2050</w:t>
      </w:r>
    </w:p>
    <w:p w:rsidR="00672B13" w:rsidRPr="00E9592C" w:rsidRDefault="00502B17" w:rsidP="00E9592C">
      <w:pPr>
        <w:spacing w:before="120" w:after="120" w:line="240" w:lineRule="auto"/>
        <w:ind w:left="-426" w:firstLine="426"/>
        <w:rPr>
          <w:rFonts w:ascii="Times New Roman" w:hAnsi="Times New Roman" w:cs="Times New Roman"/>
          <w:sz w:val="24"/>
          <w:szCs w:val="24"/>
          <w:lang w:val="en-GB"/>
        </w:rPr>
      </w:pPr>
      <w:r w:rsidRPr="00E9592C">
        <w:rPr>
          <w:rFonts w:ascii="Times New Roman" w:hAnsi="Times New Roman" w:cs="Times New Roman"/>
          <w:sz w:val="24"/>
          <w:szCs w:val="24"/>
          <w:lang w:val="en-GB"/>
        </w:rPr>
        <w:t>T</w:t>
      </w:r>
      <w:r w:rsidR="00672B13" w:rsidRPr="00E9592C">
        <w:rPr>
          <w:rFonts w:ascii="Times New Roman" w:hAnsi="Times New Roman" w:cs="Times New Roman"/>
          <w:sz w:val="24"/>
          <w:szCs w:val="24"/>
          <w:lang w:val="en-GB"/>
        </w:rPr>
        <w:t>he Department plans the roll-out of 10 prio</w:t>
      </w:r>
      <w:r w:rsidR="0013166B" w:rsidRPr="00E9592C">
        <w:rPr>
          <w:rFonts w:ascii="Times New Roman" w:hAnsi="Times New Roman" w:cs="Times New Roman"/>
          <w:sz w:val="24"/>
          <w:szCs w:val="24"/>
          <w:lang w:val="en-GB"/>
        </w:rPr>
        <w:t>ri</w:t>
      </w:r>
      <w:r w:rsidR="00672B13" w:rsidRPr="00E9592C">
        <w:rPr>
          <w:rFonts w:ascii="Times New Roman" w:hAnsi="Times New Roman" w:cs="Times New Roman"/>
          <w:sz w:val="24"/>
          <w:szCs w:val="24"/>
          <w:lang w:val="en-GB"/>
        </w:rPr>
        <w:t>tised NATMAP pilot projects.</w:t>
      </w:r>
    </w:p>
    <w:p w:rsidR="00502B17" w:rsidRPr="00E9592C" w:rsidRDefault="00502B17" w:rsidP="00E9592C">
      <w:pPr>
        <w:spacing w:before="120" w:after="120" w:line="240" w:lineRule="auto"/>
        <w:ind w:left="-426"/>
        <w:rPr>
          <w:rFonts w:ascii="Times New Roman" w:hAnsi="Times New Roman" w:cs="Times New Roman"/>
          <w:sz w:val="24"/>
          <w:szCs w:val="24"/>
          <w:lang w:val="en-GB"/>
        </w:rPr>
      </w:pPr>
    </w:p>
    <w:p w:rsidR="009A01C0" w:rsidRPr="00E9592C" w:rsidRDefault="006A0141" w:rsidP="00E9592C">
      <w:pPr>
        <w:spacing w:before="120" w:after="120" w:line="240" w:lineRule="auto"/>
        <w:ind w:left="-426" w:firstLine="426"/>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4</w:t>
      </w:r>
      <w:r w:rsidR="007A56D6" w:rsidRPr="00E9592C">
        <w:rPr>
          <w:rFonts w:ascii="Times New Roman" w:hAnsi="Times New Roman" w:cs="Times New Roman"/>
          <w:b/>
          <w:sz w:val="24"/>
          <w:szCs w:val="24"/>
          <w:lang w:val="en-GB"/>
        </w:rPr>
        <w:t>.3</w:t>
      </w:r>
      <w:r w:rsidR="0013166B" w:rsidRPr="00E9592C">
        <w:rPr>
          <w:rFonts w:ascii="Times New Roman" w:hAnsi="Times New Roman" w:cs="Times New Roman"/>
          <w:b/>
          <w:sz w:val="24"/>
          <w:szCs w:val="24"/>
          <w:lang w:val="en-GB"/>
        </w:rPr>
        <w:tab/>
      </w:r>
      <w:r w:rsidR="009A01C0" w:rsidRPr="00E9592C">
        <w:rPr>
          <w:rFonts w:ascii="Times New Roman" w:hAnsi="Times New Roman" w:cs="Times New Roman"/>
          <w:b/>
          <w:i/>
          <w:sz w:val="24"/>
          <w:szCs w:val="24"/>
          <w:lang w:val="en-GB"/>
        </w:rPr>
        <w:t>S’hamba Sonke</w:t>
      </w:r>
      <w:r w:rsidR="009A01C0" w:rsidRPr="00E9592C">
        <w:rPr>
          <w:rFonts w:ascii="Times New Roman" w:hAnsi="Times New Roman" w:cs="Times New Roman"/>
          <w:b/>
          <w:sz w:val="24"/>
          <w:szCs w:val="24"/>
          <w:lang w:val="en-GB"/>
        </w:rPr>
        <w:t xml:space="preserve"> </w:t>
      </w:r>
    </w:p>
    <w:p w:rsidR="009A01C0" w:rsidRPr="00E9592C" w:rsidRDefault="009A01C0"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The Committee noted the targets set by the Department for the overall implementation of the </w:t>
      </w:r>
      <w:r w:rsidRPr="00E9592C">
        <w:rPr>
          <w:rFonts w:ascii="Times New Roman" w:hAnsi="Times New Roman" w:cs="Times New Roman"/>
          <w:i/>
          <w:sz w:val="24"/>
          <w:szCs w:val="24"/>
          <w:lang w:val="en-GB"/>
        </w:rPr>
        <w:t>S’hamba Sonke</w:t>
      </w:r>
      <w:r w:rsidRPr="00E9592C">
        <w:rPr>
          <w:rFonts w:ascii="Times New Roman" w:hAnsi="Times New Roman" w:cs="Times New Roman"/>
          <w:sz w:val="24"/>
          <w:szCs w:val="24"/>
          <w:lang w:val="en-GB"/>
        </w:rPr>
        <w:t xml:space="preserve"> programme, monitored in line with the Provincial Roads Maintenance Grant (PRMG) budget</w:t>
      </w:r>
      <w:r w:rsidR="0013166B" w:rsidRPr="00E9592C">
        <w:rPr>
          <w:rFonts w:ascii="Times New Roman" w:hAnsi="Times New Roman" w:cs="Times New Roman"/>
          <w:sz w:val="24"/>
          <w:szCs w:val="24"/>
          <w:lang w:val="en-GB"/>
        </w:rPr>
        <w:t>.</w:t>
      </w:r>
    </w:p>
    <w:p w:rsidR="00B679ED" w:rsidRPr="00E9592C" w:rsidRDefault="00B679ED"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The Committee noted the perception that some provincial departments no longer allocate funds towards the maintenance of their roads but would rather merely rely on the funds coming from the allocated PRMG.</w:t>
      </w:r>
    </w:p>
    <w:p w:rsidR="007161A8" w:rsidRPr="00E9592C" w:rsidRDefault="007161A8" w:rsidP="00E9592C">
      <w:pPr>
        <w:spacing w:before="120" w:after="120" w:line="240" w:lineRule="auto"/>
        <w:jc w:val="both"/>
        <w:rPr>
          <w:rFonts w:ascii="Times New Roman" w:hAnsi="Times New Roman" w:cs="Times New Roman"/>
          <w:sz w:val="24"/>
          <w:szCs w:val="24"/>
          <w:lang w:val="en-GB"/>
        </w:rPr>
      </w:pPr>
    </w:p>
    <w:p w:rsidR="00D104D0" w:rsidRPr="00E9592C" w:rsidRDefault="00EF6D83"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 xml:space="preserve">4.4 </w:t>
      </w:r>
      <w:r w:rsidRPr="00E9592C">
        <w:rPr>
          <w:rFonts w:ascii="Times New Roman" w:hAnsi="Times New Roman" w:cs="Times New Roman"/>
          <w:b/>
          <w:sz w:val="24"/>
          <w:szCs w:val="24"/>
          <w:lang w:val="en-GB"/>
        </w:rPr>
        <w:tab/>
        <w:t>Skewed allocation of subsidies</w:t>
      </w:r>
    </w:p>
    <w:p w:rsidR="00EF6D83" w:rsidRPr="00E9592C" w:rsidRDefault="00EF6D83"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The Committee noted the skewed subsidisation of the various modes of public transport, the perceived skewed subsidisation between rail transport modes, as well as  the glaring differences in allocations for public transport to various municipalities. The Committee further noted that the minibus taxi industry remains unsubsidised despite the volumes of passengers which </w:t>
      </w:r>
      <w:r w:rsidR="00471B4C" w:rsidRPr="00E9592C">
        <w:rPr>
          <w:rFonts w:ascii="Times New Roman" w:hAnsi="Times New Roman" w:cs="Times New Roman"/>
          <w:sz w:val="24"/>
          <w:szCs w:val="24"/>
          <w:lang w:val="en-GB"/>
        </w:rPr>
        <w:t>it</w:t>
      </w:r>
      <w:r w:rsidRPr="00E9592C">
        <w:rPr>
          <w:rFonts w:ascii="Times New Roman" w:hAnsi="Times New Roman" w:cs="Times New Roman"/>
          <w:sz w:val="24"/>
          <w:szCs w:val="24"/>
          <w:lang w:val="en-GB"/>
        </w:rPr>
        <w:t xml:space="preserve"> transport</w:t>
      </w:r>
      <w:r w:rsidR="00471B4C" w:rsidRPr="00E9592C">
        <w:rPr>
          <w:rFonts w:ascii="Times New Roman" w:hAnsi="Times New Roman" w:cs="Times New Roman"/>
          <w:sz w:val="24"/>
          <w:szCs w:val="24"/>
          <w:lang w:val="en-GB"/>
        </w:rPr>
        <w:t>s</w:t>
      </w:r>
      <w:r w:rsidRPr="00E9592C">
        <w:rPr>
          <w:rFonts w:ascii="Times New Roman" w:hAnsi="Times New Roman" w:cs="Times New Roman"/>
          <w:sz w:val="24"/>
          <w:szCs w:val="24"/>
          <w:lang w:val="en-GB"/>
        </w:rPr>
        <w:t xml:space="preserve"> on a daily basis. The Committee was of the view that the subsidisation model should allow for the inclusion of all of the public transport modes and that there should be a move towards ensuring that the model leans towards the subsidisation of the user or passenger instead of the operator.</w:t>
      </w:r>
    </w:p>
    <w:p w:rsidR="00EF6D83" w:rsidRPr="00E9592C" w:rsidRDefault="00EF6D83" w:rsidP="00E9592C">
      <w:pPr>
        <w:spacing w:before="120" w:after="120" w:line="240" w:lineRule="auto"/>
        <w:jc w:val="both"/>
        <w:rPr>
          <w:rFonts w:ascii="Times New Roman" w:hAnsi="Times New Roman" w:cs="Times New Roman"/>
          <w:sz w:val="24"/>
          <w:szCs w:val="24"/>
          <w:lang w:val="en-GB"/>
        </w:rPr>
      </w:pPr>
    </w:p>
    <w:p w:rsidR="00471B4C" w:rsidRPr="00E9592C" w:rsidRDefault="00471B4C" w:rsidP="00E9592C">
      <w:pPr>
        <w:spacing w:before="120" w:after="120" w:line="240" w:lineRule="auto"/>
        <w:jc w:val="both"/>
        <w:rPr>
          <w:rFonts w:ascii="Times New Roman" w:hAnsi="Times New Roman" w:cs="Times New Roman"/>
          <w:sz w:val="24"/>
          <w:szCs w:val="24"/>
          <w:lang w:val="en-GB"/>
        </w:rPr>
      </w:pPr>
    </w:p>
    <w:p w:rsidR="00430305" w:rsidRPr="00E9592C" w:rsidRDefault="00EF6D83"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 xml:space="preserve">4.5 </w:t>
      </w:r>
      <w:r w:rsidRPr="00E9592C">
        <w:rPr>
          <w:rFonts w:ascii="Times New Roman" w:hAnsi="Times New Roman" w:cs="Times New Roman"/>
          <w:b/>
          <w:sz w:val="24"/>
          <w:szCs w:val="24"/>
          <w:lang w:val="en-GB"/>
        </w:rPr>
        <w:tab/>
        <w:t xml:space="preserve">Matters raised by the </w:t>
      </w:r>
      <w:r w:rsidR="00BB5CF9" w:rsidRPr="00E9592C">
        <w:rPr>
          <w:rFonts w:ascii="Times New Roman" w:hAnsi="Times New Roman" w:cs="Times New Roman"/>
          <w:b/>
          <w:sz w:val="24"/>
          <w:szCs w:val="24"/>
          <w:lang w:val="en-GB"/>
        </w:rPr>
        <w:t xml:space="preserve">AGSA </w:t>
      </w:r>
    </w:p>
    <w:p w:rsidR="00EF6D83" w:rsidRPr="00E9592C" w:rsidRDefault="00EF6D83"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The Committee noted with concern that the A</w:t>
      </w:r>
      <w:r w:rsidR="00BA342D" w:rsidRPr="00E9592C">
        <w:rPr>
          <w:rFonts w:ascii="Times New Roman" w:hAnsi="Times New Roman" w:cs="Times New Roman"/>
          <w:sz w:val="24"/>
          <w:szCs w:val="24"/>
          <w:lang w:val="en-GB"/>
        </w:rPr>
        <w:t>uditor-</w:t>
      </w:r>
      <w:r w:rsidRPr="00E9592C">
        <w:rPr>
          <w:rFonts w:ascii="Times New Roman" w:hAnsi="Times New Roman" w:cs="Times New Roman"/>
          <w:sz w:val="24"/>
          <w:szCs w:val="24"/>
          <w:lang w:val="en-GB"/>
        </w:rPr>
        <w:t>G</w:t>
      </w:r>
      <w:r w:rsidR="00BA342D" w:rsidRPr="00E9592C">
        <w:rPr>
          <w:rFonts w:ascii="Times New Roman" w:hAnsi="Times New Roman" w:cs="Times New Roman"/>
          <w:sz w:val="24"/>
          <w:szCs w:val="24"/>
          <w:lang w:val="en-GB"/>
        </w:rPr>
        <w:t xml:space="preserve">eneral of </w:t>
      </w:r>
      <w:r w:rsidRPr="00E9592C">
        <w:rPr>
          <w:rFonts w:ascii="Times New Roman" w:hAnsi="Times New Roman" w:cs="Times New Roman"/>
          <w:sz w:val="24"/>
          <w:szCs w:val="24"/>
          <w:lang w:val="en-GB"/>
        </w:rPr>
        <w:t>S</w:t>
      </w:r>
      <w:r w:rsidR="00BA342D" w:rsidRPr="00E9592C">
        <w:rPr>
          <w:rFonts w:ascii="Times New Roman" w:hAnsi="Times New Roman" w:cs="Times New Roman"/>
          <w:sz w:val="24"/>
          <w:szCs w:val="24"/>
          <w:lang w:val="en-GB"/>
        </w:rPr>
        <w:t xml:space="preserve">outh </w:t>
      </w:r>
      <w:r w:rsidRPr="00E9592C">
        <w:rPr>
          <w:rFonts w:ascii="Times New Roman" w:hAnsi="Times New Roman" w:cs="Times New Roman"/>
          <w:sz w:val="24"/>
          <w:szCs w:val="24"/>
          <w:lang w:val="en-GB"/>
        </w:rPr>
        <w:t>A</w:t>
      </w:r>
      <w:r w:rsidR="00BA342D" w:rsidRPr="00E9592C">
        <w:rPr>
          <w:rFonts w:ascii="Times New Roman" w:hAnsi="Times New Roman" w:cs="Times New Roman"/>
          <w:sz w:val="24"/>
          <w:szCs w:val="24"/>
          <w:lang w:val="en-GB"/>
        </w:rPr>
        <w:t>frica</w:t>
      </w:r>
      <w:r w:rsidRPr="00E9592C">
        <w:rPr>
          <w:rFonts w:ascii="Times New Roman" w:hAnsi="Times New Roman" w:cs="Times New Roman"/>
          <w:sz w:val="24"/>
          <w:szCs w:val="24"/>
          <w:lang w:val="en-GB"/>
        </w:rPr>
        <w:t xml:space="preserve"> found that</w:t>
      </w:r>
      <w:r w:rsidR="008C5A5D" w:rsidRPr="00E9592C">
        <w:rPr>
          <w:rFonts w:ascii="Times New Roman" w:hAnsi="Times New Roman" w:cs="Times New Roman"/>
          <w:sz w:val="24"/>
          <w:szCs w:val="24"/>
          <w:lang w:val="en-GB"/>
        </w:rPr>
        <w:t>,</w:t>
      </w:r>
      <w:r w:rsidRPr="00E9592C">
        <w:rPr>
          <w:rFonts w:ascii="Times New Roman" w:hAnsi="Times New Roman" w:cs="Times New Roman"/>
          <w:sz w:val="24"/>
          <w:szCs w:val="24"/>
          <w:lang w:val="en-GB"/>
        </w:rPr>
        <w:t xml:space="preserve"> in a review of the past 3 years in audit outcomes</w:t>
      </w:r>
      <w:r w:rsidR="008C5A5D" w:rsidRPr="00E9592C">
        <w:rPr>
          <w:rFonts w:ascii="Times New Roman" w:hAnsi="Times New Roman" w:cs="Times New Roman"/>
          <w:sz w:val="24"/>
          <w:szCs w:val="24"/>
          <w:lang w:val="en-GB"/>
        </w:rPr>
        <w:t>,</w:t>
      </w:r>
      <w:r w:rsidRPr="00E9592C">
        <w:rPr>
          <w:rFonts w:ascii="Times New Roman" w:hAnsi="Times New Roman" w:cs="Times New Roman"/>
          <w:sz w:val="24"/>
          <w:szCs w:val="24"/>
          <w:lang w:val="en-GB"/>
        </w:rPr>
        <w:t xml:space="preserve"> there has been a regression in the area of reliable performance reporting in the Department. Annual performance plans of PRASA, RSR, SAMSA and SANRAL also contained targets that were not specific, time bound and verifiable. Achievements reported by PRASA, RSR, RTIA and SAMSA were either incorrect or not supported by appropriate sufficient evidence to confirm the accuracy and reliability thereof.</w:t>
      </w:r>
    </w:p>
    <w:p w:rsidR="008C5A5D" w:rsidRPr="00E9592C" w:rsidRDefault="008C5A5D" w:rsidP="00E9592C">
      <w:pPr>
        <w:spacing w:before="120" w:after="120" w:line="240" w:lineRule="auto"/>
        <w:jc w:val="both"/>
        <w:rPr>
          <w:rFonts w:ascii="Times New Roman" w:hAnsi="Times New Roman" w:cs="Times New Roman"/>
          <w:sz w:val="24"/>
          <w:szCs w:val="24"/>
          <w:highlight w:val="yellow"/>
          <w:lang w:val="en-GB"/>
        </w:rPr>
      </w:pPr>
      <w:r w:rsidRPr="00E9592C">
        <w:rPr>
          <w:rFonts w:ascii="Times New Roman" w:hAnsi="Times New Roman" w:cs="Times New Roman"/>
          <w:sz w:val="24"/>
          <w:szCs w:val="24"/>
          <w:lang w:val="en-GB"/>
        </w:rPr>
        <w:t>The Committee was of the view that these issues must be addressed by the Department through oversight over its entities.</w:t>
      </w:r>
    </w:p>
    <w:p w:rsidR="008C5A5D" w:rsidRPr="00E9592C" w:rsidRDefault="008C5A5D" w:rsidP="00E9592C">
      <w:pPr>
        <w:spacing w:before="120" w:after="120" w:line="240" w:lineRule="auto"/>
        <w:jc w:val="both"/>
        <w:rPr>
          <w:rFonts w:ascii="Times New Roman" w:hAnsi="Times New Roman" w:cs="Times New Roman"/>
          <w:b/>
          <w:sz w:val="24"/>
          <w:szCs w:val="24"/>
          <w:highlight w:val="yellow"/>
          <w:lang w:val="en-GB"/>
        </w:rPr>
      </w:pPr>
    </w:p>
    <w:p w:rsidR="005B2AE2" w:rsidRPr="00E9592C" w:rsidRDefault="008C5A5D"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4.6</w:t>
      </w:r>
      <w:r w:rsidRPr="00E9592C">
        <w:rPr>
          <w:rFonts w:ascii="Times New Roman" w:hAnsi="Times New Roman" w:cs="Times New Roman"/>
          <w:b/>
          <w:sz w:val="24"/>
          <w:szCs w:val="24"/>
          <w:lang w:val="en-GB"/>
        </w:rPr>
        <w:tab/>
      </w:r>
      <w:r w:rsidR="005B2AE2" w:rsidRPr="00E9592C">
        <w:rPr>
          <w:rFonts w:ascii="Times New Roman" w:hAnsi="Times New Roman" w:cs="Times New Roman"/>
          <w:b/>
          <w:sz w:val="24"/>
          <w:szCs w:val="24"/>
          <w:lang w:val="en-GB"/>
        </w:rPr>
        <w:t>Consequence Management</w:t>
      </w:r>
    </w:p>
    <w:p w:rsidR="00BB5CF9" w:rsidRPr="00E9592C" w:rsidRDefault="00A94047"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The Committee noted with concern the apparent </w:t>
      </w:r>
      <w:r w:rsidR="005B2AE2" w:rsidRPr="00E9592C">
        <w:rPr>
          <w:rFonts w:ascii="Times New Roman" w:hAnsi="Times New Roman" w:cs="Times New Roman"/>
          <w:sz w:val="24"/>
          <w:szCs w:val="24"/>
          <w:lang w:val="en-GB"/>
        </w:rPr>
        <w:t>lack of consequence management</w:t>
      </w:r>
      <w:r w:rsidRPr="00E9592C">
        <w:rPr>
          <w:rFonts w:ascii="Times New Roman" w:hAnsi="Times New Roman" w:cs="Times New Roman"/>
          <w:sz w:val="24"/>
          <w:szCs w:val="24"/>
          <w:lang w:val="en-GB"/>
        </w:rPr>
        <w:t xml:space="preserve"> by the Department and its entities</w:t>
      </w:r>
      <w:r w:rsidR="00F51D11" w:rsidRPr="00E9592C">
        <w:rPr>
          <w:rFonts w:ascii="Times New Roman" w:hAnsi="Times New Roman" w:cs="Times New Roman"/>
          <w:sz w:val="24"/>
          <w:szCs w:val="24"/>
          <w:lang w:val="en-GB"/>
        </w:rPr>
        <w:t>. The Committee was of the view that the Department should improve its consequence management</w:t>
      </w:r>
      <w:r w:rsidR="00471B4C" w:rsidRPr="00E9592C">
        <w:rPr>
          <w:rFonts w:ascii="Times New Roman" w:hAnsi="Times New Roman" w:cs="Times New Roman"/>
          <w:sz w:val="24"/>
          <w:szCs w:val="24"/>
          <w:lang w:val="en-GB"/>
        </w:rPr>
        <w:t>,</w:t>
      </w:r>
      <w:r w:rsidR="00F51D11" w:rsidRPr="00E9592C">
        <w:rPr>
          <w:rFonts w:ascii="Times New Roman" w:hAnsi="Times New Roman" w:cs="Times New Roman"/>
          <w:sz w:val="24"/>
          <w:szCs w:val="24"/>
          <w:lang w:val="en-GB"/>
        </w:rPr>
        <w:t xml:space="preserve"> as well as its oversight over its entities.</w:t>
      </w:r>
    </w:p>
    <w:p w:rsidR="00F51D11" w:rsidRPr="00E9592C" w:rsidRDefault="00F51D11" w:rsidP="00E9592C">
      <w:pPr>
        <w:spacing w:before="120" w:after="120" w:line="240" w:lineRule="auto"/>
        <w:jc w:val="both"/>
        <w:rPr>
          <w:rFonts w:ascii="Times New Roman" w:hAnsi="Times New Roman" w:cs="Times New Roman"/>
          <w:sz w:val="24"/>
          <w:szCs w:val="24"/>
          <w:lang w:val="en-GB"/>
        </w:rPr>
      </w:pPr>
    </w:p>
    <w:p w:rsidR="00BF0BC8" w:rsidRPr="00E9592C" w:rsidRDefault="00ED604F" w:rsidP="00E9592C">
      <w:pPr>
        <w:pStyle w:val="ListParagraph"/>
        <w:numPr>
          <w:ilvl w:val="0"/>
          <w:numId w:val="5"/>
        </w:num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RECOMMENDATIONS</w:t>
      </w:r>
    </w:p>
    <w:p w:rsidR="0013166B" w:rsidRPr="00E9592C" w:rsidRDefault="0013166B"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sz w:val="24"/>
          <w:szCs w:val="24"/>
          <w:lang w:val="en-GB"/>
        </w:rPr>
        <w:t>The Committee recommends that the Minister of Transport ensures that</w:t>
      </w:r>
      <w:r w:rsidRPr="00E9592C">
        <w:rPr>
          <w:rFonts w:ascii="Times New Roman" w:hAnsi="Times New Roman" w:cs="Times New Roman"/>
          <w:b/>
          <w:sz w:val="24"/>
          <w:szCs w:val="24"/>
          <w:lang w:val="en-GB"/>
        </w:rPr>
        <w:t xml:space="preserve">: </w:t>
      </w:r>
    </w:p>
    <w:p w:rsidR="0013166B" w:rsidRPr="00E9592C" w:rsidRDefault="0013166B" w:rsidP="00E9592C">
      <w:pPr>
        <w:spacing w:before="120" w:after="120" w:line="240" w:lineRule="auto"/>
        <w:jc w:val="both"/>
        <w:rPr>
          <w:rFonts w:ascii="Times New Roman" w:hAnsi="Times New Roman" w:cs="Times New Roman"/>
          <w:b/>
          <w:sz w:val="24"/>
          <w:szCs w:val="24"/>
          <w:lang w:val="en-GB"/>
        </w:rPr>
      </w:pPr>
    </w:p>
    <w:p w:rsidR="0013166B" w:rsidRPr="00E9592C" w:rsidRDefault="006A0141"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5</w:t>
      </w:r>
      <w:r w:rsidR="0013166B" w:rsidRPr="00E9592C">
        <w:rPr>
          <w:rFonts w:ascii="Times New Roman" w:hAnsi="Times New Roman" w:cs="Times New Roman"/>
          <w:b/>
          <w:sz w:val="24"/>
          <w:szCs w:val="24"/>
          <w:lang w:val="en-GB"/>
        </w:rPr>
        <w:t>.1</w:t>
      </w:r>
      <w:r w:rsidR="0013166B" w:rsidRPr="00E9592C">
        <w:rPr>
          <w:rFonts w:ascii="Times New Roman" w:hAnsi="Times New Roman" w:cs="Times New Roman"/>
          <w:b/>
          <w:sz w:val="24"/>
          <w:szCs w:val="24"/>
          <w:lang w:val="en-GB"/>
        </w:rPr>
        <w:tab/>
        <w:t>Consultations with stakeholders</w:t>
      </w:r>
    </w:p>
    <w:p w:rsidR="004A4EFF" w:rsidRPr="00E9592C" w:rsidRDefault="00BF0BC8"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The Department </w:t>
      </w:r>
      <w:r w:rsidR="0013166B" w:rsidRPr="00E9592C">
        <w:rPr>
          <w:rFonts w:ascii="Times New Roman" w:hAnsi="Times New Roman" w:cs="Times New Roman"/>
          <w:sz w:val="24"/>
          <w:szCs w:val="24"/>
          <w:lang w:val="en-GB"/>
        </w:rPr>
        <w:t>provides</w:t>
      </w:r>
      <w:r w:rsidR="000658F0" w:rsidRPr="00E9592C">
        <w:rPr>
          <w:rFonts w:ascii="Times New Roman" w:hAnsi="Times New Roman" w:cs="Times New Roman"/>
          <w:sz w:val="24"/>
          <w:szCs w:val="24"/>
          <w:lang w:val="en-GB"/>
        </w:rPr>
        <w:t xml:space="preserve"> the Committee,</w:t>
      </w:r>
      <w:r w:rsidR="0013166B" w:rsidRPr="00E9592C">
        <w:rPr>
          <w:rFonts w:ascii="Times New Roman" w:hAnsi="Times New Roman" w:cs="Times New Roman"/>
          <w:sz w:val="24"/>
          <w:szCs w:val="24"/>
          <w:lang w:val="en-GB"/>
        </w:rPr>
        <w:t xml:space="preserve"> </w:t>
      </w:r>
      <w:r w:rsidR="000658F0" w:rsidRPr="00E9592C">
        <w:rPr>
          <w:rFonts w:ascii="Times New Roman" w:hAnsi="Times New Roman" w:cs="Times New Roman"/>
          <w:sz w:val="24"/>
          <w:szCs w:val="24"/>
          <w:lang w:val="en-GB"/>
        </w:rPr>
        <w:t xml:space="preserve">prior to the presentation on the </w:t>
      </w:r>
      <w:r w:rsidR="00471B4C" w:rsidRPr="00E9592C">
        <w:rPr>
          <w:rFonts w:ascii="Times New Roman" w:hAnsi="Times New Roman" w:cs="Times New Roman"/>
          <w:sz w:val="24"/>
          <w:szCs w:val="24"/>
          <w:lang w:val="en-GB"/>
        </w:rPr>
        <w:t>F</w:t>
      </w:r>
      <w:r w:rsidR="000658F0" w:rsidRPr="00E9592C">
        <w:rPr>
          <w:rFonts w:ascii="Times New Roman" w:hAnsi="Times New Roman" w:cs="Times New Roman"/>
          <w:sz w:val="24"/>
          <w:szCs w:val="24"/>
          <w:lang w:val="en-GB"/>
        </w:rPr>
        <w:t xml:space="preserve">irst </w:t>
      </w:r>
      <w:r w:rsidR="00471B4C" w:rsidRPr="00E9592C">
        <w:rPr>
          <w:rFonts w:ascii="Times New Roman" w:hAnsi="Times New Roman" w:cs="Times New Roman"/>
          <w:sz w:val="24"/>
          <w:szCs w:val="24"/>
          <w:lang w:val="en-GB"/>
        </w:rPr>
        <w:t>Q</w:t>
      </w:r>
      <w:r w:rsidR="000658F0" w:rsidRPr="00E9592C">
        <w:rPr>
          <w:rFonts w:ascii="Times New Roman" w:hAnsi="Times New Roman" w:cs="Times New Roman"/>
          <w:sz w:val="24"/>
          <w:szCs w:val="24"/>
          <w:lang w:val="en-GB"/>
        </w:rPr>
        <w:t xml:space="preserve">uarter performance, </w:t>
      </w:r>
      <w:r w:rsidR="0013166B" w:rsidRPr="00E9592C">
        <w:rPr>
          <w:rFonts w:ascii="Times New Roman" w:hAnsi="Times New Roman" w:cs="Times New Roman"/>
          <w:sz w:val="24"/>
          <w:szCs w:val="24"/>
          <w:lang w:val="en-GB"/>
        </w:rPr>
        <w:t xml:space="preserve">with information on the </w:t>
      </w:r>
      <w:r w:rsidRPr="00E9592C">
        <w:rPr>
          <w:rFonts w:ascii="Times New Roman" w:hAnsi="Times New Roman" w:cs="Times New Roman"/>
          <w:sz w:val="24"/>
          <w:szCs w:val="24"/>
          <w:lang w:val="en-GB"/>
        </w:rPr>
        <w:t xml:space="preserve">stakeholders that it plans to consult </w:t>
      </w:r>
      <w:r w:rsidR="000658F0" w:rsidRPr="00E9592C">
        <w:rPr>
          <w:rFonts w:ascii="Times New Roman" w:hAnsi="Times New Roman" w:cs="Times New Roman"/>
          <w:sz w:val="24"/>
          <w:szCs w:val="24"/>
          <w:lang w:val="en-GB"/>
        </w:rPr>
        <w:t>in each of the targets where they have indicated that stakeholder consultation is to take place</w:t>
      </w:r>
      <w:r w:rsidRPr="00E9592C">
        <w:rPr>
          <w:rFonts w:ascii="Times New Roman" w:hAnsi="Times New Roman" w:cs="Times New Roman"/>
          <w:sz w:val="24"/>
          <w:szCs w:val="24"/>
          <w:lang w:val="en-GB"/>
        </w:rPr>
        <w:t>.</w:t>
      </w:r>
      <w:r w:rsidR="005819CE" w:rsidRPr="00E9592C">
        <w:rPr>
          <w:rFonts w:ascii="Times New Roman" w:hAnsi="Times New Roman" w:cs="Times New Roman"/>
          <w:sz w:val="24"/>
          <w:szCs w:val="24"/>
          <w:lang w:val="en-GB"/>
        </w:rPr>
        <w:t xml:space="preserve"> It should further indicate the criteria that will </w:t>
      </w:r>
      <w:r w:rsidRPr="00E9592C">
        <w:rPr>
          <w:rFonts w:ascii="Times New Roman" w:hAnsi="Times New Roman" w:cs="Times New Roman"/>
          <w:sz w:val="24"/>
          <w:szCs w:val="24"/>
          <w:lang w:val="en-GB"/>
        </w:rPr>
        <w:t>be used to</w:t>
      </w:r>
      <w:r w:rsidR="005819CE" w:rsidRPr="00E9592C">
        <w:rPr>
          <w:rFonts w:ascii="Times New Roman" w:hAnsi="Times New Roman" w:cs="Times New Roman"/>
          <w:sz w:val="24"/>
          <w:szCs w:val="24"/>
          <w:lang w:val="en-GB"/>
        </w:rPr>
        <w:t xml:space="preserve"> select these stakeholders and indicate whether the </w:t>
      </w:r>
      <w:r w:rsidR="007166E0" w:rsidRPr="00E9592C">
        <w:rPr>
          <w:rFonts w:ascii="Times New Roman" w:hAnsi="Times New Roman" w:cs="Times New Roman"/>
          <w:sz w:val="24"/>
          <w:szCs w:val="24"/>
          <w:lang w:val="en-GB"/>
        </w:rPr>
        <w:t>cri</w:t>
      </w:r>
      <w:r w:rsidR="0013166B" w:rsidRPr="00E9592C">
        <w:rPr>
          <w:rFonts w:ascii="Times New Roman" w:hAnsi="Times New Roman" w:cs="Times New Roman"/>
          <w:sz w:val="24"/>
          <w:szCs w:val="24"/>
          <w:lang w:val="en-GB"/>
        </w:rPr>
        <w:t>teria took</w:t>
      </w:r>
      <w:r w:rsidRPr="00E9592C">
        <w:rPr>
          <w:rFonts w:ascii="Times New Roman" w:hAnsi="Times New Roman" w:cs="Times New Roman"/>
          <w:sz w:val="24"/>
          <w:szCs w:val="24"/>
          <w:lang w:val="en-GB"/>
        </w:rPr>
        <w:t xml:space="preserve"> cognis</w:t>
      </w:r>
      <w:r w:rsidR="005819CE" w:rsidRPr="00E9592C">
        <w:rPr>
          <w:rFonts w:ascii="Times New Roman" w:hAnsi="Times New Roman" w:cs="Times New Roman"/>
          <w:sz w:val="24"/>
          <w:szCs w:val="24"/>
          <w:lang w:val="en-GB"/>
        </w:rPr>
        <w:t xml:space="preserve">ance of the rural/urban divide. </w:t>
      </w:r>
    </w:p>
    <w:p w:rsidR="00930148" w:rsidRPr="00E9592C" w:rsidRDefault="00930148"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The Department should, for all targets regarding the consultation with stakeholders, wherever it intends to or is required to consult with stakeholders, either identify the applicable grouping or category of stakeholders or state the specific stakeholders where the target allows for this.</w:t>
      </w:r>
    </w:p>
    <w:p w:rsidR="0013166B" w:rsidRPr="00E9592C" w:rsidRDefault="0013166B" w:rsidP="00E9592C">
      <w:pPr>
        <w:spacing w:before="120" w:after="120" w:line="240" w:lineRule="auto"/>
        <w:ind w:left="-426"/>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ab/>
      </w:r>
      <w:r w:rsidR="006A0141" w:rsidRPr="00E9592C">
        <w:rPr>
          <w:rFonts w:ascii="Times New Roman" w:hAnsi="Times New Roman" w:cs="Times New Roman"/>
          <w:b/>
          <w:sz w:val="24"/>
          <w:szCs w:val="24"/>
          <w:lang w:val="en-GB"/>
        </w:rPr>
        <w:t>5</w:t>
      </w:r>
      <w:r w:rsidRPr="00E9592C">
        <w:rPr>
          <w:rFonts w:ascii="Times New Roman" w:hAnsi="Times New Roman" w:cs="Times New Roman"/>
          <w:b/>
          <w:sz w:val="24"/>
          <w:szCs w:val="24"/>
          <w:lang w:val="en-GB"/>
        </w:rPr>
        <w:t>.2</w:t>
      </w:r>
      <w:r w:rsidRPr="00E9592C">
        <w:rPr>
          <w:rFonts w:ascii="Times New Roman" w:hAnsi="Times New Roman" w:cs="Times New Roman"/>
          <w:b/>
          <w:sz w:val="24"/>
          <w:szCs w:val="24"/>
          <w:lang w:val="en-GB"/>
        </w:rPr>
        <w:tab/>
        <w:t>NATMAP 2050</w:t>
      </w:r>
    </w:p>
    <w:p w:rsidR="00672B13" w:rsidRPr="00E9592C" w:rsidRDefault="00672B13"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The Department </w:t>
      </w:r>
      <w:r w:rsidR="00093BF0" w:rsidRPr="00E9592C">
        <w:rPr>
          <w:rFonts w:ascii="Times New Roman" w:hAnsi="Times New Roman" w:cs="Times New Roman"/>
          <w:sz w:val="24"/>
          <w:szCs w:val="24"/>
          <w:lang w:val="en-GB"/>
        </w:rPr>
        <w:t xml:space="preserve">gives </w:t>
      </w:r>
      <w:r w:rsidRPr="00E9592C">
        <w:rPr>
          <w:rFonts w:ascii="Times New Roman" w:hAnsi="Times New Roman" w:cs="Times New Roman"/>
          <w:sz w:val="24"/>
          <w:szCs w:val="24"/>
          <w:lang w:val="en-GB"/>
        </w:rPr>
        <w:t>a comprehensive briefing to the Committee on the NATMAP including the pilot projects.</w:t>
      </w:r>
    </w:p>
    <w:p w:rsidR="009A01C0" w:rsidRPr="00E9592C" w:rsidRDefault="009541A8" w:rsidP="00E9592C">
      <w:pPr>
        <w:spacing w:before="120" w:after="120" w:line="240" w:lineRule="auto"/>
        <w:ind w:left="-567"/>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   </w:t>
      </w:r>
    </w:p>
    <w:p w:rsidR="00BF0BC8" w:rsidRPr="00E9592C" w:rsidRDefault="006A0141" w:rsidP="00E9592C">
      <w:pPr>
        <w:spacing w:before="120" w:after="120" w:line="240" w:lineRule="auto"/>
        <w:ind w:left="-567" w:firstLine="567"/>
        <w:rPr>
          <w:rFonts w:ascii="Times New Roman" w:hAnsi="Times New Roman" w:cs="Times New Roman"/>
          <w:b/>
          <w:sz w:val="24"/>
          <w:szCs w:val="24"/>
          <w:lang w:val="en-GB"/>
        </w:rPr>
      </w:pPr>
      <w:r w:rsidRPr="00E9592C">
        <w:rPr>
          <w:rFonts w:ascii="Times New Roman" w:hAnsi="Times New Roman" w:cs="Times New Roman"/>
          <w:b/>
          <w:sz w:val="24"/>
          <w:szCs w:val="24"/>
          <w:lang w:val="en-GB"/>
        </w:rPr>
        <w:t>5</w:t>
      </w:r>
      <w:r w:rsidR="007A56D6" w:rsidRPr="00E9592C">
        <w:rPr>
          <w:rFonts w:ascii="Times New Roman" w:hAnsi="Times New Roman" w:cs="Times New Roman"/>
          <w:b/>
          <w:sz w:val="24"/>
          <w:szCs w:val="24"/>
          <w:lang w:val="en-GB"/>
        </w:rPr>
        <w:t>.3</w:t>
      </w:r>
      <w:r w:rsidR="00745DDB" w:rsidRPr="00E9592C">
        <w:rPr>
          <w:rFonts w:ascii="Times New Roman" w:hAnsi="Times New Roman" w:cs="Times New Roman"/>
          <w:b/>
          <w:sz w:val="24"/>
          <w:szCs w:val="24"/>
          <w:lang w:val="en-GB"/>
        </w:rPr>
        <w:tab/>
      </w:r>
      <w:r w:rsidR="009A01C0" w:rsidRPr="00E9592C">
        <w:rPr>
          <w:rFonts w:ascii="Times New Roman" w:hAnsi="Times New Roman" w:cs="Times New Roman"/>
          <w:b/>
          <w:i/>
          <w:sz w:val="24"/>
          <w:szCs w:val="24"/>
          <w:lang w:val="en-GB"/>
        </w:rPr>
        <w:t>S’hamba Sonke</w:t>
      </w:r>
    </w:p>
    <w:p w:rsidR="00A9479C" w:rsidRPr="00E9592C" w:rsidRDefault="00D104D0"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The Department regularly monitors and evaluate</w:t>
      </w:r>
      <w:r w:rsidR="00016AC4" w:rsidRPr="00E9592C">
        <w:rPr>
          <w:rFonts w:ascii="Times New Roman" w:hAnsi="Times New Roman" w:cs="Times New Roman"/>
          <w:sz w:val="24"/>
          <w:szCs w:val="24"/>
          <w:lang w:val="en-GB"/>
        </w:rPr>
        <w:t>s</w:t>
      </w:r>
      <w:r w:rsidRPr="00E9592C">
        <w:rPr>
          <w:rFonts w:ascii="Times New Roman" w:hAnsi="Times New Roman" w:cs="Times New Roman"/>
          <w:sz w:val="24"/>
          <w:szCs w:val="24"/>
          <w:lang w:val="en-GB"/>
        </w:rPr>
        <w:t xml:space="preserve"> the implementation of the PRMG with a view to ascertain</w:t>
      </w:r>
      <w:r w:rsidR="00016AC4" w:rsidRPr="00E9592C">
        <w:rPr>
          <w:rFonts w:ascii="Times New Roman" w:hAnsi="Times New Roman" w:cs="Times New Roman"/>
          <w:sz w:val="24"/>
          <w:szCs w:val="24"/>
          <w:lang w:val="en-GB"/>
        </w:rPr>
        <w:t>ing</w:t>
      </w:r>
      <w:r w:rsidRPr="00E9592C">
        <w:rPr>
          <w:rFonts w:ascii="Times New Roman" w:hAnsi="Times New Roman" w:cs="Times New Roman"/>
          <w:sz w:val="24"/>
          <w:szCs w:val="24"/>
          <w:lang w:val="en-GB"/>
        </w:rPr>
        <w:t xml:space="preserve"> whether the Grant is used for its intended purpose and whether the Department receives value for money</w:t>
      </w:r>
      <w:r w:rsidRPr="00E9592C">
        <w:rPr>
          <w:rFonts w:ascii="Times New Roman" w:hAnsi="Times New Roman" w:cs="Times New Roman"/>
          <w:b/>
          <w:sz w:val="24"/>
          <w:szCs w:val="24"/>
          <w:lang w:val="en-GB"/>
        </w:rPr>
        <w:t xml:space="preserve">. </w:t>
      </w:r>
      <w:r w:rsidRPr="00E9592C">
        <w:rPr>
          <w:rFonts w:ascii="Times New Roman" w:hAnsi="Times New Roman" w:cs="Times New Roman"/>
          <w:sz w:val="24"/>
          <w:szCs w:val="24"/>
          <w:lang w:val="en-GB"/>
        </w:rPr>
        <w:t>The Department should further do quarterly presentations to the Committee on the manner in which it monitors the implementation of this grant</w:t>
      </w:r>
      <w:r w:rsidR="00016AC4" w:rsidRPr="00E9592C">
        <w:rPr>
          <w:rFonts w:ascii="Times New Roman" w:hAnsi="Times New Roman" w:cs="Times New Roman"/>
          <w:sz w:val="24"/>
          <w:szCs w:val="24"/>
          <w:lang w:val="en-GB"/>
        </w:rPr>
        <w:t>,</w:t>
      </w:r>
      <w:r w:rsidR="00E202AB" w:rsidRPr="00E9592C">
        <w:rPr>
          <w:rFonts w:ascii="Times New Roman" w:hAnsi="Times New Roman" w:cs="Times New Roman"/>
          <w:sz w:val="24"/>
          <w:szCs w:val="24"/>
          <w:lang w:val="en-GB"/>
        </w:rPr>
        <w:t xml:space="preserve"> as well as the programme targets set for the 2017/18 financial year</w:t>
      </w:r>
      <w:r w:rsidR="00A9479C" w:rsidRPr="00E9592C">
        <w:rPr>
          <w:rFonts w:ascii="Times New Roman" w:hAnsi="Times New Roman" w:cs="Times New Roman"/>
          <w:sz w:val="24"/>
          <w:szCs w:val="24"/>
          <w:lang w:val="en-GB"/>
        </w:rPr>
        <w:t>.</w:t>
      </w:r>
    </w:p>
    <w:p w:rsidR="00A9479C" w:rsidRPr="00E9592C" w:rsidRDefault="00A9479C"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The Department should provide the Committee with a comprehensive progress report on the implementation of the </w:t>
      </w:r>
      <w:r w:rsidRPr="00E9592C">
        <w:rPr>
          <w:rFonts w:ascii="Times New Roman" w:hAnsi="Times New Roman" w:cs="Times New Roman"/>
          <w:i/>
          <w:sz w:val="24"/>
          <w:szCs w:val="24"/>
          <w:lang w:val="en-GB"/>
        </w:rPr>
        <w:t>S’hamba Sonke</w:t>
      </w:r>
      <w:r w:rsidRPr="00E9592C">
        <w:rPr>
          <w:rFonts w:ascii="Times New Roman" w:hAnsi="Times New Roman" w:cs="Times New Roman"/>
          <w:sz w:val="24"/>
          <w:szCs w:val="24"/>
          <w:lang w:val="en-GB"/>
        </w:rPr>
        <w:t xml:space="preserve"> Programme stretching from 2014 to date, indicating whether the projects budgeted for under this programme have been successfully finalised, with a view to enabling the Committee to conduct oversight over these areas so that it can ascertain, inter alia, whether there is value for money.</w:t>
      </w:r>
    </w:p>
    <w:p w:rsidR="007161A8" w:rsidRPr="00E9592C" w:rsidRDefault="007161A8" w:rsidP="00E9592C">
      <w:pPr>
        <w:spacing w:before="120" w:after="120" w:line="240" w:lineRule="auto"/>
        <w:ind w:left="-567"/>
        <w:rPr>
          <w:rFonts w:ascii="Times New Roman" w:hAnsi="Times New Roman" w:cs="Times New Roman"/>
          <w:sz w:val="24"/>
          <w:szCs w:val="24"/>
          <w:lang w:val="en-GB"/>
        </w:rPr>
      </w:pPr>
    </w:p>
    <w:p w:rsidR="009A01C0" w:rsidRPr="00E9592C" w:rsidRDefault="006A0141" w:rsidP="00E9592C">
      <w:pPr>
        <w:spacing w:before="120" w:after="120" w:line="240" w:lineRule="auto"/>
        <w:ind w:left="-567" w:firstLine="567"/>
        <w:rPr>
          <w:rFonts w:ascii="Times New Roman" w:hAnsi="Times New Roman" w:cs="Times New Roman"/>
          <w:b/>
          <w:sz w:val="24"/>
          <w:szCs w:val="24"/>
          <w:lang w:val="en-GB"/>
        </w:rPr>
      </w:pPr>
      <w:r w:rsidRPr="00E9592C">
        <w:rPr>
          <w:rFonts w:ascii="Times New Roman" w:hAnsi="Times New Roman" w:cs="Times New Roman"/>
          <w:b/>
          <w:sz w:val="24"/>
          <w:szCs w:val="24"/>
          <w:lang w:val="en-GB"/>
        </w:rPr>
        <w:t>5</w:t>
      </w:r>
      <w:r w:rsidR="007A56D6" w:rsidRPr="00E9592C">
        <w:rPr>
          <w:rFonts w:ascii="Times New Roman" w:hAnsi="Times New Roman" w:cs="Times New Roman"/>
          <w:b/>
          <w:sz w:val="24"/>
          <w:szCs w:val="24"/>
          <w:lang w:val="en-GB"/>
        </w:rPr>
        <w:t>.4</w:t>
      </w:r>
      <w:r w:rsidR="00745DDB" w:rsidRPr="00E9592C">
        <w:rPr>
          <w:rFonts w:ascii="Times New Roman" w:hAnsi="Times New Roman" w:cs="Times New Roman"/>
          <w:b/>
          <w:sz w:val="24"/>
          <w:szCs w:val="24"/>
          <w:lang w:val="en-GB"/>
        </w:rPr>
        <w:tab/>
      </w:r>
      <w:r w:rsidR="009A01C0" w:rsidRPr="00E9592C">
        <w:rPr>
          <w:rFonts w:ascii="Times New Roman" w:hAnsi="Times New Roman" w:cs="Times New Roman"/>
          <w:b/>
          <w:sz w:val="24"/>
          <w:szCs w:val="24"/>
          <w:lang w:val="en-GB"/>
        </w:rPr>
        <w:t xml:space="preserve">The National Road Safety Strategy </w:t>
      </w:r>
    </w:p>
    <w:p w:rsidR="00EF6D83" w:rsidRPr="00E9592C" w:rsidRDefault="00EF6D83" w:rsidP="00E9592C">
      <w:pPr>
        <w:spacing w:before="120" w:after="120" w:line="240" w:lineRule="auto"/>
        <w:rPr>
          <w:rFonts w:ascii="Times New Roman" w:hAnsi="Times New Roman" w:cs="Times New Roman"/>
          <w:sz w:val="24"/>
          <w:szCs w:val="24"/>
          <w:lang w:val="en-GB"/>
        </w:rPr>
      </w:pPr>
      <w:r w:rsidRPr="00E9592C">
        <w:rPr>
          <w:rFonts w:ascii="Times New Roman" w:hAnsi="Times New Roman" w:cs="Times New Roman"/>
          <w:sz w:val="24"/>
          <w:szCs w:val="24"/>
          <w:lang w:val="en-GB"/>
        </w:rPr>
        <w:t>Given the persistent carnage on the country’s roads, the Department should continuously monitor whether the road safety programmes or strategies implemented by the RTMC and RTIA are yielding positive results.</w:t>
      </w:r>
    </w:p>
    <w:p w:rsidR="00503532" w:rsidRPr="00E9592C" w:rsidRDefault="00745DDB" w:rsidP="00E9592C">
      <w:pPr>
        <w:spacing w:before="120" w:after="120" w:line="240" w:lineRule="auto"/>
        <w:rPr>
          <w:rFonts w:ascii="Times New Roman" w:hAnsi="Times New Roman" w:cs="Times New Roman"/>
          <w:sz w:val="24"/>
          <w:szCs w:val="24"/>
          <w:lang w:val="en-GB"/>
        </w:rPr>
      </w:pPr>
      <w:r w:rsidRPr="00E9592C">
        <w:rPr>
          <w:rFonts w:ascii="Times New Roman" w:hAnsi="Times New Roman" w:cs="Times New Roman"/>
          <w:sz w:val="24"/>
          <w:szCs w:val="24"/>
          <w:lang w:val="en-GB"/>
        </w:rPr>
        <w:t>The Department provide</w:t>
      </w:r>
      <w:r w:rsidR="00C861D6" w:rsidRPr="00E9592C">
        <w:rPr>
          <w:rFonts w:ascii="Times New Roman" w:hAnsi="Times New Roman" w:cs="Times New Roman"/>
          <w:sz w:val="24"/>
          <w:szCs w:val="24"/>
          <w:lang w:val="en-GB"/>
        </w:rPr>
        <w:t>s</w:t>
      </w:r>
      <w:r w:rsidRPr="00E9592C">
        <w:rPr>
          <w:rFonts w:ascii="Times New Roman" w:hAnsi="Times New Roman" w:cs="Times New Roman"/>
          <w:sz w:val="24"/>
          <w:szCs w:val="24"/>
          <w:lang w:val="en-GB"/>
        </w:rPr>
        <w:t xml:space="preserve"> the Committee </w:t>
      </w:r>
      <w:r w:rsidR="00E854BA" w:rsidRPr="00E9592C">
        <w:rPr>
          <w:rFonts w:ascii="Times New Roman" w:hAnsi="Times New Roman" w:cs="Times New Roman"/>
          <w:sz w:val="24"/>
          <w:szCs w:val="24"/>
          <w:lang w:val="en-GB"/>
        </w:rPr>
        <w:t xml:space="preserve">with a comprehensive briefing on the </w:t>
      </w:r>
      <w:r w:rsidR="00CA1745" w:rsidRPr="00E9592C">
        <w:rPr>
          <w:rFonts w:ascii="Times New Roman" w:hAnsi="Times New Roman" w:cs="Times New Roman"/>
          <w:sz w:val="24"/>
          <w:szCs w:val="24"/>
          <w:lang w:val="en-GB"/>
        </w:rPr>
        <w:t>National Road Safety Strategy</w:t>
      </w:r>
      <w:r w:rsidRPr="00E9592C">
        <w:rPr>
          <w:rFonts w:ascii="Times New Roman" w:hAnsi="Times New Roman" w:cs="Times New Roman"/>
          <w:sz w:val="24"/>
          <w:szCs w:val="24"/>
          <w:lang w:val="en-GB"/>
        </w:rPr>
        <w:t>, once approved by Cabinet.</w:t>
      </w:r>
    </w:p>
    <w:p w:rsidR="00BF0BC8" w:rsidRPr="00E9592C" w:rsidRDefault="00BF0BC8" w:rsidP="00E9592C">
      <w:pPr>
        <w:spacing w:before="120" w:after="120" w:line="240" w:lineRule="auto"/>
        <w:rPr>
          <w:rFonts w:ascii="Times New Roman" w:hAnsi="Times New Roman" w:cs="Times New Roman"/>
          <w:sz w:val="24"/>
          <w:szCs w:val="24"/>
          <w:lang w:val="en-GB"/>
        </w:rPr>
      </w:pPr>
    </w:p>
    <w:p w:rsidR="00930148" w:rsidRPr="00E9592C" w:rsidRDefault="00930148" w:rsidP="00E9592C">
      <w:pPr>
        <w:spacing w:before="120" w:after="120" w:line="240" w:lineRule="auto"/>
        <w:rPr>
          <w:rFonts w:ascii="Times New Roman" w:hAnsi="Times New Roman" w:cs="Times New Roman"/>
          <w:b/>
          <w:sz w:val="24"/>
          <w:szCs w:val="24"/>
          <w:lang w:val="en-GB"/>
        </w:rPr>
      </w:pPr>
      <w:r w:rsidRPr="00E9592C">
        <w:rPr>
          <w:rFonts w:ascii="Times New Roman" w:hAnsi="Times New Roman" w:cs="Times New Roman"/>
          <w:b/>
          <w:sz w:val="24"/>
          <w:szCs w:val="24"/>
          <w:lang w:val="en-GB"/>
        </w:rPr>
        <w:t>5.5</w:t>
      </w:r>
      <w:r w:rsidRPr="00E9592C">
        <w:rPr>
          <w:rFonts w:ascii="Times New Roman" w:hAnsi="Times New Roman" w:cs="Times New Roman"/>
          <w:b/>
          <w:sz w:val="24"/>
          <w:szCs w:val="24"/>
          <w:lang w:val="en-GB"/>
        </w:rPr>
        <w:tab/>
        <w:t>Human Resources</w:t>
      </w:r>
    </w:p>
    <w:p w:rsidR="00930148" w:rsidRPr="00E9592C" w:rsidRDefault="00930148" w:rsidP="00E9592C">
      <w:pPr>
        <w:spacing w:before="120" w:after="120" w:line="240" w:lineRule="auto"/>
        <w:rPr>
          <w:rFonts w:ascii="Times New Roman" w:hAnsi="Times New Roman" w:cs="Times New Roman"/>
          <w:sz w:val="24"/>
          <w:szCs w:val="24"/>
          <w:lang w:val="en-GB"/>
        </w:rPr>
      </w:pPr>
      <w:r w:rsidRPr="00E9592C">
        <w:rPr>
          <w:rFonts w:ascii="Times New Roman" w:hAnsi="Times New Roman" w:cs="Times New Roman"/>
          <w:sz w:val="24"/>
          <w:szCs w:val="24"/>
          <w:lang w:val="en-GB"/>
        </w:rPr>
        <w:t>The Department should continue engagements with National Treasury in order to ensure that all critical vacant posts are filled with suitably skilled employees.</w:t>
      </w:r>
    </w:p>
    <w:p w:rsidR="00016AC4" w:rsidRPr="00E9592C" w:rsidRDefault="00016AC4" w:rsidP="00E9592C">
      <w:pPr>
        <w:spacing w:before="120" w:after="120" w:line="240" w:lineRule="auto"/>
        <w:rPr>
          <w:rFonts w:ascii="Times New Roman" w:hAnsi="Times New Roman" w:cs="Times New Roman"/>
          <w:sz w:val="24"/>
          <w:szCs w:val="24"/>
          <w:lang w:val="en-GB"/>
        </w:rPr>
      </w:pPr>
    </w:p>
    <w:p w:rsidR="005F4F4D" w:rsidRPr="00E9592C" w:rsidRDefault="005F4F4D" w:rsidP="00E9592C">
      <w:pPr>
        <w:spacing w:before="120" w:after="120" w:line="240" w:lineRule="auto"/>
        <w:rPr>
          <w:rFonts w:ascii="Times New Roman" w:hAnsi="Times New Roman" w:cs="Times New Roman"/>
          <w:b/>
          <w:sz w:val="24"/>
          <w:szCs w:val="24"/>
          <w:lang w:val="en-GB"/>
        </w:rPr>
      </w:pPr>
      <w:r w:rsidRPr="00E9592C">
        <w:rPr>
          <w:rFonts w:ascii="Times New Roman" w:hAnsi="Times New Roman" w:cs="Times New Roman"/>
          <w:b/>
          <w:sz w:val="24"/>
          <w:szCs w:val="24"/>
          <w:lang w:val="en-GB"/>
        </w:rPr>
        <w:t>5.6</w:t>
      </w:r>
      <w:r w:rsidRPr="00E9592C">
        <w:rPr>
          <w:rFonts w:ascii="Times New Roman" w:hAnsi="Times New Roman" w:cs="Times New Roman"/>
          <w:b/>
          <w:sz w:val="24"/>
          <w:szCs w:val="24"/>
          <w:lang w:val="en-GB"/>
        </w:rPr>
        <w:tab/>
      </w:r>
      <w:r w:rsidR="00145985" w:rsidRPr="00E9592C">
        <w:rPr>
          <w:rFonts w:ascii="Times New Roman" w:hAnsi="Times New Roman" w:cs="Times New Roman"/>
          <w:b/>
          <w:sz w:val="24"/>
          <w:szCs w:val="24"/>
          <w:lang w:val="en-GB"/>
        </w:rPr>
        <w:t xml:space="preserve">Skewed </w:t>
      </w:r>
      <w:r w:rsidRPr="00E9592C">
        <w:rPr>
          <w:rFonts w:ascii="Times New Roman" w:hAnsi="Times New Roman" w:cs="Times New Roman"/>
          <w:b/>
          <w:sz w:val="24"/>
          <w:szCs w:val="24"/>
          <w:lang w:val="en-GB"/>
        </w:rPr>
        <w:t>Public Transport Subsidies</w:t>
      </w:r>
    </w:p>
    <w:p w:rsidR="00EF6D83" w:rsidRPr="00E9592C" w:rsidRDefault="00EF6D83"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The Department should make a presentation to the Committee which indicates what methodology is used to determine the allocation of public transport subsidies, what rational</w:t>
      </w:r>
      <w:r w:rsidR="00016AC4" w:rsidRPr="00E9592C">
        <w:rPr>
          <w:rFonts w:ascii="Times New Roman" w:hAnsi="Times New Roman" w:cs="Times New Roman"/>
          <w:sz w:val="24"/>
          <w:szCs w:val="24"/>
          <w:lang w:val="en-GB"/>
        </w:rPr>
        <w:t>e</w:t>
      </w:r>
      <w:r w:rsidRPr="00E9592C">
        <w:rPr>
          <w:rFonts w:ascii="Times New Roman" w:hAnsi="Times New Roman" w:cs="Times New Roman"/>
          <w:sz w:val="24"/>
          <w:szCs w:val="24"/>
          <w:lang w:val="en-GB"/>
        </w:rPr>
        <w:t xml:space="preserve"> is followed in the differentiation between subsidisation of the different public transport modes and the different allocations to municipalities, as well as why some modes of public transport are excluded from being subsidised. </w:t>
      </w:r>
    </w:p>
    <w:p w:rsidR="005F4F4D" w:rsidRPr="00E9592C" w:rsidRDefault="005F4F4D"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The Department should also ensure that a presentation is done to the Committee on the BRT Report from Municipalities currently implementing such systems or in the process of planning to implement such a system.</w:t>
      </w:r>
    </w:p>
    <w:p w:rsidR="00E333BD" w:rsidRPr="00E9592C" w:rsidRDefault="00E333BD" w:rsidP="00E9592C">
      <w:pPr>
        <w:spacing w:before="120" w:after="120" w:line="240" w:lineRule="auto"/>
        <w:jc w:val="both"/>
        <w:rPr>
          <w:rFonts w:ascii="Times New Roman" w:hAnsi="Times New Roman" w:cs="Times New Roman"/>
          <w:sz w:val="24"/>
          <w:szCs w:val="24"/>
          <w:lang w:val="en-GB"/>
        </w:rPr>
      </w:pPr>
    </w:p>
    <w:p w:rsidR="00E333BD" w:rsidRPr="00E9592C" w:rsidRDefault="00E333BD" w:rsidP="00E9592C">
      <w:pPr>
        <w:spacing w:before="120" w:after="120" w:line="240" w:lineRule="auto"/>
        <w:jc w:val="both"/>
        <w:rPr>
          <w:rFonts w:ascii="Times New Roman" w:hAnsi="Times New Roman" w:cs="Times New Roman"/>
          <w:b/>
          <w:sz w:val="24"/>
          <w:szCs w:val="24"/>
          <w:lang w:val="en-GB"/>
        </w:rPr>
      </w:pPr>
      <w:r w:rsidRPr="00E9592C">
        <w:rPr>
          <w:rFonts w:ascii="Times New Roman" w:hAnsi="Times New Roman" w:cs="Times New Roman"/>
          <w:b/>
          <w:sz w:val="24"/>
          <w:szCs w:val="24"/>
          <w:lang w:val="en-GB"/>
        </w:rPr>
        <w:t xml:space="preserve">5.7 </w:t>
      </w:r>
      <w:r w:rsidRPr="00E9592C">
        <w:rPr>
          <w:rFonts w:ascii="Times New Roman" w:hAnsi="Times New Roman" w:cs="Times New Roman"/>
          <w:b/>
          <w:sz w:val="24"/>
          <w:szCs w:val="24"/>
          <w:lang w:val="en-GB"/>
        </w:rPr>
        <w:tab/>
        <w:t>Moloto Corridor</w:t>
      </w:r>
    </w:p>
    <w:p w:rsidR="00E333BD" w:rsidRPr="00E9592C" w:rsidRDefault="00E333BD"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lastRenderedPageBreak/>
        <w:t>The Department</w:t>
      </w:r>
      <w:r w:rsidR="00C56772" w:rsidRPr="00E9592C">
        <w:rPr>
          <w:rFonts w:ascii="Times New Roman" w:hAnsi="Times New Roman" w:cs="Times New Roman"/>
          <w:sz w:val="24"/>
          <w:szCs w:val="24"/>
          <w:lang w:val="en-GB"/>
        </w:rPr>
        <w:t>, along with SANRAL and PRASA,</w:t>
      </w:r>
      <w:r w:rsidRPr="00E9592C">
        <w:rPr>
          <w:rFonts w:ascii="Times New Roman" w:hAnsi="Times New Roman" w:cs="Times New Roman"/>
          <w:sz w:val="24"/>
          <w:szCs w:val="24"/>
          <w:lang w:val="en-GB"/>
        </w:rPr>
        <w:t xml:space="preserve"> should provide the Committee with a comprehensive progress report on the 2017/18 implementation of the</w:t>
      </w:r>
      <w:r w:rsidRPr="00E9592C">
        <w:rPr>
          <w:rFonts w:ascii="Times New Roman" w:hAnsi="Times New Roman" w:cs="Times New Roman"/>
          <w:i/>
          <w:sz w:val="24"/>
          <w:szCs w:val="24"/>
          <w:lang w:val="en-GB"/>
        </w:rPr>
        <w:t xml:space="preserve"> </w:t>
      </w:r>
      <w:r w:rsidRPr="00E9592C">
        <w:rPr>
          <w:rFonts w:ascii="Times New Roman" w:hAnsi="Times New Roman" w:cs="Times New Roman"/>
          <w:sz w:val="24"/>
          <w:szCs w:val="24"/>
          <w:lang w:val="en-GB"/>
        </w:rPr>
        <w:t>Moloto Corridor Project (both Road and Rail)</w:t>
      </w:r>
      <w:r w:rsidR="007D7DB1" w:rsidRPr="00E9592C">
        <w:rPr>
          <w:rFonts w:ascii="Times New Roman" w:hAnsi="Times New Roman" w:cs="Times New Roman"/>
          <w:sz w:val="24"/>
          <w:szCs w:val="24"/>
          <w:lang w:val="en-GB"/>
        </w:rPr>
        <w:t>, followed by regular quarterly reports on the projects going forward,</w:t>
      </w:r>
      <w:r w:rsidRPr="00E9592C">
        <w:rPr>
          <w:rFonts w:ascii="Times New Roman" w:hAnsi="Times New Roman" w:cs="Times New Roman"/>
          <w:sz w:val="24"/>
          <w:szCs w:val="24"/>
          <w:lang w:val="en-GB"/>
        </w:rPr>
        <w:t xml:space="preserve"> with a view to enabling the Committee to conduct oversight over this project so that it can ascertain, inter alia, whether there is value for money. </w:t>
      </w:r>
    </w:p>
    <w:p w:rsidR="007D7DB1" w:rsidRPr="00E9592C" w:rsidRDefault="007D7DB1"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 xml:space="preserve">The Department should provide the Committee with a progress report </w:t>
      </w:r>
      <w:r w:rsidR="00C56772" w:rsidRPr="00E9592C">
        <w:rPr>
          <w:rFonts w:ascii="Times New Roman" w:hAnsi="Times New Roman" w:cs="Times New Roman"/>
          <w:sz w:val="24"/>
          <w:szCs w:val="24"/>
          <w:lang w:val="en-GB"/>
        </w:rPr>
        <w:t xml:space="preserve">specifically </w:t>
      </w:r>
      <w:r w:rsidRPr="00E9592C">
        <w:rPr>
          <w:rFonts w:ascii="Times New Roman" w:hAnsi="Times New Roman" w:cs="Times New Roman"/>
          <w:sz w:val="24"/>
          <w:szCs w:val="24"/>
          <w:lang w:val="en-GB"/>
        </w:rPr>
        <w:t>on the Moloto Rail Project, indicating the status of the Memorandum of Understanding with China, including the viability study report findings</w:t>
      </w:r>
      <w:r w:rsidR="00016AC4" w:rsidRPr="00E9592C">
        <w:rPr>
          <w:rFonts w:ascii="Times New Roman" w:hAnsi="Times New Roman" w:cs="Times New Roman"/>
          <w:sz w:val="24"/>
          <w:szCs w:val="24"/>
          <w:lang w:val="en-GB"/>
        </w:rPr>
        <w:t>,</w:t>
      </w:r>
      <w:r w:rsidR="00C56772" w:rsidRPr="00E9592C">
        <w:rPr>
          <w:rFonts w:ascii="Times New Roman" w:hAnsi="Times New Roman" w:cs="Times New Roman"/>
          <w:sz w:val="24"/>
          <w:szCs w:val="24"/>
          <w:lang w:val="en-GB"/>
        </w:rPr>
        <w:t xml:space="preserve"> as well as progress reports on the Environmental Impact Assessment Reports required for the project.</w:t>
      </w:r>
    </w:p>
    <w:p w:rsidR="00BF0BC8" w:rsidRPr="00E9592C" w:rsidRDefault="00BF0BC8" w:rsidP="00E9592C">
      <w:pPr>
        <w:spacing w:before="120" w:after="120" w:line="240" w:lineRule="auto"/>
        <w:rPr>
          <w:rFonts w:ascii="Times New Roman" w:hAnsi="Times New Roman" w:cs="Times New Roman"/>
          <w:sz w:val="24"/>
          <w:szCs w:val="24"/>
          <w:lang w:val="en-GB"/>
        </w:rPr>
      </w:pPr>
    </w:p>
    <w:p w:rsidR="00BF0BC8" w:rsidRPr="00E9592C" w:rsidRDefault="002C221D" w:rsidP="00E9592C">
      <w:pPr>
        <w:spacing w:before="120" w:after="120" w:line="240" w:lineRule="auto"/>
        <w:rPr>
          <w:rFonts w:ascii="Times New Roman" w:hAnsi="Times New Roman" w:cs="Times New Roman"/>
          <w:b/>
          <w:sz w:val="24"/>
          <w:szCs w:val="24"/>
          <w:lang w:val="en-GB"/>
        </w:rPr>
      </w:pPr>
      <w:r w:rsidRPr="00E9592C">
        <w:rPr>
          <w:rFonts w:ascii="Times New Roman" w:hAnsi="Times New Roman" w:cs="Times New Roman"/>
          <w:b/>
          <w:sz w:val="24"/>
          <w:szCs w:val="24"/>
          <w:lang w:val="en-GB"/>
        </w:rPr>
        <w:t>5.8</w:t>
      </w:r>
      <w:r w:rsidRPr="00E9592C">
        <w:rPr>
          <w:rFonts w:ascii="Times New Roman" w:hAnsi="Times New Roman" w:cs="Times New Roman"/>
          <w:b/>
          <w:sz w:val="24"/>
          <w:szCs w:val="24"/>
          <w:lang w:val="en-GB"/>
        </w:rPr>
        <w:tab/>
      </w:r>
      <w:r w:rsidR="00145985" w:rsidRPr="00E9592C">
        <w:rPr>
          <w:rFonts w:ascii="Times New Roman" w:hAnsi="Times New Roman" w:cs="Times New Roman"/>
          <w:b/>
          <w:sz w:val="24"/>
          <w:szCs w:val="24"/>
          <w:lang w:val="en-GB"/>
        </w:rPr>
        <w:t>Remedial action based on m</w:t>
      </w:r>
      <w:r w:rsidRPr="00E9592C">
        <w:rPr>
          <w:rFonts w:ascii="Times New Roman" w:hAnsi="Times New Roman" w:cs="Times New Roman"/>
          <w:b/>
          <w:sz w:val="24"/>
          <w:szCs w:val="24"/>
          <w:lang w:val="en-GB"/>
        </w:rPr>
        <w:t>atters raised by the AGSA</w:t>
      </w:r>
    </w:p>
    <w:p w:rsidR="005B2AE2" w:rsidRPr="00E9592C" w:rsidRDefault="002C221D"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The Department should determine the cause of the regression in the area of reliable performance reporting of itself</w:t>
      </w:r>
      <w:r w:rsidR="00016AC4" w:rsidRPr="00E9592C">
        <w:rPr>
          <w:rFonts w:ascii="Times New Roman" w:hAnsi="Times New Roman" w:cs="Times New Roman"/>
          <w:sz w:val="24"/>
          <w:szCs w:val="24"/>
          <w:lang w:val="en-GB"/>
        </w:rPr>
        <w:t>,</w:t>
      </w:r>
      <w:r w:rsidRPr="00E9592C">
        <w:rPr>
          <w:rFonts w:ascii="Times New Roman" w:hAnsi="Times New Roman" w:cs="Times New Roman"/>
          <w:sz w:val="24"/>
          <w:szCs w:val="24"/>
          <w:lang w:val="en-GB"/>
        </w:rPr>
        <w:t xml:space="preserve"> as well as the identified entities</w:t>
      </w:r>
      <w:r w:rsidR="002772E2" w:rsidRPr="00E9592C">
        <w:rPr>
          <w:rFonts w:ascii="Times New Roman" w:hAnsi="Times New Roman" w:cs="Times New Roman"/>
          <w:sz w:val="24"/>
          <w:szCs w:val="24"/>
          <w:lang w:val="en-GB"/>
        </w:rPr>
        <w:t>.</w:t>
      </w:r>
      <w:r w:rsidRPr="00E9592C">
        <w:rPr>
          <w:rFonts w:ascii="Times New Roman" w:hAnsi="Times New Roman" w:cs="Times New Roman"/>
          <w:sz w:val="24"/>
          <w:szCs w:val="24"/>
          <w:lang w:val="en-GB"/>
        </w:rPr>
        <w:t xml:space="preserve"> </w:t>
      </w:r>
      <w:r w:rsidR="002772E2" w:rsidRPr="00E9592C">
        <w:rPr>
          <w:rFonts w:ascii="Times New Roman" w:hAnsi="Times New Roman" w:cs="Times New Roman"/>
          <w:sz w:val="24"/>
          <w:szCs w:val="24"/>
          <w:lang w:val="en-GB"/>
        </w:rPr>
        <w:t xml:space="preserve">The Committee, in light of the AGSA remarks, recommends that the Department should insure closer co-operation with the </w:t>
      </w:r>
      <w:r w:rsidR="00145985" w:rsidRPr="00E9592C">
        <w:rPr>
          <w:rFonts w:ascii="Times New Roman" w:hAnsi="Times New Roman" w:cs="Times New Roman"/>
          <w:sz w:val="24"/>
          <w:szCs w:val="24"/>
          <w:lang w:val="en-GB"/>
        </w:rPr>
        <w:t xml:space="preserve">Department, its </w:t>
      </w:r>
      <w:r w:rsidR="002772E2" w:rsidRPr="00E9592C">
        <w:rPr>
          <w:rFonts w:ascii="Times New Roman" w:hAnsi="Times New Roman" w:cs="Times New Roman"/>
          <w:sz w:val="24"/>
          <w:szCs w:val="24"/>
          <w:lang w:val="en-GB"/>
        </w:rPr>
        <w:t xml:space="preserve">entities and the AGSA in order to address these concerns prior to the final audit of the Annual Report, </w:t>
      </w:r>
      <w:r w:rsidRPr="00E9592C">
        <w:rPr>
          <w:rFonts w:ascii="Times New Roman" w:hAnsi="Times New Roman" w:cs="Times New Roman"/>
          <w:sz w:val="24"/>
          <w:szCs w:val="24"/>
          <w:lang w:val="en-GB"/>
        </w:rPr>
        <w:t>and make a presentation to the Committee on the strategy</w:t>
      </w:r>
      <w:r w:rsidR="002772E2" w:rsidRPr="00E9592C">
        <w:rPr>
          <w:rFonts w:ascii="Times New Roman" w:hAnsi="Times New Roman" w:cs="Times New Roman"/>
          <w:sz w:val="24"/>
          <w:szCs w:val="24"/>
          <w:lang w:val="en-GB"/>
        </w:rPr>
        <w:t xml:space="preserve"> proposed</w:t>
      </w:r>
      <w:r w:rsidRPr="00E9592C">
        <w:rPr>
          <w:rFonts w:ascii="Times New Roman" w:hAnsi="Times New Roman" w:cs="Times New Roman"/>
          <w:sz w:val="24"/>
          <w:szCs w:val="24"/>
          <w:lang w:val="en-GB"/>
        </w:rPr>
        <w:t xml:space="preserve"> to implement remedial action which will address these issues.</w:t>
      </w:r>
    </w:p>
    <w:p w:rsidR="002772E2" w:rsidRPr="00E9592C" w:rsidRDefault="002772E2" w:rsidP="00E9592C">
      <w:pPr>
        <w:spacing w:before="120" w:after="120" w:line="240" w:lineRule="auto"/>
        <w:jc w:val="both"/>
        <w:rPr>
          <w:rFonts w:ascii="Times New Roman" w:hAnsi="Times New Roman" w:cs="Times New Roman"/>
          <w:sz w:val="24"/>
          <w:szCs w:val="24"/>
          <w:lang w:val="en-GB"/>
        </w:rPr>
      </w:pPr>
    </w:p>
    <w:p w:rsidR="005B2AE2" w:rsidRPr="00E9592C" w:rsidRDefault="002C221D" w:rsidP="00E9592C">
      <w:pPr>
        <w:spacing w:before="120" w:after="120" w:line="240" w:lineRule="auto"/>
        <w:rPr>
          <w:rFonts w:ascii="Times New Roman" w:hAnsi="Times New Roman" w:cs="Times New Roman"/>
          <w:b/>
          <w:sz w:val="24"/>
          <w:szCs w:val="24"/>
          <w:lang w:val="en-GB"/>
        </w:rPr>
      </w:pPr>
      <w:r w:rsidRPr="00E9592C">
        <w:rPr>
          <w:rFonts w:ascii="Times New Roman" w:hAnsi="Times New Roman" w:cs="Times New Roman"/>
          <w:b/>
          <w:sz w:val="24"/>
          <w:szCs w:val="24"/>
          <w:lang w:val="en-GB"/>
        </w:rPr>
        <w:t xml:space="preserve">5.9 </w:t>
      </w:r>
      <w:r w:rsidRPr="00E9592C">
        <w:rPr>
          <w:rFonts w:ascii="Times New Roman" w:hAnsi="Times New Roman" w:cs="Times New Roman"/>
          <w:b/>
          <w:sz w:val="24"/>
          <w:szCs w:val="24"/>
          <w:lang w:val="en-GB"/>
        </w:rPr>
        <w:tab/>
      </w:r>
      <w:r w:rsidR="00145985" w:rsidRPr="00E9592C">
        <w:rPr>
          <w:rFonts w:ascii="Times New Roman" w:hAnsi="Times New Roman" w:cs="Times New Roman"/>
          <w:b/>
          <w:sz w:val="24"/>
          <w:szCs w:val="24"/>
          <w:lang w:val="en-GB"/>
        </w:rPr>
        <w:t xml:space="preserve">Prioritisation of </w:t>
      </w:r>
      <w:r w:rsidR="005B2AE2" w:rsidRPr="00E9592C">
        <w:rPr>
          <w:rFonts w:ascii="Times New Roman" w:hAnsi="Times New Roman" w:cs="Times New Roman"/>
          <w:b/>
          <w:sz w:val="24"/>
          <w:szCs w:val="24"/>
          <w:lang w:val="en-GB"/>
        </w:rPr>
        <w:t xml:space="preserve">Consequence </w:t>
      </w:r>
      <w:r w:rsidR="008F55A6" w:rsidRPr="00E9592C">
        <w:rPr>
          <w:rFonts w:ascii="Times New Roman" w:hAnsi="Times New Roman" w:cs="Times New Roman"/>
          <w:b/>
          <w:sz w:val="24"/>
          <w:szCs w:val="24"/>
          <w:lang w:val="en-GB"/>
        </w:rPr>
        <w:t>M</w:t>
      </w:r>
      <w:r w:rsidR="005B2AE2" w:rsidRPr="00E9592C">
        <w:rPr>
          <w:rFonts w:ascii="Times New Roman" w:hAnsi="Times New Roman" w:cs="Times New Roman"/>
          <w:b/>
          <w:sz w:val="24"/>
          <w:szCs w:val="24"/>
          <w:lang w:val="en-GB"/>
        </w:rPr>
        <w:t>anagement</w:t>
      </w:r>
    </w:p>
    <w:p w:rsidR="00BF0BC8" w:rsidRPr="00E9592C" w:rsidRDefault="00F51D11" w:rsidP="00E9592C">
      <w:pPr>
        <w:spacing w:before="120" w:after="120" w:line="240" w:lineRule="auto"/>
        <w:jc w:val="both"/>
        <w:rPr>
          <w:rFonts w:ascii="Times New Roman" w:hAnsi="Times New Roman" w:cs="Times New Roman"/>
          <w:sz w:val="24"/>
          <w:szCs w:val="24"/>
          <w:lang w:val="en-GB"/>
        </w:rPr>
      </w:pPr>
      <w:r w:rsidRPr="00E9592C">
        <w:rPr>
          <w:rFonts w:ascii="Times New Roman" w:hAnsi="Times New Roman" w:cs="Times New Roman"/>
          <w:sz w:val="24"/>
          <w:szCs w:val="24"/>
          <w:lang w:val="en-GB"/>
        </w:rPr>
        <w:t>The Department should present an oversight plan to the Committee which it will implement over the entities to ensure that consequence management is implemented. It should further present on consequence management which it will be implementing internally on a quarterly basis.</w:t>
      </w:r>
    </w:p>
    <w:p w:rsidR="00145985" w:rsidRPr="00E9592C" w:rsidRDefault="00145985" w:rsidP="00E9592C">
      <w:pPr>
        <w:spacing w:before="120" w:after="120" w:line="240" w:lineRule="auto"/>
        <w:jc w:val="both"/>
        <w:rPr>
          <w:rFonts w:ascii="Times New Roman" w:hAnsi="Times New Roman" w:cs="Times New Roman"/>
          <w:sz w:val="24"/>
          <w:szCs w:val="24"/>
          <w:lang w:val="en-GB"/>
        </w:rPr>
      </w:pPr>
    </w:p>
    <w:p w:rsidR="00BF0BC8" w:rsidRPr="00E9592C" w:rsidRDefault="00145985" w:rsidP="00E9592C">
      <w:pPr>
        <w:spacing w:before="120" w:after="120" w:line="240" w:lineRule="auto"/>
        <w:rPr>
          <w:rFonts w:ascii="Times New Roman" w:hAnsi="Times New Roman" w:cs="Times New Roman"/>
          <w:sz w:val="24"/>
          <w:szCs w:val="24"/>
          <w:lang w:val="en-GB"/>
        </w:rPr>
      </w:pPr>
      <w:r w:rsidRPr="00E9592C">
        <w:rPr>
          <w:rFonts w:ascii="Times New Roman" w:hAnsi="Times New Roman" w:cs="Times New Roman"/>
          <w:sz w:val="24"/>
          <w:szCs w:val="24"/>
          <w:lang w:val="en-GB"/>
        </w:rPr>
        <w:t>Report to be considered.</w:t>
      </w:r>
    </w:p>
    <w:p w:rsidR="00BF0BC8" w:rsidRPr="00E9592C" w:rsidRDefault="00BF0BC8" w:rsidP="00E9592C">
      <w:pPr>
        <w:spacing w:before="120" w:after="120" w:line="240" w:lineRule="auto"/>
        <w:rPr>
          <w:rFonts w:ascii="Times New Roman" w:hAnsi="Times New Roman" w:cs="Times New Roman"/>
          <w:sz w:val="24"/>
          <w:szCs w:val="24"/>
          <w:lang w:val="en-GB"/>
        </w:rPr>
      </w:pPr>
    </w:p>
    <w:p w:rsidR="00BF0BC8" w:rsidRPr="00E9592C" w:rsidRDefault="00BF0BC8" w:rsidP="00E9592C">
      <w:pPr>
        <w:spacing w:before="120" w:after="120" w:line="240" w:lineRule="auto"/>
        <w:rPr>
          <w:rFonts w:ascii="Times New Roman" w:hAnsi="Times New Roman" w:cs="Times New Roman"/>
          <w:sz w:val="24"/>
          <w:szCs w:val="24"/>
          <w:lang w:val="en-GB"/>
        </w:rPr>
      </w:pPr>
    </w:p>
    <w:p w:rsidR="00FD382A" w:rsidRPr="00E9592C" w:rsidRDefault="00FD382A" w:rsidP="00E9592C">
      <w:pPr>
        <w:spacing w:before="120" w:after="120" w:line="240" w:lineRule="auto"/>
        <w:rPr>
          <w:rFonts w:ascii="Times New Roman" w:hAnsi="Times New Roman" w:cs="Times New Roman"/>
          <w:sz w:val="24"/>
          <w:szCs w:val="24"/>
          <w:lang w:val="en-GB"/>
        </w:rPr>
      </w:pPr>
    </w:p>
    <w:p w:rsidR="00FD382A" w:rsidRPr="00E9592C" w:rsidRDefault="00FD382A" w:rsidP="00E9592C">
      <w:pPr>
        <w:spacing w:before="120" w:after="120" w:line="240" w:lineRule="auto"/>
        <w:rPr>
          <w:rFonts w:ascii="Times New Roman" w:hAnsi="Times New Roman" w:cs="Times New Roman"/>
          <w:sz w:val="24"/>
          <w:szCs w:val="24"/>
          <w:lang w:val="en-GB"/>
        </w:rPr>
      </w:pPr>
    </w:p>
    <w:p w:rsidR="00BF0BC8" w:rsidRPr="00E9592C" w:rsidRDefault="00BF0BC8" w:rsidP="00E9592C">
      <w:pPr>
        <w:spacing w:before="120" w:after="120" w:line="240" w:lineRule="auto"/>
        <w:rPr>
          <w:rFonts w:ascii="Times New Roman" w:hAnsi="Times New Roman" w:cs="Times New Roman"/>
          <w:sz w:val="24"/>
          <w:szCs w:val="24"/>
          <w:lang w:val="en-GB"/>
        </w:rPr>
      </w:pPr>
    </w:p>
    <w:p w:rsidR="00BF0BC8" w:rsidRPr="00E9592C" w:rsidRDefault="00BF0BC8" w:rsidP="00E9592C">
      <w:pPr>
        <w:spacing w:before="120" w:after="120" w:line="240" w:lineRule="auto"/>
        <w:rPr>
          <w:rFonts w:ascii="Times New Roman" w:hAnsi="Times New Roman" w:cs="Times New Roman"/>
          <w:sz w:val="24"/>
          <w:szCs w:val="24"/>
          <w:lang w:val="en-GB"/>
        </w:rPr>
      </w:pPr>
    </w:p>
    <w:sectPr w:rsidR="00BF0BC8" w:rsidRPr="00E9592C" w:rsidSect="00691514">
      <w:head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38" w:rsidRDefault="00486938" w:rsidP="00E457CE">
      <w:pPr>
        <w:spacing w:after="0" w:line="240" w:lineRule="auto"/>
      </w:pPr>
      <w:r>
        <w:separator/>
      </w:r>
    </w:p>
  </w:endnote>
  <w:endnote w:type="continuationSeparator" w:id="0">
    <w:p w:rsidR="00486938" w:rsidRDefault="00486938" w:rsidP="00E4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pple Butter"/>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48269"/>
      <w:docPartObj>
        <w:docPartGallery w:val="Page Numbers (Bottom of Page)"/>
        <w:docPartUnique/>
      </w:docPartObj>
    </w:sdtPr>
    <w:sdtEndPr>
      <w:rPr>
        <w:noProof/>
      </w:rPr>
    </w:sdtEndPr>
    <w:sdtContent>
      <w:p w:rsidR="00470B6B" w:rsidRDefault="00470B6B">
        <w:pPr>
          <w:pStyle w:val="Footer"/>
        </w:pPr>
        <w:r>
          <w:fldChar w:fldCharType="begin"/>
        </w:r>
        <w:r>
          <w:instrText xml:space="preserve"> PAGE   \* MERGEFORMAT </w:instrText>
        </w:r>
        <w:r>
          <w:fldChar w:fldCharType="separate"/>
        </w:r>
        <w:r w:rsidR="00D52E65">
          <w:rPr>
            <w:noProof/>
          </w:rPr>
          <w:t>1</w:t>
        </w:r>
        <w:r>
          <w:rPr>
            <w:noProof/>
          </w:rPr>
          <w:fldChar w:fldCharType="end"/>
        </w:r>
      </w:p>
    </w:sdtContent>
  </w:sdt>
  <w:p w:rsidR="00470B6B" w:rsidRDefault="00470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38" w:rsidRDefault="00486938" w:rsidP="00E457CE">
      <w:pPr>
        <w:spacing w:after="0" w:line="240" w:lineRule="auto"/>
      </w:pPr>
      <w:r>
        <w:separator/>
      </w:r>
    </w:p>
  </w:footnote>
  <w:footnote w:type="continuationSeparator" w:id="0">
    <w:p w:rsidR="00486938" w:rsidRDefault="00486938" w:rsidP="00E4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6B" w:rsidRDefault="00D52E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Calibri&quot;;font-size:1pt" string="first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90337"/>
    <w:multiLevelType w:val="multilevel"/>
    <w:tmpl w:val="7F1CE39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23B62D8F"/>
    <w:multiLevelType w:val="hybridMultilevel"/>
    <w:tmpl w:val="BA8AE416"/>
    <w:lvl w:ilvl="0" w:tplc="CF489E48">
      <w:start w:val="1"/>
      <w:numFmt w:val="decimal"/>
      <w:lvlText w:val="%1."/>
      <w:lvlJc w:val="left"/>
      <w:pPr>
        <w:ind w:left="-66" w:hanging="360"/>
      </w:pPr>
      <w:rPr>
        <w:rFonts w:hint="default"/>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2">
    <w:nsid w:val="28353638"/>
    <w:multiLevelType w:val="hybridMultilevel"/>
    <w:tmpl w:val="9E12BB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321221D1"/>
    <w:multiLevelType w:val="hybridMultilevel"/>
    <w:tmpl w:val="2FF402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690B1843"/>
    <w:multiLevelType w:val="multilevel"/>
    <w:tmpl w:val="95E2A8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28"/>
    <w:rsid w:val="00016AC4"/>
    <w:rsid w:val="00040324"/>
    <w:rsid w:val="000658F0"/>
    <w:rsid w:val="00093BF0"/>
    <w:rsid w:val="000A3512"/>
    <w:rsid w:val="000C5A74"/>
    <w:rsid w:val="00100D81"/>
    <w:rsid w:val="00126C93"/>
    <w:rsid w:val="0013166B"/>
    <w:rsid w:val="0013695A"/>
    <w:rsid w:val="00145985"/>
    <w:rsid w:val="001818AF"/>
    <w:rsid w:val="001A38C4"/>
    <w:rsid w:val="001B64DE"/>
    <w:rsid w:val="001C0084"/>
    <w:rsid w:val="001C71A7"/>
    <w:rsid w:val="00245603"/>
    <w:rsid w:val="00250C48"/>
    <w:rsid w:val="0025769E"/>
    <w:rsid w:val="00260063"/>
    <w:rsid w:val="002613F4"/>
    <w:rsid w:val="00262EB8"/>
    <w:rsid w:val="00270B4C"/>
    <w:rsid w:val="00275817"/>
    <w:rsid w:val="002772E2"/>
    <w:rsid w:val="002C221D"/>
    <w:rsid w:val="002D2996"/>
    <w:rsid w:val="002D4835"/>
    <w:rsid w:val="002D639A"/>
    <w:rsid w:val="003010FE"/>
    <w:rsid w:val="00323552"/>
    <w:rsid w:val="0037470A"/>
    <w:rsid w:val="0039130D"/>
    <w:rsid w:val="003A286E"/>
    <w:rsid w:val="003B520B"/>
    <w:rsid w:val="003C7982"/>
    <w:rsid w:val="003E30DE"/>
    <w:rsid w:val="003E464E"/>
    <w:rsid w:val="00430305"/>
    <w:rsid w:val="00437CC7"/>
    <w:rsid w:val="00466BF4"/>
    <w:rsid w:val="00470B6B"/>
    <w:rsid w:val="00471B4C"/>
    <w:rsid w:val="00486938"/>
    <w:rsid w:val="004A4EFF"/>
    <w:rsid w:val="004D11E2"/>
    <w:rsid w:val="00502B17"/>
    <w:rsid w:val="00503532"/>
    <w:rsid w:val="0050465C"/>
    <w:rsid w:val="00512F36"/>
    <w:rsid w:val="005164FA"/>
    <w:rsid w:val="00516CC6"/>
    <w:rsid w:val="0055126E"/>
    <w:rsid w:val="005767C7"/>
    <w:rsid w:val="005819CE"/>
    <w:rsid w:val="0059161F"/>
    <w:rsid w:val="005A0D9D"/>
    <w:rsid w:val="005B2AE2"/>
    <w:rsid w:val="005E0337"/>
    <w:rsid w:val="005F4F4D"/>
    <w:rsid w:val="00603CC1"/>
    <w:rsid w:val="00614EFE"/>
    <w:rsid w:val="00626A71"/>
    <w:rsid w:val="00641806"/>
    <w:rsid w:val="006571BF"/>
    <w:rsid w:val="00672B13"/>
    <w:rsid w:val="00691514"/>
    <w:rsid w:val="00696B6F"/>
    <w:rsid w:val="006A0141"/>
    <w:rsid w:val="006A63C9"/>
    <w:rsid w:val="006C080A"/>
    <w:rsid w:val="006E2B13"/>
    <w:rsid w:val="006E7409"/>
    <w:rsid w:val="0071368D"/>
    <w:rsid w:val="007161A8"/>
    <w:rsid w:val="007166E0"/>
    <w:rsid w:val="00726C77"/>
    <w:rsid w:val="00730060"/>
    <w:rsid w:val="00733135"/>
    <w:rsid w:val="00745DDB"/>
    <w:rsid w:val="007641F1"/>
    <w:rsid w:val="00764A45"/>
    <w:rsid w:val="0076598B"/>
    <w:rsid w:val="00782104"/>
    <w:rsid w:val="0078509D"/>
    <w:rsid w:val="007941E4"/>
    <w:rsid w:val="007A56D6"/>
    <w:rsid w:val="007B7F6A"/>
    <w:rsid w:val="007C0BFD"/>
    <w:rsid w:val="007C64C0"/>
    <w:rsid w:val="007D7DB1"/>
    <w:rsid w:val="007E38A3"/>
    <w:rsid w:val="0082420F"/>
    <w:rsid w:val="008413E3"/>
    <w:rsid w:val="00856028"/>
    <w:rsid w:val="00860D89"/>
    <w:rsid w:val="00882327"/>
    <w:rsid w:val="008B04EB"/>
    <w:rsid w:val="008C1D15"/>
    <w:rsid w:val="008C5A5D"/>
    <w:rsid w:val="008F55A6"/>
    <w:rsid w:val="009204F7"/>
    <w:rsid w:val="00930148"/>
    <w:rsid w:val="009541A8"/>
    <w:rsid w:val="009A01C0"/>
    <w:rsid w:val="009F106B"/>
    <w:rsid w:val="00A12978"/>
    <w:rsid w:val="00A266D4"/>
    <w:rsid w:val="00A65428"/>
    <w:rsid w:val="00A67BC5"/>
    <w:rsid w:val="00A94047"/>
    <w:rsid w:val="00A9453F"/>
    <w:rsid w:val="00A9479C"/>
    <w:rsid w:val="00AB296E"/>
    <w:rsid w:val="00AE3D3B"/>
    <w:rsid w:val="00B23D6B"/>
    <w:rsid w:val="00B32AC6"/>
    <w:rsid w:val="00B416C5"/>
    <w:rsid w:val="00B679ED"/>
    <w:rsid w:val="00BA025E"/>
    <w:rsid w:val="00BA342D"/>
    <w:rsid w:val="00BB5CF9"/>
    <w:rsid w:val="00BE22E9"/>
    <w:rsid w:val="00BF0BC8"/>
    <w:rsid w:val="00C0327A"/>
    <w:rsid w:val="00C04570"/>
    <w:rsid w:val="00C27FD2"/>
    <w:rsid w:val="00C42117"/>
    <w:rsid w:val="00C56772"/>
    <w:rsid w:val="00C56CAD"/>
    <w:rsid w:val="00C63FE9"/>
    <w:rsid w:val="00C861D6"/>
    <w:rsid w:val="00CA1745"/>
    <w:rsid w:val="00CA6925"/>
    <w:rsid w:val="00CC53DC"/>
    <w:rsid w:val="00CC5A79"/>
    <w:rsid w:val="00CC6358"/>
    <w:rsid w:val="00D104D0"/>
    <w:rsid w:val="00D162C8"/>
    <w:rsid w:val="00D17DCC"/>
    <w:rsid w:val="00D456FB"/>
    <w:rsid w:val="00D52E65"/>
    <w:rsid w:val="00D71D16"/>
    <w:rsid w:val="00D850C7"/>
    <w:rsid w:val="00D8772C"/>
    <w:rsid w:val="00E12207"/>
    <w:rsid w:val="00E202AB"/>
    <w:rsid w:val="00E3159D"/>
    <w:rsid w:val="00E333BD"/>
    <w:rsid w:val="00E457CE"/>
    <w:rsid w:val="00E854BA"/>
    <w:rsid w:val="00E9592C"/>
    <w:rsid w:val="00EC456D"/>
    <w:rsid w:val="00EC50B5"/>
    <w:rsid w:val="00ED31D0"/>
    <w:rsid w:val="00ED604F"/>
    <w:rsid w:val="00EF61D3"/>
    <w:rsid w:val="00EF6D83"/>
    <w:rsid w:val="00F26F4B"/>
    <w:rsid w:val="00F31756"/>
    <w:rsid w:val="00F35E80"/>
    <w:rsid w:val="00F519E2"/>
    <w:rsid w:val="00F51D11"/>
    <w:rsid w:val="00FA74F3"/>
    <w:rsid w:val="00FB05B1"/>
    <w:rsid w:val="00FC7D7B"/>
    <w:rsid w:val="00FD382A"/>
    <w:rsid w:val="00FD3A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7CE"/>
  </w:style>
  <w:style w:type="paragraph" w:styleId="Footer">
    <w:name w:val="footer"/>
    <w:basedOn w:val="Normal"/>
    <w:link w:val="FooterChar"/>
    <w:uiPriority w:val="99"/>
    <w:unhideWhenUsed/>
    <w:rsid w:val="00E45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7CE"/>
  </w:style>
  <w:style w:type="table" w:styleId="TableGrid">
    <w:name w:val="Table Grid"/>
    <w:basedOn w:val="TableNormal"/>
    <w:rsid w:val="00E4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1,fn Char"/>
    <w:basedOn w:val="Normal"/>
    <w:link w:val="FootnoteTextChar"/>
    <w:unhideWhenUsed/>
    <w:rsid w:val="00691514"/>
    <w:pPr>
      <w:spacing w:after="0" w:line="240" w:lineRule="auto"/>
      <w:jc w:val="both"/>
    </w:pPr>
    <w:rPr>
      <w:rFonts w:ascii="Arial" w:hAnsi="Arial"/>
      <w:sz w:val="20"/>
      <w:szCs w:val="20"/>
      <w:lang w:val="en-GB"/>
    </w:rPr>
  </w:style>
  <w:style w:type="character" w:customStyle="1" w:styleId="FootnoteTextChar">
    <w:name w:val="Footnote Text Char"/>
    <w:aliases w:val="Footnote Text Char Char Char,Footnote Text Char1 Char,fn Char Char"/>
    <w:basedOn w:val="DefaultParagraphFont"/>
    <w:link w:val="FootnoteText"/>
    <w:rsid w:val="00691514"/>
    <w:rPr>
      <w:rFonts w:ascii="Arial" w:hAnsi="Arial"/>
      <w:sz w:val="20"/>
      <w:szCs w:val="20"/>
      <w:lang w:val="en-GB"/>
    </w:rPr>
  </w:style>
  <w:style w:type="character" w:styleId="FootnoteReference">
    <w:name w:val="footnote reference"/>
    <w:basedOn w:val="DefaultParagraphFont"/>
    <w:unhideWhenUsed/>
    <w:rsid w:val="00691514"/>
    <w:rPr>
      <w:vertAlign w:val="superscript"/>
    </w:rPr>
  </w:style>
  <w:style w:type="paragraph" w:styleId="ListParagraph">
    <w:name w:val="List Paragraph"/>
    <w:basedOn w:val="Normal"/>
    <w:uiPriority w:val="34"/>
    <w:qFormat/>
    <w:rsid w:val="00437CC7"/>
    <w:pPr>
      <w:ind w:left="720"/>
      <w:contextualSpacing/>
    </w:pPr>
  </w:style>
  <w:style w:type="paragraph" w:styleId="Revision">
    <w:name w:val="Revision"/>
    <w:hidden/>
    <w:uiPriority w:val="99"/>
    <w:semiHidden/>
    <w:rsid w:val="00696B6F"/>
    <w:pPr>
      <w:spacing w:after="0" w:line="240" w:lineRule="auto"/>
    </w:pPr>
  </w:style>
  <w:style w:type="paragraph" w:styleId="BalloonText">
    <w:name w:val="Balloon Text"/>
    <w:basedOn w:val="Normal"/>
    <w:link w:val="BalloonTextChar"/>
    <w:uiPriority w:val="99"/>
    <w:semiHidden/>
    <w:unhideWhenUsed/>
    <w:rsid w:val="00696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B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7CE"/>
  </w:style>
  <w:style w:type="paragraph" w:styleId="Footer">
    <w:name w:val="footer"/>
    <w:basedOn w:val="Normal"/>
    <w:link w:val="FooterChar"/>
    <w:uiPriority w:val="99"/>
    <w:unhideWhenUsed/>
    <w:rsid w:val="00E45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7CE"/>
  </w:style>
  <w:style w:type="table" w:styleId="TableGrid">
    <w:name w:val="Table Grid"/>
    <w:basedOn w:val="TableNormal"/>
    <w:rsid w:val="00E4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1,fn Char"/>
    <w:basedOn w:val="Normal"/>
    <w:link w:val="FootnoteTextChar"/>
    <w:unhideWhenUsed/>
    <w:rsid w:val="00691514"/>
    <w:pPr>
      <w:spacing w:after="0" w:line="240" w:lineRule="auto"/>
      <w:jc w:val="both"/>
    </w:pPr>
    <w:rPr>
      <w:rFonts w:ascii="Arial" w:hAnsi="Arial"/>
      <w:sz w:val="20"/>
      <w:szCs w:val="20"/>
      <w:lang w:val="en-GB"/>
    </w:rPr>
  </w:style>
  <w:style w:type="character" w:customStyle="1" w:styleId="FootnoteTextChar">
    <w:name w:val="Footnote Text Char"/>
    <w:aliases w:val="Footnote Text Char Char Char,Footnote Text Char1 Char,fn Char Char"/>
    <w:basedOn w:val="DefaultParagraphFont"/>
    <w:link w:val="FootnoteText"/>
    <w:rsid w:val="00691514"/>
    <w:rPr>
      <w:rFonts w:ascii="Arial" w:hAnsi="Arial"/>
      <w:sz w:val="20"/>
      <w:szCs w:val="20"/>
      <w:lang w:val="en-GB"/>
    </w:rPr>
  </w:style>
  <w:style w:type="character" w:styleId="FootnoteReference">
    <w:name w:val="footnote reference"/>
    <w:basedOn w:val="DefaultParagraphFont"/>
    <w:unhideWhenUsed/>
    <w:rsid w:val="00691514"/>
    <w:rPr>
      <w:vertAlign w:val="superscript"/>
    </w:rPr>
  </w:style>
  <w:style w:type="paragraph" w:styleId="ListParagraph">
    <w:name w:val="List Paragraph"/>
    <w:basedOn w:val="Normal"/>
    <w:uiPriority w:val="34"/>
    <w:qFormat/>
    <w:rsid w:val="00437CC7"/>
    <w:pPr>
      <w:ind w:left="720"/>
      <w:contextualSpacing/>
    </w:pPr>
  </w:style>
  <w:style w:type="paragraph" w:styleId="Revision">
    <w:name w:val="Revision"/>
    <w:hidden/>
    <w:uiPriority w:val="99"/>
    <w:semiHidden/>
    <w:rsid w:val="00696B6F"/>
    <w:pPr>
      <w:spacing w:after="0" w:line="240" w:lineRule="auto"/>
    </w:pPr>
  </w:style>
  <w:style w:type="paragraph" w:styleId="BalloonText">
    <w:name w:val="Balloon Text"/>
    <w:basedOn w:val="Normal"/>
    <w:link w:val="BalloonTextChar"/>
    <w:uiPriority w:val="99"/>
    <w:semiHidden/>
    <w:unhideWhenUsed/>
    <w:rsid w:val="00696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7419">
      <w:bodyDiv w:val="1"/>
      <w:marLeft w:val="0"/>
      <w:marRight w:val="0"/>
      <w:marTop w:val="0"/>
      <w:marBottom w:val="0"/>
      <w:divBdr>
        <w:top w:val="none" w:sz="0" w:space="0" w:color="auto"/>
        <w:left w:val="none" w:sz="0" w:space="0" w:color="auto"/>
        <w:bottom w:val="none" w:sz="0" w:space="0" w:color="auto"/>
        <w:right w:val="none" w:sz="0" w:space="0" w:color="auto"/>
      </w:divBdr>
    </w:div>
    <w:div w:id="259067567">
      <w:bodyDiv w:val="1"/>
      <w:marLeft w:val="0"/>
      <w:marRight w:val="0"/>
      <w:marTop w:val="0"/>
      <w:marBottom w:val="0"/>
      <w:divBdr>
        <w:top w:val="none" w:sz="0" w:space="0" w:color="auto"/>
        <w:left w:val="none" w:sz="0" w:space="0" w:color="auto"/>
        <w:bottom w:val="none" w:sz="0" w:space="0" w:color="auto"/>
        <w:right w:val="none" w:sz="0" w:space="0" w:color="auto"/>
      </w:divBdr>
    </w:div>
    <w:div w:id="341517471">
      <w:bodyDiv w:val="1"/>
      <w:marLeft w:val="0"/>
      <w:marRight w:val="0"/>
      <w:marTop w:val="0"/>
      <w:marBottom w:val="0"/>
      <w:divBdr>
        <w:top w:val="none" w:sz="0" w:space="0" w:color="auto"/>
        <w:left w:val="none" w:sz="0" w:space="0" w:color="auto"/>
        <w:bottom w:val="none" w:sz="0" w:space="0" w:color="auto"/>
        <w:right w:val="none" w:sz="0" w:space="0" w:color="auto"/>
      </w:divBdr>
    </w:div>
    <w:div w:id="588972848">
      <w:bodyDiv w:val="1"/>
      <w:marLeft w:val="0"/>
      <w:marRight w:val="0"/>
      <w:marTop w:val="0"/>
      <w:marBottom w:val="0"/>
      <w:divBdr>
        <w:top w:val="none" w:sz="0" w:space="0" w:color="auto"/>
        <w:left w:val="none" w:sz="0" w:space="0" w:color="auto"/>
        <w:bottom w:val="none" w:sz="0" w:space="0" w:color="auto"/>
        <w:right w:val="none" w:sz="0" w:space="0" w:color="auto"/>
      </w:divBdr>
    </w:div>
    <w:div w:id="1030257765">
      <w:bodyDiv w:val="1"/>
      <w:marLeft w:val="0"/>
      <w:marRight w:val="0"/>
      <w:marTop w:val="0"/>
      <w:marBottom w:val="0"/>
      <w:divBdr>
        <w:top w:val="none" w:sz="0" w:space="0" w:color="auto"/>
        <w:left w:val="none" w:sz="0" w:space="0" w:color="auto"/>
        <w:bottom w:val="none" w:sz="0" w:space="0" w:color="auto"/>
        <w:right w:val="none" w:sz="0" w:space="0" w:color="auto"/>
      </w:divBdr>
    </w:div>
    <w:div w:id="1206021802">
      <w:bodyDiv w:val="1"/>
      <w:marLeft w:val="0"/>
      <w:marRight w:val="0"/>
      <w:marTop w:val="0"/>
      <w:marBottom w:val="0"/>
      <w:divBdr>
        <w:top w:val="none" w:sz="0" w:space="0" w:color="auto"/>
        <w:left w:val="none" w:sz="0" w:space="0" w:color="auto"/>
        <w:bottom w:val="none" w:sz="0" w:space="0" w:color="auto"/>
        <w:right w:val="none" w:sz="0" w:space="0" w:color="auto"/>
      </w:divBdr>
    </w:div>
    <w:div w:id="1240678600">
      <w:bodyDiv w:val="1"/>
      <w:marLeft w:val="0"/>
      <w:marRight w:val="0"/>
      <w:marTop w:val="0"/>
      <w:marBottom w:val="0"/>
      <w:divBdr>
        <w:top w:val="none" w:sz="0" w:space="0" w:color="auto"/>
        <w:left w:val="none" w:sz="0" w:space="0" w:color="auto"/>
        <w:bottom w:val="none" w:sz="0" w:space="0" w:color="auto"/>
        <w:right w:val="none" w:sz="0" w:space="0" w:color="auto"/>
      </w:divBdr>
    </w:div>
    <w:div w:id="1392656354">
      <w:bodyDiv w:val="1"/>
      <w:marLeft w:val="0"/>
      <w:marRight w:val="0"/>
      <w:marTop w:val="0"/>
      <w:marBottom w:val="0"/>
      <w:divBdr>
        <w:top w:val="none" w:sz="0" w:space="0" w:color="auto"/>
        <w:left w:val="none" w:sz="0" w:space="0" w:color="auto"/>
        <w:bottom w:val="none" w:sz="0" w:space="0" w:color="auto"/>
        <w:right w:val="none" w:sz="0" w:space="0" w:color="auto"/>
      </w:divBdr>
    </w:div>
    <w:div w:id="19271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D6D0-997C-43D6-AF7F-C074637F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4707</Words>
  <Characters>26831</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31476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Asanda</cp:lastModifiedBy>
  <cp:revision>2</cp:revision>
  <dcterms:created xsi:type="dcterms:W3CDTF">2017-05-19T09:01:00Z</dcterms:created>
  <dcterms:modified xsi:type="dcterms:W3CDTF">2017-05-19T09:01:00Z</dcterms:modified>
</cp:coreProperties>
</file>