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EA3F" w14:textId="77777777" w:rsidR="00D2427D" w:rsidRPr="00D2427D" w:rsidRDefault="00B67F9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 wp14:anchorId="55544AE9" wp14:editId="1DCAA570">
            <wp:extent cx="952500" cy="965200"/>
            <wp:effectExtent l="0" t="0" r="0" b="635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381F" w14:textId="77777777"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14:paraId="0804D0CF" w14:textId="77777777"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3BCB5CFB" w14:textId="77777777"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03BAE37A" w14:textId="77777777"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3B56E14" w14:textId="14D77153" w:rsidR="0091086F" w:rsidRDefault="00A1399B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14:paraId="524CB5EE" w14:textId="77777777" w:rsidR="00F916D5" w:rsidRPr="008E38A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8E38AA">
        <w:rPr>
          <w:rFonts w:ascii="Arial" w:hAnsi="Arial" w:cs="Arial"/>
          <w:b/>
          <w:bCs/>
          <w:lang w:val="en-GB"/>
        </w:rPr>
        <w:t>FOR WRITTEN REPLY</w:t>
      </w:r>
    </w:p>
    <w:p w14:paraId="63EC3BEF" w14:textId="00525B5E" w:rsidR="00F916D5" w:rsidRPr="008E38A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8E38AA">
        <w:rPr>
          <w:rFonts w:ascii="Arial" w:hAnsi="Arial" w:cs="Arial"/>
          <w:b/>
          <w:bCs/>
          <w:lang w:val="en-GB"/>
        </w:rPr>
        <w:t xml:space="preserve">QUESTION </w:t>
      </w:r>
      <w:r w:rsidRPr="00FE41EA">
        <w:rPr>
          <w:rFonts w:ascii="Arial" w:hAnsi="Arial" w:cs="Arial"/>
          <w:b/>
          <w:bCs/>
          <w:lang w:val="en-GB"/>
        </w:rPr>
        <w:t xml:space="preserve">NUMBER </w:t>
      </w:r>
      <w:r w:rsidR="00FE41EA" w:rsidRPr="003F05C1">
        <w:rPr>
          <w:rFonts w:ascii="Arial" w:hAnsi="Arial" w:cs="Arial"/>
          <w:b/>
        </w:rPr>
        <w:t>PQ201</w:t>
      </w:r>
      <w:r w:rsidR="00C93389">
        <w:rPr>
          <w:rFonts w:ascii="Arial" w:hAnsi="Arial" w:cs="Arial"/>
          <w:b/>
        </w:rPr>
        <w:t>7</w:t>
      </w:r>
      <w:r w:rsidR="00FE41EA" w:rsidRPr="003F05C1">
        <w:rPr>
          <w:rFonts w:ascii="Arial" w:hAnsi="Arial" w:cs="Arial"/>
          <w:b/>
        </w:rPr>
        <w:t>/</w:t>
      </w:r>
      <w:r w:rsidR="00C93389">
        <w:rPr>
          <w:rFonts w:ascii="Arial" w:hAnsi="Arial" w:cs="Arial"/>
          <w:b/>
        </w:rPr>
        <w:t>87</w:t>
      </w:r>
      <w:r w:rsidR="007833FC">
        <w:rPr>
          <w:rFonts w:ascii="Arial" w:hAnsi="Arial" w:cs="Arial"/>
          <w:b/>
        </w:rPr>
        <w:t>1</w:t>
      </w:r>
    </w:p>
    <w:p w14:paraId="78C41CCF" w14:textId="4F434480" w:rsidR="00542AD1" w:rsidRPr="004B3FF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9E5DF1">
        <w:rPr>
          <w:rFonts w:ascii="Arial" w:hAnsi="Arial" w:cs="Arial"/>
          <w:b/>
          <w:bCs/>
          <w:lang w:val="en-GB"/>
        </w:rPr>
        <w:t>3</w:t>
      </w:r>
      <w:r w:rsidR="00FE41EA">
        <w:rPr>
          <w:rFonts w:ascii="Arial" w:hAnsi="Arial" w:cs="Arial"/>
          <w:b/>
          <w:bCs/>
          <w:lang w:val="en-GB"/>
        </w:rPr>
        <w:t>1</w:t>
      </w:r>
      <w:r w:rsidR="009E5DF1">
        <w:rPr>
          <w:rFonts w:ascii="Arial" w:hAnsi="Arial" w:cs="Arial"/>
          <w:b/>
          <w:bCs/>
          <w:lang w:val="en-GB"/>
        </w:rPr>
        <w:t xml:space="preserve"> </w:t>
      </w:r>
      <w:r w:rsidR="00CD36BF">
        <w:rPr>
          <w:rFonts w:ascii="Arial" w:hAnsi="Arial" w:cs="Arial"/>
          <w:b/>
          <w:bCs/>
          <w:lang w:val="en-GB"/>
        </w:rPr>
        <w:t>MARCH</w:t>
      </w:r>
      <w:r w:rsidR="00FE41EA">
        <w:rPr>
          <w:rFonts w:ascii="Arial" w:hAnsi="Arial" w:cs="Arial"/>
          <w:b/>
          <w:bCs/>
          <w:lang w:val="en-GB"/>
        </w:rPr>
        <w:t xml:space="preserve"> </w:t>
      </w:r>
      <w:r w:rsidR="00682E9B">
        <w:rPr>
          <w:rFonts w:ascii="Arial" w:hAnsi="Arial" w:cs="Arial"/>
          <w:b/>
          <w:bCs/>
          <w:lang w:val="en-GB"/>
        </w:rPr>
        <w:t>201</w:t>
      </w:r>
      <w:r w:rsidR="009E5DF1">
        <w:rPr>
          <w:rFonts w:ascii="Arial" w:hAnsi="Arial" w:cs="Arial"/>
          <w:b/>
          <w:bCs/>
          <w:lang w:val="en-GB"/>
        </w:rPr>
        <w:t>7</w:t>
      </w:r>
    </w:p>
    <w:p w14:paraId="16921B00" w14:textId="5F4EF2CD" w:rsidR="004B3FFB" w:rsidRDefault="004B3FFB" w:rsidP="00781D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14E2225A" w14:textId="77777777" w:rsidR="009E5DF1" w:rsidRPr="009026BD" w:rsidRDefault="009E5DF1" w:rsidP="009E5DF1">
      <w:pPr>
        <w:spacing w:after="267" w:line="249" w:lineRule="auto"/>
        <w:ind w:left="818" w:hanging="720"/>
        <w:rPr>
          <w:rFonts w:ascii="Arial" w:hAnsi="Arial" w:cs="Arial"/>
          <w:b/>
          <w:bCs/>
        </w:rPr>
      </w:pPr>
    </w:p>
    <w:p w14:paraId="3BC54573" w14:textId="77125209" w:rsidR="009E5DF1" w:rsidRPr="009026BD" w:rsidRDefault="009E5DF1" w:rsidP="009E5DF1">
      <w:pPr>
        <w:spacing w:after="267" w:line="249" w:lineRule="auto"/>
        <w:ind w:left="818" w:hanging="720"/>
        <w:rPr>
          <w:rFonts w:ascii="Arial" w:hAnsi="Arial" w:cs="Arial"/>
        </w:rPr>
      </w:pPr>
      <w:r w:rsidRPr="009026BD">
        <w:rPr>
          <w:rFonts w:ascii="Arial" w:hAnsi="Arial" w:cs="Arial"/>
          <w:b/>
          <w:bCs/>
        </w:rPr>
        <w:t xml:space="preserve">Mr M Waters </w:t>
      </w:r>
      <w:r w:rsidRPr="009026BD">
        <w:rPr>
          <w:rFonts w:ascii="Arial" w:hAnsi="Arial" w:cs="Arial"/>
          <w:b/>
        </w:rPr>
        <w:t>(DA) to ask the Minister of Cooperative Governance and Traditional Affairs:</w:t>
      </w:r>
    </w:p>
    <w:p w14:paraId="1A062425" w14:textId="77777777" w:rsidR="009E5DF1" w:rsidRPr="009026BD" w:rsidRDefault="009E5DF1" w:rsidP="00D3523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</w:rPr>
      </w:pPr>
      <w:r w:rsidRPr="009026BD">
        <w:rPr>
          <w:rFonts w:ascii="Arial" w:hAnsi="Arial" w:cs="Arial"/>
        </w:rPr>
        <w:t>(1)</w:t>
      </w:r>
      <w:r w:rsidRPr="009026BD">
        <w:rPr>
          <w:rFonts w:ascii="Arial" w:hAnsi="Arial" w:cs="Arial"/>
        </w:rPr>
        <w:tab/>
        <w:t xml:space="preserve">Whether the Council of Ekurhuleni Metropolitan Municipality conducted any (a) environmental impact assessment studies and/or (b) geographical studies prior to its decision to move residents from the Angelo informal settlement to Farm 87 Portion 230 </w:t>
      </w:r>
      <w:proofErr w:type="spellStart"/>
      <w:r w:rsidRPr="009026BD">
        <w:rPr>
          <w:rFonts w:ascii="Arial" w:hAnsi="Arial" w:cs="Arial"/>
        </w:rPr>
        <w:t>Driefontein</w:t>
      </w:r>
      <w:proofErr w:type="spellEnd"/>
      <w:r w:rsidRPr="009026BD">
        <w:rPr>
          <w:rFonts w:ascii="Arial" w:hAnsi="Arial" w:cs="Arial"/>
        </w:rPr>
        <w:t>; if not, in each case, why not; if so, (</w:t>
      </w:r>
      <w:proofErr w:type="spellStart"/>
      <w:r w:rsidRPr="009026BD">
        <w:rPr>
          <w:rFonts w:ascii="Arial" w:hAnsi="Arial" w:cs="Arial"/>
        </w:rPr>
        <w:t>i</w:t>
      </w:r>
      <w:proofErr w:type="spellEnd"/>
      <w:r w:rsidRPr="009026BD">
        <w:rPr>
          <w:rFonts w:ascii="Arial" w:hAnsi="Arial" w:cs="Arial"/>
        </w:rPr>
        <w:t>) on which dates were the specified studies concluded and (ii) what were the outcomes in each case;</w:t>
      </w:r>
    </w:p>
    <w:p w14:paraId="78A57156" w14:textId="77777777" w:rsidR="009E5DF1" w:rsidRPr="009026BD" w:rsidRDefault="009E5DF1" w:rsidP="00D3523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</w:rPr>
      </w:pPr>
      <w:r w:rsidRPr="009026BD">
        <w:rPr>
          <w:rFonts w:ascii="Arial" w:hAnsi="Arial" w:cs="Arial"/>
        </w:rPr>
        <w:t>(2)</w:t>
      </w:r>
      <w:r w:rsidRPr="009026BD">
        <w:rPr>
          <w:rFonts w:ascii="Arial" w:hAnsi="Arial" w:cs="Arial"/>
        </w:rPr>
        <w:tab/>
      </w:r>
      <w:proofErr w:type="gramStart"/>
      <w:r w:rsidRPr="009026BD">
        <w:rPr>
          <w:rFonts w:ascii="Arial" w:hAnsi="Arial" w:cs="Arial"/>
        </w:rPr>
        <w:t>on</w:t>
      </w:r>
      <w:proofErr w:type="gramEnd"/>
      <w:r w:rsidRPr="009026BD">
        <w:rPr>
          <w:rFonts w:ascii="Arial" w:hAnsi="Arial" w:cs="Arial"/>
        </w:rPr>
        <w:t xml:space="preserve"> what date(s) did the council become aware of (a) an open mineshaft and (b) the beginning of a </w:t>
      </w:r>
      <w:r w:rsidRPr="009026BD">
        <w:rPr>
          <w:rFonts w:ascii="Arial" w:hAnsi="Arial" w:cs="Arial"/>
          <w:color w:val="000000"/>
        </w:rPr>
        <w:t>sinkhole</w:t>
      </w:r>
      <w:r w:rsidRPr="009026BD">
        <w:rPr>
          <w:rFonts w:ascii="Arial" w:hAnsi="Arial" w:cs="Arial"/>
        </w:rPr>
        <w:t xml:space="preserve"> on the specified property;</w:t>
      </w:r>
    </w:p>
    <w:p w14:paraId="7DF9DE88" w14:textId="77777777" w:rsidR="009E5DF1" w:rsidRPr="009026BD" w:rsidRDefault="009E5DF1" w:rsidP="00D3523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</w:rPr>
      </w:pPr>
      <w:r w:rsidRPr="009026BD">
        <w:rPr>
          <w:rFonts w:ascii="Arial" w:hAnsi="Arial" w:cs="Arial"/>
        </w:rPr>
        <w:t>(3)</w:t>
      </w:r>
      <w:r w:rsidRPr="009026BD">
        <w:rPr>
          <w:rFonts w:ascii="Arial" w:hAnsi="Arial" w:cs="Arial"/>
        </w:rPr>
        <w:tab/>
      </w:r>
      <w:proofErr w:type="gramStart"/>
      <w:r w:rsidRPr="009026BD">
        <w:rPr>
          <w:rFonts w:ascii="Arial" w:hAnsi="Arial" w:cs="Arial"/>
        </w:rPr>
        <w:t>why</w:t>
      </w:r>
      <w:proofErr w:type="gramEnd"/>
      <w:r w:rsidRPr="009026BD">
        <w:rPr>
          <w:rFonts w:ascii="Arial" w:hAnsi="Arial" w:cs="Arial"/>
        </w:rPr>
        <w:t xml:space="preserve"> did the council not (a) stop the construction of foundations and (b) conduct the necessary studies when it became aware of the mineshaft and sinkhole;</w:t>
      </w:r>
    </w:p>
    <w:p w14:paraId="75DB15FE" w14:textId="77777777" w:rsidR="009E5DF1" w:rsidRPr="009026BD" w:rsidRDefault="009E5DF1" w:rsidP="00D3523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</w:rPr>
      </w:pPr>
      <w:r w:rsidRPr="009026BD">
        <w:rPr>
          <w:rFonts w:ascii="Arial" w:hAnsi="Arial" w:cs="Arial"/>
        </w:rPr>
        <w:t>(4)</w:t>
      </w:r>
      <w:r w:rsidRPr="009026BD">
        <w:rPr>
          <w:rFonts w:ascii="Arial" w:hAnsi="Arial" w:cs="Arial"/>
        </w:rPr>
        <w:tab/>
      </w:r>
      <w:proofErr w:type="gramStart"/>
      <w:r w:rsidRPr="009026BD">
        <w:rPr>
          <w:rFonts w:ascii="Arial" w:hAnsi="Arial" w:cs="Arial"/>
        </w:rPr>
        <w:t>whether</w:t>
      </w:r>
      <w:proofErr w:type="gramEnd"/>
      <w:r w:rsidRPr="009026BD">
        <w:rPr>
          <w:rFonts w:ascii="Arial" w:hAnsi="Arial" w:cs="Arial"/>
        </w:rPr>
        <w:t xml:space="preserve"> the council will </w:t>
      </w:r>
      <w:r w:rsidRPr="009026BD">
        <w:rPr>
          <w:rFonts w:ascii="Arial" w:hAnsi="Arial" w:cs="Arial"/>
          <w:color w:val="000000"/>
        </w:rPr>
        <w:t>reassure</w:t>
      </w:r>
      <w:r w:rsidRPr="009026BD">
        <w:rPr>
          <w:rFonts w:ascii="Arial" w:hAnsi="Arial" w:cs="Arial"/>
        </w:rPr>
        <w:t xml:space="preserve"> the residents that neither the (a) mineshaft nor (b) sinkhole pose no threat to them?</w:t>
      </w:r>
      <w:r w:rsidRPr="009026BD">
        <w:rPr>
          <w:rFonts w:ascii="Arial" w:hAnsi="Arial" w:cs="Arial"/>
        </w:rPr>
        <w:tab/>
      </w:r>
      <w:r w:rsidRPr="009026BD">
        <w:rPr>
          <w:rFonts w:ascii="Arial" w:hAnsi="Arial" w:cs="Arial"/>
        </w:rPr>
        <w:tab/>
      </w:r>
      <w:r w:rsidRPr="009026BD">
        <w:rPr>
          <w:rFonts w:ascii="Arial" w:hAnsi="Arial" w:cs="Arial"/>
        </w:rPr>
        <w:tab/>
      </w:r>
      <w:r w:rsidRPr="009026BD">
        <w:rPr>
          <w:rFonts w:ascii="Arial" w:hAnsi="Arial" w:cs="Arial"/>
        </w:rPr>
        <w:tab/>
      </w:r>
      <w:r w:rsidRPr="009026BD">
        <w:rPr>
          <w:rFonts w:ascii="Arial" w:hAnsi="Arial" w:cs="Arial"/>
        </w:rPr>
        <w:tab/>
        <w:t>NW937E</w:t>
      </w:r>
    </w:p>
    <w:p w14:paraId="72C57F02" w14:textId="77777777" w:rsidR="009E5DF1" w:rsidRPr="009026BD" w:rsidRDefault="009E5DF1" w:rsidP="00D35231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14:paraId="6844DE91" w14:textId="25399F3C" w:rsidR="00AF702A" w:rsidRPr="009026BD" w:rsidRDefault="00AF702A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2E9E8881" w14:textId="77777777" w:rsidR="009E5DF1" w:rsidRPr="009026BD" w:rsidRDefault="009E5DF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1A01DD0D" w14:textId="498120F4" w:rsidR="00AF702A" w:rsidRPr="009026BD" w:rsidRDefault="00AF702A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79DA16D7" w14:textId="744E3DF3" w:rsidR="00AF702A" w:rsidRPr="009026BD" w:rsidRDefault="00AF702A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11B19923" w14:textId="2A2C7E84" w:rsidR="009E5DF1" w:rsidRPr="009026BD" w:rsidRDefault="009E5DF1" w:rsidP="006E7A95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3BC5DE77" w14:textId="7E7A9CFD" w:rsidR="00F916D5" w:rsidRPr="003E3A23" w:rsidRDefault="00F916D5" w:rsidP="003E3A23">
      <w:pPr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3E3A23">
        <w:rPr>
          <w:rFonts w:ascii="Arial" w:hAnsi="Arial" w:cs="Arial"/>
          <w:b/>
          <w:bCs/>
          <w:color w:val="000000"/>
          <w:lang w:val="en-GB"/>
        </w:rPr>
        <w:t>Reply:</w:t>
      </w:r>
    </w:p>
    <w:p w14:paraId="0DAC8B2E" w14:textId="5D2F1824" w:rsidR="00F56C4C" w:rsidRPr="009026BD" w:rsidRDefault="00F56C4C" w:rsidP="00F56C4C">
      <w:pPr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b/>
          <w:bCs/>
          <w:color w:val="000000"/>
          <w:lang w:val="en-GB"/>
        </w:rPr>
      </w:pPr>
    </w:p>
    <w:p w14:paraId="10E81F61" w14:textId="5555181D" w:rsidR="003E3A23" w:rsidRDefault="001B0EDC" w:rsidP="00132D6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color w:val="000000"/>
          <w:lang w:val="en-GB"/>
        </w:rPr>
      </w:pPr>
      <w:r w:rsidRPr="00132D6E">
        <w:rPr>
          <w:rFonts w:ascii="Arial" w:hAnsi="Arial" w:cs="Arial"/>
          <w:bCs/>
          <w:color w:val="000000"/>
          <w:lang w:val="en-GB"/>
        </w:rPr>
        <w:t xml:space="preserve">It is important to indicate that the </w:t>
      </w:r>
      <w:r w:rsidR="009E2549" w:rsidRPr="00132D6E">
        <w:rPr>
          <w:rFonts w:ascii="Arial" w:hAnsi="Arial" w:cs="Arial"/>
          <w:bCs/>
          <w:color w:val="000000"/>
          <w:lang w:val="en-GB"/>
        </w:rPr>
        <w:t>Department of Cooperative Governance and Traditional Affairs</w:t>
      </w:r>
      <w:r w:rsidR="009E2549">
        <w:rPr>
          <w:rFonts w:ascii="Arial" w:hAnsi="Arial" w:cs="Arial"/>
          <w:bCs/>
          <w:color w:val="000000"/>
          <w:lang w:val="en-GB"/>
        </w:rPr>
        <w:t xml:space="preserve"> referred the questions to the Human </w:t>
      </w:r>
      <w:r w:rsidR="006D3688">
        <w:rPr>
          <w:rFonts w:ascii="Arial" w:hAnsi="Arial" w:cs="Arial"/>
          <w:bCs/>
          <w:color w:val="000000"/>
          <w:lang w:val="en-GB"/>
        </w:rPr>
        <w:t>Settlements,</w:t>
      </w:r>
      <w:r w:rsidR="009E2549">
        <w:rPr>
          <w:rFonts w:ascii="Arial" w:hAnsi="Arial" w:cs="Arial"/>
          <w:bCs/>
          <w:color w:val="000000"/>
          <w:lang w:val="en-GB"/>
        </w:rPr>
        <w:t xml:space="preserve"> as the sector is responsible for the matters indicated in the </w:t>
      </w:r>
      <w:r w:rsidR="006D3688">
        <w:rPr>
          <w:rFonts w:ascii="Arial" w:hAnsi="Arial" w:cs="Arial"/>
          <w:bCs/>
          <w:color w:val="000000"/>
          <w:lang w:val="en-GB"/>
        </w:rPr>
        <w:t>questions. The Provincial Department of Human Settlements through the National Department of Human Settlements provided the information in response to the questions</w:t>
      </w:r>
      <w:r w:rsidRPr="00132D6E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3C8AE43B" w14:textId="77777777" w:rsidR="007E64A5" w:rsidRPr="00132D6E" w:rsidRDefault="007E64A5" w:rsidP="00132D6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color w:val="000000"/>
          <w:lang w:val="en-GB"/>
        </w:rPr>
      </w:pPr>
    </w:p>
    <w:p w14:paraId="6314FAFC" w14:textId="77777777" w:rsidR="0063442F" w:rsidRDefault="007E64A5" w:rsidP="00132D6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color w:val="000000"/>
          <w:lang w:val="en-GB"/>
        </w:rPr>
      </w:pPr>
      <w:r w:rsidRPr="00132D6E" w:rsidDel="007E64A5">
        <w:rPr>
          <w:rFonts w:ascii="Arial" w:hAnsi="Arial" w:cs="Arial"/>
        </w:rPr>
        <w:t xml:space="preserve"> </w:t>
      </w:r>
      <w:r w:rsidR="00013D8B">
        <w:rPr>
          <w:rFonts w:ascii="Arial" w:hAnsi="Arial" w:cs="Arial"/>
          <w:bCs/>
          <w:color w:val="000000"/>
          <w:lang w:val="en-GB"/>
        </w:rPr>
        <w:t xml:space="preserve">(1) </w:t>
      </w:r>
      <w:r w:rsidR="001B0EDC" w:rsidRPr="00132D6E">
        <w:rPr>
          <w:rFonts w:ascii="Arial" w:hAnsi="Arial" w:cs="Arial"/>
          <w:bCs/>
          <w:color w:val="000000"/>
          <w:lang w:val="en-GB"/>
        </w:rPr>
        <w:t>According to the report received from the Gauteng Provincial Department of Human Settlement, it is indicated that,</w:t>
      </w:r>
      <w:r w:rsidR="00F56C4C" w:rsidRPr="00132D6E">
        <w:rPr>
          <w:rFonts w:ascii="Arial" w:hAnsi="Arial" w:cs="Arial"/>
          <w:bCs/>
          <w:color w:val="000000"/>
          <w:lang w:val="en-GB"/>
        </w:rPr>
        <w:t xml:space="preserve"> </w:t>
      </w:r>
      <w:r w:rsidR="00013D8B">
        <w:rPr>
          <w:rFonts w:ascii="Arial" w:hAnsi="Arial" w:cs="Arial"/>
          <w:bCs/>
          <w:color w:val="000000"/>
          <w:lang w:val="en-GB"/>
        </w:rPr>
        <w:t xml:space="preserve">the </w:t>
      </w:r>
      <w:r w:rsidR="00292035" w:rsidRPr="00132D6E">
        <w:rPr>
          <w:rFonts w:ascii="Arial" w:hAnsi="Arial" w:cs="Arial"/>
          <w:bCs/>
          <w:color w:val="000000"/>
          <w:lang w:val="en-GB"/>
        </w:rPr>
        <w:t>studies were undertaken to determine the suitability of the land for human habitation. The studies conducted are the following:</w:t>
      </w:r>
      <w:r w:rsidR="00F56C4C" w:rsidRPr="00132D6E">
        <w:rPr>
          <w:rFonts w:ascii="Arial" w:hAnsi="Arial" w:cs="Arial"/>
          <w:bCs/>
          <w:color w:val="000000"/>
          <w:lang w:val="en-GB"/>
        </w:rPr>
        <w:t xml:space="preserve"> (a) </w:t>
      </w:r>
      <w:r w:rsidR="00561FCD" w:rsidRPr="00132D6E">
        <w:rPr>
          <w:rFonts w:ascii="Arial" w:hAnsi="Arial" w:cs="Arial"/>
          <w:bCs/>
          <w:color w:val="000000"/>
          <w:lang w:val="en-GB"/>
        </w:rPr>
        <w:t xml:space="preserve"> </w:t>
      </w:r>
      <w:r w:rsidR="00F56C4C" w:rsidRPr="00132D6E">
        <w:rPr>
          <w:rFonts w:ascii="Arial" w:hAnsi="Arial" w:cs="Arial"/>
        </w:rPr>
        <w:t>Environmental Impact Assessment, (b)</w:t>
      </w:r>
      <w:r w:rsidR="00A0703F" w:rsidRPr="00132D6E">
        <w:rPr>
          <w:rFonts w:ascii="Arial" w:hAnsi="Arial" w:cs="Arial"/>
        </w:rPr>
        <w:t xml:space="preserve"> Geotechnical Studies and </w:t>
      </w:r>
      <w:r w:rsidR="009C4CF0" w:rsidRPr="00132D6E">
        <w:rPr>
          <w:rFonts w:ascii="Arial" w:hAnsi="Arial" w:cs="Arial"/>
        </w:rPr>
        <w:t xml:space="preserve">Township Establishment application </w:t>
      </w:r>
      <w:r w:rsidR="00A0703F" w:rsidRPr="00132D6E">
        <w:rPr>
          <w:rFonts w:ascii="Arial" w:hAnsi="Arial" w:cs="Arial"/>
        </w:rPr>
        <w:t xml:space="preserve"> to  </w:t>
      </w:r>
      <w:r w:rsidR="00561FCD" w:rsidRPr="00132D6E">
        <w:rPr>
          <w:rFonts w:ascii="Arial" w:hAnsi="Arial" w:cs="Arial"/>
          <w:bCs/>
          <w:color w:val="000000"/>
          <w:lang w:val="en-GB"/>
        </w:rPr>
        <w:t xml:space="preserve">determine the suitability of the land for human habitation in farm 87 Portion 230 </w:t>
      </w:r>
      <w:proofErr w:type="spellStart"/>
      <w:r w:rsidR="00561FCD" w:rsidRPr="00132D6E">
        <w:rPr>
          <w:rFonts w:ascii="Arial" w:hAnsi="Arial" w:cs="Arial"/>
          <w:bCs/>
          <w:color w:val="000000"/>
          <w:lang w:val="en-GB"/>
        </w:rPr>
        <w:t>Driefontein</w:t>
      </w:r>
      <w:proofErr w:type="spellEnd"/>
      <w:r w:rsidR="00561FCD" w:rsidRPr="00132D6E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3BDB3FC8" w14:textId="77777777" w:rsidR="0063442F" w:rsidRDefault="0063442F" w:rsidP="0063442F">
      <w:pPr>
        <w:spacing w:line="360" w:lineRule="auto"/>
        <w:contextualSpacing/>
        <w:jc w:val="both"/>
        <w:outlineLvl w:val="0"/>
        <w:rPr>
          <w:rFonts w:ascii="Arial" w:hAnsi="Arial" w:cs="Arial"/>
          <w:bCs/>
          <w:color w:val="000000"/>
          <w:lang w:val="en-GB"/>
        </w:rPr>
      </w:pPr>
    </w:p>
    <w:p w14:paraId="14FD3D68" w14:textId="44AFAA9E" w:rsidR="003E3A23" w:rsidRPr="0063442F" w:rsidRDefault="00A0703F" w:rsidP="0063442F">
      <w:pPr>
        <w:pStyle w:val="ListParagraph"/>
        <w:numPr>
          <w:ilvl w:val="0"/>
          <w:numId w:val="32"/>
        </w:numPr>
        <w:spacing w:line="360" w:lineRule="auto"/>
        <w:contextualSpacing/>
        <w:jc w:val="both"/>
        <w:outlineLvl w:val="0"/>
        <w:rPr>
          <w:rFonts w:ascii="Arial" w:hAnsi="Arial" w:cs="Arial"/>
        </w:rPr>
      </w:pPr>
      <w:r w:rsidRPr="0063442F">
        <w:rPr>
          <w:rFonts w:ascii="Arial" w:hAnsi="Arial" w:cs="Arial"/>
        </w:rPr>
        <w:t>The specified studies were con</w:t>
      </w:r>
      <w:r w:rsidR="00013D8B" w:rsidRPr="0063442F">
        <w:rPr>
          <w:rFonts w:ascii="Arial" w:hAnsi="Arial" w:cs="Arial"/>
        </w:rPr>
        <w:t>cluded on the</w:t>
      </w:r>
      <w:r w:rsidRPr="0063442F">
        <w:rPr>
          <w:rFonts w:ascii="Arial" w:hAnsi="Arial" w:cs="Arial"/>
        </w:rPr>
        <w:t xml:space="preserve"> following dates:</w:t>
      </w:r>
      <w:r w:rsidRPr="0063442F">
        <w:rPr>
          <w:rFonts w:ascii="Arial" w:hAnsi="Arial" w:cs="Arial"/>
          <w:bCs/>
          <w:color w:val="000000"/>
          <w:lang w:val="en-GB"/>
        </w:rPr>
        <w:t xml:space="preserve"> Geotechnical studies </w:t>
      </w:r>
      <w:r w:rsidR="00013D8B" w:rsidRPr="0063442F">
        <w:rPr>
          <w:rFonts w:ascii="Arial" w:hAnsi="Arial" w:cs="Arial"/>
          <w:bCs/>
          <w:color w:val="000000"/>
          <w:lang w:val="en-GB"/>
        </w:rPr>
        <w:t xml:space="preserve">were concluded and a final report compiled </w:t>
      </w:r>
      <w:r w:rsidRPr="0063442F">
        <w:rPr>
          <w:rFonts w:ascii="Arial" w:hAnsi="Arial" w:cs="Arial"/>
          <w:bCs/>
          <w:color w:val="000000"/>
          <w:lang w:val="en-GB"/>
        </w:rPr>
        <w:t xml:space="preserve">in August 2012, the </w:t>
      </w:r>
      <w:r w:rsidRPr="0063442F">
        <w:rPr>
          <w:rFonts w:ascii="Arial" w:hAnsi="Arial" w:cs="Arial"/>
        </w:rPr>
        <w:t>Environmental Impact Assessment</w:t>
      </w:r>
      <w:r w:rsidR="00FE3663" w:rsidRPr="0063442F">
        <w:rPr>
          <w:rFonts w:ascii="Arial" w:hAnsi="Arial" w:cs="Arial"/>
        </w:rPr>
        <w:t xml:space="preserve"> </w:t>
      </w:r>
      <w:r w:rsidR="00013D8B" w:rsidRPr="0063442F">
        <w:rPr>
          <w:rFonts w:ascii="Arial" w:hAnsi="Arial" w:cs="Arial"/>
        </w:rPr>
        <w:t xml:space="preserve">was concluded </w:t>
      </w:r>
      <w:r w:rsidRPr="0063442F">
        <w:rPr>
          <w:rFonts w:ascii="Arial" w:hAnsi="Arial" w:cs="Arial"/>
        </w:rPr>
        <w:t>in May 2016</w:t>
      </w:r>
      <w:r w:rsidR="00FE3663" w:rsidRPr="0063442F">
        <w:rPr>
          <w:rFonts w:ascii="Arial" w:hAnsi="Arial" w:cs="Arial"/>
        </w:rPr>
        <w:t>, the assessment has not been approved and</w:t>
      </w:r>
      <w:r w:rsidRPr="0063442F">
        <w:rPr>
          <w:rFonts w:ascii="Arial" w:hAnsi="Arial" w:cs="Arial"/>
        </w:rPr>
        <w:t xml:space="preserve"> the Township Establishment Application </w:t>
      </w:r>
      <w:r w:rsidR="00FE3663" w:rsidRPr="0063442F">
        <w:rPr>
          <w:rFonts w:ascii="Arial" w:hAnsi="Arial" w:cs="Arial"/>
        </w:rPr>
        <w:t xml:space="preserve">was concluded </w:t>
      </w:r>
      <w:r w:rsidRPr="0063442F">
        <w:rPr>
          <w:rFonts w:ascii="Arial" w:hAnsi="Arial" w:cs="Arial"/>
        </w:rPr>
        <w:t>in October 2014</w:t>
      </w:r>
      <w:r w:rsidR="001B0EDC" w:rsidRPr="0063442F">
        <w:rPr>
          <w:rFonts w:ascii="Arial" w:hAnsi="Arial" w:cs="Arial"/>
        </w:rPr>
        <w:t>,</w:t>
      </w:r>
      <w:r w:rsidR="00FE3663" w:rsidRPr="0063442F">
        <w:rPr>
          <w:rFonts w:ascii="Arial" w:hAnsi="Arial" w:cs="Arial"/>
        </w:rPr>
        <w:t xml:space="preserve"> the application has not been approved. </w:t>
      </w:r>
      <w:r w:rsidR="001B0EDC" w:rsidRPr="0063442F">
        <w:rPr>
          <w:rFonts w:ascii="Arial" w:hAnsi="Arial" w:cs="Arial"/>
        </w:rPr>
        <w:t xml:space="preserve"> </w:t>
      </w:r>
    </w:p>
    <w:p w14:paraId="233829DD" w14:textId="77777777" w:rsidR="003E3A23" w:rsidRPr="00132D6E" w:rsidRDefault="003E3A23" w:rsidP="006344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</w:p>
    <w:p w14:paraId="5F6D4994" w14:textId="7E29C359" w:rsidR="004548F9" w:rsidRPr="00132D6E" w:rsidRDefault="00B53231" w:rsidP="00132D6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 w:rsidRPr="00132D6E">
        <w:rPr>
          <w:rFonts w:ascii="Arial" w:hAnsi="Arial" w:cs="Arial"/>
        </w:rPr>
        <w:t xml:space="preserve">(ii) The outcomes of the studies were as follows: </w:t>
      </w:r>
    </w:p>
    <w:p w14:paraId="46EEE717" w14:textId="77777777" w:rsidR="004548F9" w:rsidRPr="00132D6E" w:rsidRDefault="00B53231" w:rsidP="00132D6E">
      <w:pPr>
        <w:pStyle w:val="ListParagraph"/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</w:rPr>
      </w:pPr>
      <w:r w:rsidRPr="00132D6E">
        <w:rPr>
          <w:rFonts w:ascii="Arial" w:hAnsi="Arial" w:cs="Arial"/>
          <w:u w:val="single"/>
        </w:rPr>
        <w:t>Geotechnical Studies</w:t>
      </w:r>
      <w:r w:rsidRPr="00132D6E">
        <w:rPr>
          <w:rFonts w:ascii="Arial" w:hAnsi="Arial" w:cs="Arial"/>
        </w:rPr>
        <w:t xml:space="preserve"> - </w:t>
      </w:r>
      <w:r w:rsidRPr="00132D6E">
        <w:rPr>
          <w:rFonts w:ascii="Arial" w:hAnsi="Arial" w:cs="Arial"/>
          <w:bCs/>
          <w:color w:val="000000"/>
          <w:lang w:val="en-GB"/>
        </w:rPr>
        <w:t xml:space="preserve">the land was categorised into three portions for analysis of its development prospects. </w:t>
      </w:r>
      <w:r w:rsidRPr="00132D6E">
        <w:rPr>
          <w:rFonts w:ascii="Arial" w:hAnsi="Arial" w:cs="Arial"/>
        </w:rPr>
        <w:t xml:space="preserve">Zone A-has a mining depth less than 30m, this is excluded from the developable area. Zone B </w:t>
      </w:r>
      <w:proofErr w:type="spellStart"/>
      <w:r w:rsidRPr="00132D6E">
        <w:rPr>
          <w:rFonts w:ascii="Arial" w:hAnsi="Arial" w:cs="Arial"/>
        </w:rPr>
        <w:t>characterised</w:t>
      </w:r>
      <w:proofErr w:type="spellEnd"/>
      <w:r w:rsidRPr="00132D6E">
        <w:rPr>
          <w:rFonts w:ascii="Arial" w:hAnsi="Arial" w:cs="Arial"/>
        </w:rPr>
        <w:t xml:space="preserve"> by shallow undermining where the depth rise is more than 30m, the land is developable with restrictions. Zone C has no undermining at all.</w:t>
      </w:r>
      <w:r w:rsidR="00DC5BE0" w:rsidRPr="00132D6E">
        <w:rPr>
          <w:rFonts w:ascii="Arial" w:hAnsi="Arial" w:cs="Arial"/>
        </w:rPr>
        <w:t xml:space="preserve"> </w:t>
      </w:r>
    </w:p>
    <w:p w14:paraId="616C4C53" w14:textId="77777777" w:rsidR="004548F9" w:rsidRPr="00132D6E" w:rsidRDefault="00DC5BE0" w:rsidP="00132D6E">
      <w:pPr>
        <w:pStyle w:val="ListParagraph"/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</w:rPr>
      </w:pPr>
      <w:r w:rsidRPr="00132D6E">
        <w:rPr>
          <w:rFonts w:ascii="Arial" w:hAnsi="Arial" w:cs="Arial"/>
          <w:u w:val="single"/>
        </w:rPr>
        <w:t>Township Establishment application</w:t>
      </w:r>
      <w:r w:rsidRPr="00132D6E">
        <w:rPr>
          <w:rFonts w:ascii="Arial" w:hAnsi="Arial" w:cs="Arial"/>
        </w:rPr>
        <w:t xml:space="preserve"> – the application took the development constraints into </w:t>
      </w:r>
      <w:proofErr w:type="spellStart"/>
      <w:r w:rsidRPr="00132D6E">
        <w:rPr>
          <w:rFonts w:ascii="Arial" w:hAnsi="Arial" w:cs="Arial"/>
        </w:rPr>
        <w:t>cognisance</w:t>
      </w:r>
      <w:proofErr w:type="spellEnd"/>
      <w:r w:rsidRPr="00132D6E">
        <w:rPr>
          <w:rFonts w:ascii="Arial" w:hAnsi="Arial" w:cs="Arial"/>
        </w:rPr>
        <w:t xml:space="preserve">, the Town Planning Layout of the site provides for the following land uses: 12.7h of land constitutes 57.71% of the site to be used for residential development and 9.3h of land that constitutes 42.29% used for Public Open Spaces. </w:t>
      </w:r>
    </w:p>
    <w:p w14:paraId="7E5664B3" w14:textId="61967264" w:rsidR="004548F9" w:rsidRPr="00132D6E" w:rsidRDefault="004548F9" w:rsidP="00132D6E">
      <w:pPr>
        <w:pStyle w:val="ListParagraph"/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</w:rPr>
      </w:pPr>
      <w:r w:rsidRPr="00132D6E">
        <w:rPr>
          <w:rFonts w:ascii="Arial" w:hAnsi="Arial" w:cs="Arial"/>
          <w:bCs/>
          <w:color w:val="000000"/>
          <w:u w:val="single"/>
          <w:lang w:val="en-GB"/>
        </w:rPr>
        <w:lastRenderedPageBreak/>
        <w:t xml:space="preserve">The </w:t>
      </w:r>
      <w:r w:rsidRPr="00132D6E">
        <w:rPr>
          <w:rFonts w:ascii="Arial" w:hAnsi="Arial" w:cs="Arial"/>
          <w:u w:val="single"/>
        </w:rPr>
        <w:t>Environmental Impact Assessment</w:t>
      </w:r>
      <w:r w:rsidRPr="00132D6E">
        <w:rPr>
          <w:rFonts w:ascii="Arial" w:hAnsi="Arial" w:cs="Arial"/>
        </w:rPr>
        <w:t xml:space="preserve"> - the land is </w:t>
      </w:r>
      <w:proofErr w:type="spellStart"/>
      <w:r w:rsidRPr="00132D6E">
        <w:rPr>
          <w:rFonts w:ascii="Arial" w:hAnsi="Arial" w:cs="Arial"/>
        </w:rPr>
        <w:t>characterised</w:t>
      </w:r>
      <w:proofErr w:type="spellEnd"/>
      <w:r w:rsidRPr="00132D6E">
        <w:rPr>
          <w:rFonts w:ascii="Arial" w:hAnsi="Arial" w:cs="Arial"/>
        </w:rPr>
        <w:t xml:space="preserve"> as largely degraded and thus no objection was noted for housing development purposes.</w:t>
      </w:r>
    </w:p>
    <w:p w14:paraId="0F96474E" w14:textId="77777777" w:rsidR="007E64A5" w:rsidRDefault="007E64A5" w:rsidP="006344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C68D2" w:rsidRPr="007E64A5">
        <w:rPr>
          <w:rFonts w:ascii="Arial" w:hAnsi="Arial" w:cs="Arial"/>
        </w:rPr>
        <w:t xml:space="preserve">The department became aware of the (a) open mineshaft </w:t>
      </w:r>
      <w:r w:rsidR="00596C13" w:rsidRPr="007E64A5">
        <w:rPr>
          <w:rFonts w:ascii="Arial" w:hAnsi="Arial" w:cs="Arial"/>
        </w:rPr>
        <w:t xml:space="preserve">during 2012 (b) </w:t>
      </w:r>
      <w:r w:rsidR="009026BD" w:rsidRPr="007E64A5">
        <w:rPr>
          <w:rFonts w:ascii="Arial" w:hAnsi="Arial" w:cs="Arial"/>
        </w:rPr>
        <w:t xml:space="preserve">the date regarding </w:t>
      </w:r>
    </w:p>
    <w:p w14:paraId="4684A6E6" w14:textId="77777777" w:rsid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596C13" w:rsidRPr="007E64A5">
        <w:rPr>
          <w:rFonts w:ascii="Arial" w:hAnsi="Arial" w:cs="Arial"/>
        </w:rPr>
        <w:t>the</w:t>
      </w:r>
      <w:proofErr w:type="gramEnd"/>
      <w:r w:rsidR="00596C13" w:rsidRPr="007E64A5">
        <w:rPr>
          <w:rFonts w:ascii="Arial" w:hAnsi="Arial" w:cs="Arial"/>
        </w:rPr>
        <w:t xml:space="preserve"> beginning of a sinkhole on the specified property </w:t>
      </w:r>
      <w:r w:rsidR="009026BD" w:rsidRPr="007E64A5">
        <w:rPr>
          <w:rFonts w:ascii="Arial" w:hAnsi="Arial" w:cs="Arial"/>
        </w:rPr>
        <w:t xml:space="preserve">was not provided by Gauteng </w:t>
      </w:r>
    </w:p>
    <w:p w14:paraId="06FE5438" w14:textId="1019C785" w:rsidR="00596C13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026BD" w:rsidRPr="007E64A5">
        <w:rPr>
          <w:rFonts w:ascii="Arial" w:hAnsi="Arial" w:cs="Arial"/>
        </w:rPr>
        <w:t>Provincial Department of Human Settlements.</w:t>
      </w:r>
    </w:p>
    <w:p w14:paraId="63CD13CA" w14:textId="26CDB902" w:rsid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</w:p>
    <w:p w14:paraId="60EBCC3E" w14:textId="0B46B7C8" w:rsid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213D56" w:rsidRPr="007E64A5">
        <w:rPr>
          <w:rFonts w:ascii="Arial" w:hAnsi="Arial" w:cs="Arial"/>
        </w:rPr>
        <w:t>The construction (a) was not stopped because it was done in a developable area</w:t>
      </w:r>
      <w:r w:rsidR="0073389E" w:rsidRPr="007E64A5">
        <w:rPr>
          <w:rFonts w:ascii="Arial" w:hAnsi="Arial" w:cs="Arial"/>
        </w:rPr>
        <w:t>; (</w:t>
      </w:r>
      <w:r w:rsidR="00213D56" w:rsidRPr="007E64A5">
        <w:rPr>
          <w:rFonts w:ascii="Arial" w:hAnsi="Arial" w:cs="Arial"/>
        </w:rPr>
        <w:t xml:space="preserve">b) the </w:t>
      </w:r>
    </w:p>
    <w:p w14:paraId="0254BD70" w14:textId="0E765470" w:rsidR="00E86BFA" w:rsidRDefault="00213D56" w:rsidP="007E64A5">
      <w:pPr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</w:rPr>
      </w:pPr>
      <w:proofErr w:type="gramStart"/>
      <w:r w:rsidRPr="007E64A5">
        <w:rPr>
          <w:rFonts w:ascii="Arial" w:hAnsi="Arial" w:cs="Arial"/>
        </w:rPr>
        <w:t>land</w:t>
      </w:r>
      <w:proofErr w:type="gramEnd"/>
      <w:r w:rsidRPr="007E64A5">
        <w:rPr>
          <w:rFonts w:ascii="Arial" w:hAnsi="Arial" w:cs="Arial"/>
        </w:rPr>
        <w:t xml:space="preserve"> surveyor demarcated the developable and the undevelopable area. The area where the slabs are </w:t>
      </w:r>
      <w:r w:rsidR="00542321" w:rsidRPr="007E64A5">
        <w:rPr>
          <w:rFonts w:ascii="Arial" w:hAnsi="Arial" w:cs="Arial"/>
        </w:rPr>
        <w:t>laid</w:t>
      </w:r>
      <w:r w:rsidRPr="007E64A5">
        <w:rPr>
          <w:rFonts w:ascii="Arial" w:hAnsi="Arial" w:cs="Arial"/>
        </w:rPr>
        <w:t xml:space="preserve"> is the part that is developable according to the township layout plan and the geotechnical studies conducted.</w:t>
      </w:r>
    </w:p>
    <w:p w14:paraId="6C920E2C" w14:textId="77777777" w:rsidR="007E64A5" w:rsidRPr="007E64A5" w:rsidRDefault="007E64A5" w:rsidP="007E64A5">
      <w:pPr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</w:rPr>
      </w:pPr>
    </w:p>
    <w:p w14:paraId="49295AFE" w14:textId="577D27F6" w:rsid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lang w:val="en-GB"/>
        </w:rPr>
      </w:pPr>
      <w:r w:rsidRPr="007E64A5">
        <w:rPr>
          <w:rFonts w:ascii="Arial" w:hAnsi="Arial" w:cs="Arial"/>
          <w:bCs/>
          <w:color w:val="000000"/>
          <w:lang w:val="en-GB"/>
        </w:rPr>
        <w:t>(</w:t>
      </w:r>
      <w:r w:rsidRPr="007E64A5">
        <w:rPr>
          <w:rFonts w:ascii="Arial" w:hAnsi="Arial" w:cs="Arial"/>
        </w:rPr>
        <w:t>4) The Gauteng Department of Human Settlements indicated that t</w:t>
      </w:r>
      <w:r w:rsidR="0063442F">
        <w:rPr>
          <w:rFonts w:ascii="Arial" w:hAnsi="Arial" w:cs="Arial"/>
          <w:bCs/>
          <w:lang w:val="en-GB"/>
        </w:rPr>
        <w:t>he Council will:</w:t>
      </w:r>
    </w:p>
    <w:p w14:paraId="6A914505" w14:textId="77777777" w:rsidR="0063442F" w:rsidRDefault="007E64A5" w:rsidP="007E64A5">
      <w:pPr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(a) </w:t>
      </w:r>
      <w:proofErr w:type="gramStart"/>
      <w:r>
        <w:rPr>
          <w:rFonts w:ascii="Arial" w:hAnsi="Arial" w:cs="Arial"/>
          <w:bCs/>
          <w:lang w:val="en-GB"/>
        </w:rPr>
        <w:t>implement</w:t>
      </w:r>
      <w:proofErr w:type="gramEnd"/>
      <w:r w:rsidRPr="007E64A5">
        <w:rPr>
          <w:rFonts w:ascii="Arial" w:hAnsi="Arial" w:cs="Arial"/>
          <w:bCs/>
          <w:lang w:val="en-GB"/>
        </w:rPr>
        <w:t xml:space="preserve"> safety measures before relocating the community</w:t>
      </w:r>
      <w:r w:rsidR="0063442F">
        <w:rPr>
          <w:rFonts w:ascii="Arial" w:hAnsi="Arial" w:cs="Arial"/>
          <w:bCs/>
          <w:lang w:val="en-GB"/>
        </w:rPr>
        <w:t>; and</w:t>
      </w:r>
    </w:p>
    <w:p w14:paraId="2D58CF94" w14:textId="71C48359" w:rsidR="007E64A5" w:rsidRDefault="007E64A5" w:rsidP="007E64A5">
      <w:pPr>
        <w:spacing w:before="100" w:beforeAutospacing="1" w:after="100" w:afterAutospacing="1" w:line="360" w:lineRule="auto"/>
        <w:ind w:left="360"/>
        <w:contextualSpacing/>
        <w:jc w:val="both"/>
        <w:outlineLvl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(b) </w:t>
      </w:r>
      <w:proofErr w:type="gramStart"/>
      <w:r>
        <w:rPr>
          <w:rFonts w:ascii="Arial" w:hAnsi="Arial" w:cs="Arial"/>
          <w:bCs/>
          <w:lang w:val="en-GB"/>
        </w:rPr>
        <w:t>the</w:t>
      </w:r>
      <w:proofErr w:type="gramEnd"/>
      <w:r>
        <w:rPr>
          <w:rFonts w:ascii="Arial" w:hAnsi="Arial" w:cs="Arial"/>
          <w:bCs/>
          <w:lang w:val="en-GB"/>
        </w:rPr>
        <w:t xml:space="preserve"> area that is prone to sinkholes will be fenced off, and other sinkholes in the area will be filled prior to the relocation of the community.</w:t>
      </w:r>
      <w:r w:rsidRPr="007E64A5">
        <w:rPr>
          <w:rFonts w:ascii="Arial" w:hAnsi="Arial" w:cs="Arial"/>
          <w:bCs/>
          <w:lang w:val="en-GB"/>
        </w:rPr>
        <w:t>.</w:t>
      </w:r>
    </w:p>
    <w:p w14:paraId="12A8210F" w14:textId="381F22E6" w:rsidR="007E64A5" w:rsidRP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Cs/>
          <w:color w:val="FF0000"/>
          <w:lang w:val="en-GB"/>
        </w:rPr>
      </w:pPr>
      <w:r>
        <w:rPr>
          <w:rFonts w:ascii="Arial" w:hAnsi="Arial" w:cs="Arial"/>
          <w:bCs/>
          <w:lang w:val="en-GB"/>
        </w:rPr>
        <w:t xml:space="preserve">      </w:t>
      </w:r>
    </w:p>
    <w:p w14:paraId="6701AF13" w14:textId="59C898E9" w:rsidR="009E1A2A" w:rsidRDefault="009E1A2A" w:rsidP="00132D6E">
      <w:pPr>
        <w:spacing w:line="360" w:lineRule="auto"/>
        <w:jc w:val="both"/>
        <w:rPr>
          <w:rFonts w:ascii="Arial" w:hAnsi="Arial" w:cs="Arial"/>
        </w:rPr>
      </w:pPr>
    </w:p>
    <w:p w14:paraId="7F9F05EC" w14:textId="743AA41C" w:rsidR="007E64A5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08B6AB54" w14:textId="579515EA" w:rsidR="007E64A5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0D76918B" w14:textId="555A9590" w:rsidR="007E64A5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0F289620" w14:textId="3C7AF90A" w:rsidR="007E64A5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54B0C135" w14:textId="70FB2992" w:rsidR="007E64A5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6E76C231" w14:textId="684E3EFA" w:rsidR="007E64A5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1CD2F5C2" w14:textId="77777777" w:rsidR="007E64A5" w:rsidRPr="00132D6E" w:rsidRDefault="007E64A5" w:rsidP="00132D6E">
      <w:pPr>
        <w:spacing w:line="360" w:lineRule="auto"/>
        <w:jc w:val="both"/>
        <w:rPr>
          <w:rFonts w:ascii="Arial" w:hAnsi="Arial" w:cs="Arial"/>
        </w:rPr>
      </w:pPr>
    </w:p>
    <w:p w14:paraId="13AF5D95" w14:textId="611C951F" w:rsidR="009E1A2A" w:rsidRPr="00132D6E" w:rsidRDefault="009E1A2A" w:rsidP="00132D6E">
      <w:pPr>
        <w:spacing w:line="360" w:lineRule="auto"/>
        <w:jc w:val="both"/>
        <w:rPr>
          <w:rFonts w:ascii="Arial" w:hAnsi="Arial" w:cs="Arial"/>
        </w:rPr>
      </w:pPr>
    </w:p>
    <w:p w14:paraId="2091BF93" w14:textId="5302093E" w:rsidR="009E1A2A" w:rsidRPr="006E7A95" w:rsidRDefault="009E1A2A" w:rsidP="00132D6E">
      <w:pPr>
        <w:spacing w:line="360" w:lineRule="auto"/>
        <w:jc w:val="both"/>
      </w:pPr>
    </w:p>
    <w:p w14:paraId="37F1C654" w14:textId="4E09881A" w:rsidR="00322DE7" w:rsidRDefault="00322DE7" w:rsidP="00132D6E">
      <w:pPr>
        <w:spacing w:line="360" w:lineRule="auto"/>
        <w:rPr>
          <w:rFonts w:ascii="Arial" w:hAnsi="Arial" w:cs="Arial"/>
          <w:b/>
          <w:color w:val="FF0000"/>
        </w:rPr>
      </w:pPr>
    </w:p>
    <w:p w14:paraId="5EB72BC7" w14:textId="64A939B2" w:rsidR="00106939" w:rsidRDefault="00106939" w:rsidP="00132D6E">
      <w:pPr>
        <w:spacing w:line="360" w:lineRule="auto"/>
        <w:rPr>
          <w:rFonts w:ascii="Arial" w:hAnsi="Arial" w:cs="Arial"/>
          <w:b/>
          <w:color w:val="FF0000"/>
        </w:rPr>
      </w:pPr>
    </w:p>
    <w:p w14:paraId="4B17537B" w14:textId="759C5AA3" w:rsidR="00106939" w:rsidRDefault="00106939" w:rsidP="00132D6E">
      <w:pPr>
        <w:spacing w:line="360" w:lineRule="auto"/>
        <w:rPr>
          <w:rFonts w:ascii="Arial" w:hAnsi="Arial" w:cs="Arial"/>
          <w:b/>
          <w:color w:val="FF0000"/>
        </w:rPr>
      </w:pPr>
    </w:p>
    <w:p w14:paraId="0A4E1501" w14:textId="775C72C7" w:rsidR="00106939" w:rsidRDefault="00106939" w:rsidP="00132D6E">
      <w:pPr>
        <w:spacing w:line="36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106939" w:rsidSect="001A14AE">
      <w:footerReference w:type="default" r:id="rId9"/>
      <w:pgSz w:w="12240" w:h="15840"/>
      <w:pgMar w:top="568" w:right="900" w:bottom="108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A960" w14:textId="77777777" w:rsidR="00040AF9" w:rsidRDefault="00040AF9">
      <w:r>
        <w:separator/>
      </w:r>
    </w:p>
  </w:endnote>
  <w:endnote w:type="continuationSeparator" w:id="0">
    <w:p w14:paraId="0B19A763" w14:textId="77777777" w:rsidR="00040AF9" w:rsidRDefault="0004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BF2A7" w14:textId="7E054342" w:rsidR="00705202" w:rsidRDefault="0070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8CE54" w14:textId="77777777" w:rsidR="00705202" w:rsidRDefault="0070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93B8" w14:textId="77777777" w:rsidR="00040AF9" w:rsidRDefault="00040AF9">
      <w:r>
        <w:separator/>
      </w:r>
    </w:p>
  </w:footnote>
  <w:footnote w:type="continuationSeparator" w:id="0">
    <w:p w14:paraId="2C792322" w14:textId="77777777" w:rsidR="00040AF9" w:rsidRDefault="0004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6FAC"/>
    <w:multiLevelType w:val="hybridMultilevel"/>
    <w:tmpl w:val="8EE46962"/>
    <w:lvl w:ilvl="0" w:tplc="4164E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0E2937"/>
    <w:multiLevelType w:val="hybridMultilevel"/>
    <w:tmpl w:val="9CECB5C2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685E03"/>
    <w:multiLevelType w:val="hybridMultilevel"/>
    <w:tmpl w:val="B59CD330"/>
    <w:lvl w:ilvl="0" w:tplc="ED4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D3CFE"/>
    <w:multiLevelType w:val="hybridMultilevel"/>
    <w:tmpl w:val="3C82C3B6"/>
    <w:lvl w:ilvl="0" w:tplc="4024F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739AF"/>
    <w:multiLevelType w:val="hybridMultilevel"/>
    <w:tmpl w:val="7BA030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9640E"/>
    <w:multiLevelType w:val="hybridMultilevel"/>
    <w:tmpl w:val="484600BE"/>
    <w:lvl w:ilvl="0" w:tplc="4026871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3EB4B54"/>
    <w:multiLevelType w:val="hybridMultilevel"/>
    <w:tmpl w:val="05D63590"/>
    <w:lvl w:ilvl="0" w:tplc="A702733A">
      <w:start w:val="1"/>
      <w:numFmt w:val="lowerRoman"/>
      <w:lvlText w:val="(%1)"/>
      <w:lvlJc w:val="left"/>
      <w:pPr>
        <w:ind w:left="862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9056E"/>
    <w:multiLevelType w:val="hybridMultilevel"/>
    <w:tmpl w:val="308CCC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056EC"/>
    <w:multiLevelType w:val="hybridMultilevel"/>
    <w:tmpl w:val="DD963D0A"/>
    <w:lvl w:ilvl="0" w:tplc="95C8B6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A66674"/>
    <w:multiLevelType w:val="hybridMultilevel"/>
    <w:tmpl w:val="E53A901A"/>
    <w:lvl w:ilvl="0" w:tplc="095C8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2BDB"/>
    <w:multiLevelType w:val="hybridMultilevel"/>
    <w:tmpl w:val="D1B238B0"/>
    <w:lvl w:ilvl="0" w:tplc="F280E3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73B0"/>
    <w:multiLevelType w:val="hybridMultilevel"/>
    <w:tmpl w:val="6F0A3AEA"/>
    <w:lvl w:ilvl="0" w:tplc="CBAE8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ED7"/>
    <w:multiLevelType w:val="hybridMultilevel"/>
    <w:tmpl w:val="2960C3C4"/>
    <w:lvl w:ilvl="0" w:tplc="33489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362EF"/>
    <w:multiLevelType w:val="hybridMultilevel"/>
    <w:tmpl w:val="5A8C2E5C"/>
    <w:lvl w:ilvl="0" w:tplc="4566C026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sz w:val="24"/>
      </w:rPr>
    </w:lvl>
    <w:lvl w:ilvl="1" w:tplc="1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1805CC0"/>
    <w:multiLevelType w:val="hybridMultilevel"/>
    <w:tmpl w:val="A55423E2"/>
    <w:lvl w:ilvl="0" w:tplc="4958460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051249"/>
    <w:multiLevelType w:val="hybridMultilevel"/>
    <w:tmpl w:val="723CEC58"/>
    <w:lvl w:ilvl="0" w:tplc="1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A26A83"/>
    <w:multiLevelType w:val="hybridMultilevel"/>
    <w:tmpl w:val="844495C6"/>
    <w:lvl w:ilvl="0" w:tplc="63B6D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E21"/>
    <w:multiLevelType w:val="hybridMultilevel"/>
    <w:tmpl w:val="21AC122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87DEE"/>
    <w:multiLevelType w:val="hybridMultilevel"/>
    <w:tmpl w:val="32BA4F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6354"/>
    <w:multiLevelType w:val="hybridMultilevel"/>
    <w:tmpl w:val="43C09F3E"/>
    <w:lvl w:ilvl="0" w:tplc="2440EE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27"/>
  </w:num>
  <w:num w:numId="7">
    <w:abstractNumId w:val="4"/>
  </w:num>
  <w:num w:numId="8">
    <w:abstractNumId w:val="3"/>
  </w:num>
  <w:num w:numId="9">
    <w:abstractNumId w:val="23"/>
  </w:num>
  <w:num w:numId="10">
    <w:abstractNumId w:val="12"/>
  </w:num>
  <w:num w:numId="11">
    <w:abstractNumId w:val="7"/>
  </w:num>
  <w:num w:numId="12">
    <w:abstractNumId w:val="0"/>
  </w:num>
  <w:num w:numId="13">
    <w:abstractNumId w:val="31"/>
  </w:num>
  <w:num w:numId="14">
    <w:abstractNumId w:val="6"/>
  </w:num>
  <w:num w:numId="15">
    <w:abstractNumId w:val="20"/>
  </w:num>
  <w:num w:numId="16">
    <w:abstractNumId w:val="28"/>
  </w:num>
  <w:num w:numId="17">
    <w:abstractNumId w:val="24"/>
  </w:num>
  <w:num w:numId="18">
    <w:abstractNumId w:val="26"/>
  </w:num>
  <w:num w:numId="19">
    <w:abstractNumId w:val="21"/>
  </w:num>
  <w:num w:numId="20">
    <w:abstractNumId w:val="5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9"/>
  </w:num>
  <w:num w:numId="26">
    <w:abstractNumId w:val="15"/>
  </w:num>
  <w:num w:numId="27">
    <w:abstractNumId w:val="30"/>
  </w:num>
  <w:num w:numId="28">
    <w:abstractNumId w:val="10"/>
  </w:num>
  <w:num w:numId="29">
    <w:abstractNumId w:val="29"/>
  </w:num>
  <w:num w:numId="30">
    <w:abstractNumId w:val="9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5406"/>
    <w:rsid w:val="00013D8B"/>
    <w:rsid w:val="00014B05"/>
    <w:rsid w:val="00017071"/>
    <w:rsid w:val="00020887"/>
    <w:rsid w:val="000266F7"/>
    <w:rsid w:val="00040AF9"/>
    <w:rsid w:val="00053C63"/>
    <w:rsid w:val="00053DD6"/>
    <w:rsid w:val="000653AF"/>
    <w:rsid w:val="0006798B"/>
    <w:rsid w:val="00071841"/>
    <w:rsid w:val="000719CA"/>
    <w:rsid w:val="00074312"/>
    <w:rsid w:val="000954AC"/>
    <w:rsid w:val="000955C3"/>
    <w:rsid w:val="00095FB8"/>
    <w:rsid w:val="000B145D"/>
    <w:rsid w:val="000C5A3C"/>
    <w:rsid w:val="000D2102"/>
    <w:rsid w:val="000D2C53"/>
    <w:rsid w:val="000D4AA5"/>
    <w:rsid w:val="000E21F6"/>
    <w:rsid w:val="000F1FE6"/>
    <w:rsid w:val="001003CB"/>
    <w:rsid w:val="00106939"/>
    <w:rsid w:val="001314FC"/>
    <w:rsid w:val="00132D6E"/>
    <w:rsid w:val="00147245"/>
    <w:rsid w:val="00156E9A"/>
    <w:rsid w:val="00171B43"/>
    <w:rsid w:val="00173C60"/>
    <w:rsid w:val="00181508"/>
    <w:rsid w:val="00186E1C"/>
    <w:rsid w:val="00191100"/>
    <w:rsid w:val="00191112"/>
    <w:rsid w:val="001A14AE"/>
    <w:rsid w:val="001B0C9C"/>
    <w:rsid w:val="001B0EDC"/>
    <w:rsid w:val="001C49B9"/>
    <w:rsid w:val="001C7933"/>
    <w:rsid w:val="001D6ADE"/>
    <w:rsid w:val="001E69BF"/>
    <w:rsid w:val="001E719B"/>
    <w:rsid w:val="0021288B"/>
    <w:rsid w:val="00213D56"/>
    <w:rsid w:val="0021526E"/>
    <w:rsid w:val="00231C62"/>
    <w:rsid w:val="00247292"/>
    <w:rsid w:val="002576DD"/>
    <w:rsid w:val="00263374"/>
    <w:rsid w:val="00267DF4"/>
    <w:rsid w:val="00274495"/>
    <w:rsid w:val="00275BB2"/>
    <w:rsid w:val="002816D5"/>
    <w:rsid w:val="00286A5F"/>
    <w:rsid w:val="00292035"/>
    <w:rsid w:val="002949F2"/>
    <w:rsid w:val="002A645A"/>
    <w:rsid w:val="002B2990"/>
    <w:rsid w:val="002C4244"/>
    <w:rsid w:val="002C5792"/>
    <w:rsid w:val="002D5A03"/>
    <w:rsid w:val="002D6EFA"/>
    <w:rsid w:val="002E53AD"/>
    <w:rsid w:val="002F42A9"/>
    <w:rsid w:val="002F42F4"/>
    <w:rsid w:val="00305129"/>
    <w:rsid w:val="0031080D"/>
    <w:rsid w:val="00314E06"/>
    <w:rsid w:val="0031617F"/>
    <w:rsid w:val="00320000"/>
    <w:rsid w:val="00322981"/>
    <w:rsid w:val="00322DE7"/>
    <w:rsid w:val="00323310"/>
    <w:rsid w:val="003267CD"/>
    <w:rsid w:val="00335AC3"/>
    <w:rsid w:val="00357A0E"/>
    <w:rsid w:val="00357BF2"/>
    <w:rsid w:val="00370CE3"/>
    <w:rsid w:val="00382DA0"/>
    <w:rsid w:val="003907A9"/>
    <w:rsid w:val="00395CB9"/>
    <w:rsid w:val="003A0DE9"/>
    <w:rsid w:val="003B5EB7"/>
    <w:rsid w:val="003C12FF"/>
    <w:rsid w:val="003D4D79"/>
    <w:rsid w:val="003E3A23"/>
    <w:rsid w:val="003F05C1"/>
    <w:rsid w:val="00421F9D"/>
    <w:rsid w:val="004325C6"/>
    <w:rsid w:val="004548F9"/>
    <w:rsid w:val="004557B2"/>
    <w:rsid w:val="00470103"/>
    <w:rsid w:val="004779EE"/>
    <w:rsid w:val="00493D32"/>
    <w:rsid w:val="00495467"/>
    <w:rsid w:val="0049779D"/>
    <w:rsid w:val="004A4C5A"/>
    <w:rsid w:val="004A5BE7"/>
    <w:rsid w:val="004A7D82"/>
    <w:rsid w:val="004B0373"/>
    <w:rsid w:val="004B2C14"/>
    <w:rsid w:val="004B32D1"/>
    <w:rsid w:val="004B3FFB"/>
    <w:rsid w:val="004B4AB0"/>
    <w:rsid w:val="004B5A08"/>
    <w:rsid w:val="004C062B"/>
    <w:rsid w:val="004C109A"/>
    <w:rsid w:val="004D2ABF"/>
    <w:rsid w:val="004D4BB6"/>
    <w:rsid w:val="004E2BCE"/>
    <w:rsid w:val="0050428A"/>
    <w:rsid w:val="00510510"/>
    <w:rsid w:val="00511169"/>
    <w:rsid w:val="005229E8"/>
    <w:rsid w:val="0053047F"/>
    <w:rsid w:val="005331EA"/>
    <w:rsid w:val="005352F1"/>
    <w:rsid w:val="00537AA9"/>
    <w:rsid w:val="00540988"/>
    <w:rsid w:val="00542321"/>
    <w:rsid w:val="00542AD1"/>
    <w:rsid w:val="00543982"/>
    <w:rsid w:val="0054419A"/>
    <w:rsid w:val="00552666"/>
    <w:rsid w:val="00561FCD"/>
    <w:rsid w:val="00567D7F"/>
    <w:rsid w:val="00570B33"/>
    <w:rsid w:val="00575714"/>
    <w:rsid w:val="005806D7"/>
    <w:rsid w:val="00580BE3"/>
    <w:rsid w:val="00596C13"/>
    <w:rsid w:val="005A0136"/>
    <w:rsid w:val="005C7310"/>
    <w:rsid w:val="005C7A01"/>
    <w:rsid w:val="005D0762"/>
    <w:rsid w:val="005D0D35"/>
    <w:rsid w:val="005E166F"/>
    <w:rsid w:val="005E7E84"/>
    <w:rsid w:val="005F13AA"/>
    <w:rsid w:val="005F5EB3"/>
    <w:rsid w:val="005F60DB"/>
    <w:rsid w:val="006158B8"/>
    <w:rsid w:val="0061676A"/>
    <w:rsid w:val="0063442F"/>
    <w:rsid w:val="0064503F"/>
    <w:rsid w:val="00647ED0"/>
    <w:rsid w:val="0066291D"/>
    <w:rsid w:val="0067399D"/>
    <w:rsid w:val="00682E9B"/>
    <w:rsid w:val="00695700"/>
    <w:rsid w:val="00696158"/>
    <w:rsid w:val="006B06EF"/>
    <w:rsid w:val="006D1145"/>
    <w:rsid w:val="006D3688"/>
    <w:rsid w:val="006D3C21"/>
    <w:rsid w:val="006D5BC7"/>
    <w:rsid w:val="006D5DDF"/>
    <w:rsid w:val="006E3CDA"/>
    <w:rsid w:val="006E7A95"/>
    <w:rsid w:val="00705202"/>
    <w:rsid w:val="00707EFE"/>
    <w:rsid w:val="00724A26"/>
    <w:rsid w:val="007261E1"/>
    <w:rsid w:val="0073389E"/>
    <w:rsid w:val="0073738E"/>
    <w:rsid w:val="00765941"/>
    <w:rsid w:val="007670C4"/>
    <w:rsid w:val="00781D95"/>
    <w:rsid w:val="007833FC"/>
    <w:rsid w:val="007B5563"/>
    <w:rsid w:val="007D22C5"/>
    <w:rsid w:val="007D262D"/>
    <w:rsid w:val="007D361B"/>
    <w:rsid w:val="007D3E7B"/>
    <w:rsid w:val="007D4382"/>
    <w:rsid w:val="007D4F67"/>
    <w:rsid w:val="007D6AEE"/>
    <w:rsid w:val="007E64A5"/>
    <w:rsid w:val="007F55E8"/>
    <w:rsid w:val="00801607"/>
    <w:rsid w:val="00803A7E"/>
    <w:rsid w:val="0082376A"/>
    <w:rsid w:val="008275AD"/>
    <w:rsid w:val="00843814"/>
    <w:rsid w:val="00864F67"/>
    <w:rsid w:val="00883655"/>
    <w:rsid w:val="00887845"/>
    <w:rsid w:val="0089131E"/>
    <w:rsid w:val="008916DA"/>
    <w:rsid w:val="008A1477"/>
    <w:rsid w:val="008A1C1B"/>
    <w:rsid w:val="008C3B42"/>
    <w:rsid w:val="008D003B"/>
    <w:rsid w:val="008D5EBF"/>
    <w:rsid w:val="008E38AA"/>
    <w:rsid w:val="008F39F3"/>
    <w:rsid w:val="008F6740"/>
    <w:rsid w:val="008F7425"/>
    <w:rsid w:val="00901352"/>
    <w:rsid w:val="009026BD"/>
    <w:rsid w:val="00904AB9"/>
    <w:rsid w:val="00906EB4"/>
    <w:rsid w:val="0091086F"/>
    <w:rsid w:val="00911DB5"/>
    <w:rsid w:val="0092349C"/>
    <w:rsid w:val="00935A33"/>
    <w:rsid w:val="00950F6C"/>
    <w:rsid w:val="00953105"/>
    <w:rsid w:val="00954992"/>
    <w:rsid w:val="00955D50"/>
    <w:rsid w:val="00965EF5"/>
    <w:rsid w:val="00966064"/>
    <w:rsid w:val="009700E9"/>
    <w:rsid w:val="00971108"/>
    <w:rsid w:val="00971AE1"/>
    <w:rsid w:val="009743E3"/>
    <w:rsid w:val="009779CE"/>
    <w:rsid w:val="00977C5F"/>
    <w:rsid w:val="00982E5A"/>
    <w:rsid w:val="00991283"/>
    <w:rsid w:val="009A69BF"/>
    <w:rsid w:val="009B1725"/>
    <w:rsid w:val="009B3ADB"/>
    <w:rsid w:val="009C2F40"/>
    <w:rsid w:val="009C4CF0"/>
    <w:rsid w:val="009E1A2A"/>
    <w:rsid w:val="009E2549"/>
    <w:rsid w:val="009E48F2"/>
    <w:rsid w:val="009E5DF1"/>
    <w:rsid w:val="00A02D47"/>
    <w:rsid w:val="00A03A37"/>
    <w:rsid w:val="00A0703F"/>
    <w:rsid w:val="00A128E0"/>
    <w:rsid w:val="00A1399B"/>
    <w:rsid w:val="00A14E34"/>
    <w:rsid w:val="00A167C8"/>
    <w:rsid w:val="00A35576"/>
    <w:rsid w:val="00A47B22"/>
    <w:rsid w:val="00A71570"/>
    <w:rsid w:val="00A71D7F"/>
    <w:rsid w:val="00A96E8D"/>
    <w:rsid w:val="00AA60EA"/>
    <w:rsid w:val="00AB7EE6"/>
    <w:rsid w:val="00AD2E06"/>
    <w:rsid w:val="00AD717A"/>
    <w:rsid w:val="00AF702A"/>
    <w:rsid w:val="00B05E06"/>
    <w:rsid w:val="00B125C0"/>
    <w:rsid w:val="00B12EE4"/>
    <w:rsid w:val="00B13A91"/>
    <w:rsid w:val="00B246CC"/>
    <w:rsid w:val="00B24D58"/>
    <w:rsid w:val="00B426E1"/>
    <w:rsid w:val="00B53231"/>
    <w:rsid w:val="00B549CD"/>
    <w:rsid w:val="00B6542A"/>
    <w:rsid w:val="00B67F90"/>
    <w:rsid w:val="00B82A78"/>
    <w:rsid w:val="00B9448A"/>
    <w:rsid w:val="00BC70D5"/>
    <w:rsid w:val="00BC7A56"/>
    <w:rsid w:val="00BD4471"/>
    <w:rsid w:val="00C02203"/>
    <w:rsid w:val="00C11D86"/>
    <w:rsid w:val="00C11E38"/>
    <w:rsid w:val="00C25C33"/>
    <w:rsid w:val="00C33C12"/>
    <w:rsid w:val="00C4161F"/>
    <w:rsid w:val="00C42787"/>
    <w:rsid w:val="00C563C3"/>
    <w:rsid w:val="00C7529A"/>
    <w:rsid w:val="00C93389"/>
    <w:rsid w:val="00C93664"/>
    <w:rsid w:val="00C96731"/>
    <w:rsid w:val="00CA5038"/>
    <w:rsid w:val="00CB3353"/>
    <w:rsid w:val="00CB3451"/>
    <w:rsid w:val="00CC09C5"/>
    <w:rsid w:val="00CC1BA2"/>
    <w:rsid w:val="00CD36BF"/>
    <w:rsid w:val="00CD652C"/>
    <w:rsid w:val="00CE1F98"/>
    <w:rsid w:val="00CE592D"/>
    <w:rsid w:val="00D03FD4"/>
    <w:rsid w:val="00D06842"/>
    <w:rsid w:val="00D06D3F"/>
    <w:rsid w:val="00D108BC"/>
    <w:rsid w:val="00D20F85"/>
    <w:rsid w:val="00D22F98"/>
    <w:rsid w:val="00D2427D"/>
    <w:rsid w:val="00D319E8"/>
    <w:rsid w:val="00D339A2"/>
    <w:rsid w:val="00D342CF"/>
    <w:rsid w:val="00D35231"/>
    <w:rsid w:val="00D4220C"/>
    <w:rsid w:val="00D4293B"/>
    <w:rsid w:val="00D43C90"/>
    <w:rsid w:val="00D45D7D"/>
    <w:rsid w:val="00D5130B"/>
    <w:rsid w:val="00D748C7"/>
    <w:rsid w:val="00D803C9"/>
    <w:rsid w:val="00D80A85"/>
    <w:rsid w:val="00D9186C"/>
    <w:rsid w:val="00DA17B5"/>
    <w:rsid w:val="00DA4A8C"/>
    <w:rsid w:val="00DB6375"/>
    <w:rsid w:val="00DC0ABA"/>
    <w:rsid w:val="00DC5BE0"/>
    <w:rsid w:val="00DC609A"/>
    <w:rsid w:val="00DD0CAD"/>
    <w:rsid w:val="00DD0EA8"/>
    <w:rsid w:val="00DD2E3A"/>
    <w:rsid w:val="00DD560B"/>
    <w:rsid w:val="00DE7DE2"/>
    <w:rsid w:val="00DF1D5C"/>
    <w:rsid w:val="00DF3B63"/>
    <w:rsid w:val="00E01507"/>
    <w:rsid w:val="00E12B61"/>
    <w:rsid w:val="00E21270"/>
    <w:rsid w:val="00E24A23"/>
    <w:rsid w:val="00E26F93"/>
    <w:rsid w:val="00E40983"/>
    <w:rsid w:val="00E41E9B"/>
    <w:rsid w:val="00E55ABF"/>
    <w:rsid w:val="00E738DE"/>
    <w:rsid w:val="00E80E08"/>
    <w:rsid w:val="00E86BFA"/>
    <w:rsid w:val="00E911B4"/>
    <w:rsid w:val="00E928F5"/>
    <w:rsid w:val="00E93500"/>
    <w:rsid w:val="00E97D32"/>
    <w:rsid w:val="00EA39AE"/>
    <w:rsid w:val="00EB0FD9"/>
    <w:rsid w:val="00EB2329"/>
    <w:rsid w:val="00EC68D2"/>
    <w:rsid w:val="00ED39AF"/>
    <w:rsid w:val="00ED3F3F"/>
    <w:rsid w:val="00EF438B"/>
    <w:rsid w:val="00EF7791"/>
    <w:rsid w:val="00F0072B"/>
    <w:rsid w:val="00F04787"/>
    <w:rsid w:val="00F058E6"/>
    <w:rsid w:val="00F1593F"/>
    <w:rsid w:val="00F250B3"/>
    <w:rsid w:val="00F31DFB"/>
    <w:rsid w:val="00F3348F"/>
    <w:rsid w:val="00F47B2B"/>
    <w:rsid w:val="00F52D9B"/>
    <w:rsid w:val="00F5318C"/>
    <w:rsid w:val="00F56C4C"/>
    <w:rsid w:val="00F7571F"/>
    <w:rsid w:val="00F76DC6"/>
    <w:rsid w:val="00F7762F"/>
    <w:rsid w:val="00F77973"/>
    <w:rsid w:val="00F84D21"/>
    <w:rsid w:val="00F916D5"/>
    <w:rsid w:val="00FB24F1"/>
    <w:rsid w:val="00FB5150"/>
    <w:rsid w:val="00FD0924"/>
    <w:rsid w:val="00FD6875"/>
    <w:rsid w:val="00FE2BC6"/>
    <w:rsid w:val="00FE3663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4B6D2"/>
  <w15:docId w15:val="{1F80703B-AD9B-4B36-B82D-E2EF13F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uiPriority w:val="34"/>
    <w:qFormat/>
    <w:rsid w:val="00286A5F"/>
    <w:pPr>
      <w:ind w:left="720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322DE7"/>
    <w:rPr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22DE7"/>
    <w:rPr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7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F3A6-E0A1-4E62-98D1-06B5C52E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Lebohang Tekane</cp:lastModifiedBy>
  <cp:revision>2</cp:revision>
  <cp:lastPrinted>2017-05-02T10:14:00Z</cp:lastPrinted>
  <dcterms:created xsi:type="dcterms:W3CDTF">2017-05-08T10:13:00Z</dcterms:created>
  <dcterms:modified xsi:type="dcterms:W3CDTF">2017-05-08T10:13:00Z</dcterms:modified>
</cp:coreProperties>
</file>