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471F9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179C4">
        <w:rPr>
          <w:rFonts w:ascii="Arial" w:hAnsi="Arial" w:cs="Arial"/>
          <w:b/>
          <w:bCs/>
        </w:rPr>
        <w:t>840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3179C4" w:rsidRPr="003179C4" w:rsidRDefault="003179C4" w:rsidP="003179C4">
      <w:pPr>
        <w:spacing w:after="267" w:line="249" w:lineRule="auto"/>
        <w:ind w:left="818" w:hanging="720"/>
        <w:rPr>
          <w:rFonts w:ascii="Arial" w:hAnsi="Arial" w:cs="Arial"/>
          <w:b/>
          <w:lang w:val="en-ZA"/>
        </w:rPr>
      </w:pPr>
      <w:r w:rsidRPr="003179C4">
        <w:rPr>
          <w:rFonts w:ascii="Arial" w:hAnsi="Arial" w:cs="Arial"/>
          <w:b/>
          <w:lang w:val="en-ZA"/>
        </w:rPr>
        <w:t xml:space="preserve">Mr M R Bara (DA) to ask </w:t>
      </w:r>
      <w:r w:rsidRPr="003179C4">
        <w:rPr>
          <w:rFonts w:ascii="Arial" w:eastAsia="Times New Roman" w:hAnsi="Arial" w:cs="Arial"/>
          <w:b/>
          <w:color w:val="000000"/>
          <w:lang w:val="en-ZA" w:eastAsia="en-ZA"/>
        </w:rPr>
        <w:t>the</w:t>
      </w:r>
      <w:r w:rsidRPr="003179C4">
        <w:rPr>
          <w:rFonts w:ascii="Arial" w:hAnsi="Arial" w:cs="Arial"/>
          <w:b/>
          <w:lang w:val="en-ZA"/>
        </w:rPr>
        <w:t xml:space="preserve"> Minister of Higher Education and Training:</w:t>
      </w:r>
    </w:p>
    <w:p w:rsidR="00313840" w:rsidRPr="00C6785A" w:rsidRDefault="003179C4" w:rsidP="00C6785A">
      <w:pPr>
        <w:spacing w:after="120" w:line="360" w:lineRule="auto"/>
        <w:jc w:val="both"/>
        <w:rPr>
          <w:rFonts w:ascii="Arial" w:hAnsi="Arial" w:cs="Arial"/>
          <w:lang w:val="en-ZA"/>
        </w:rPr>
      </w:pPr>
      <w:r w:rsidRPr="00C6785A">
        <w:rPr>
          <w:rFonts w:ascii="Arial" w:hAnsi="Arial" w:cs="Arial"/>
          <w:lang w:val="en-ZA"/>
        </w:rPr>
        <w:t>With regard to his reply to question 1763 on 18 October 2016, how did each international trip undertaken by management executives of the Transport Education and Training Authority (a) directly and (b) indirectly contribute to increasing the number of beneficiaries of skills training?</w:t>
      </w:r>
      <w:r w:rsidRPr="00C6785A">
        <w:rPr>
          <w:rFonts w:ascii="Arial" w:hAnsi="Arial" w:cs="Arial"/>
          <w:lang w:val="en-ZA"/>
        </w:rPr>
        <w:tab/>
      </w:r>
      <w:r w:rsidRPr="00C6785A">
        <w:rPr>
          <w:rFonts w:ascii="Arial" w:hAnsi="Arial" w:cs="Arial"/>
          <w:lang w:val="en-ZA"/>
        </w:rPr>
        <w:tab/>
      </w:r>
      <w:r w:rsidRPr="00C6785A">
        <w:rPr>
          <w:rFonts w:ascii="Arial" w:hAnsi="Arial" w:cs="Arial"/>
          <w:lang w:val="en-ZA"/>
        </w:rPr>
        <w:tab/>
      </w:r>
      <w:r w:rsidRPr="00C6785A">
        <w:rPr>
          <w:rFonts w:ascii="Arial" w:hAnsi="Arial" w:cs="Arial"/>
          <w:lang w:val="en-ZA"/>
        </w:rPr>
        <w:tab/>
      </w:r>
      <w:r w:rsidRPr="00C6785A">
        <w:rPr>
          <w:rFonts w:ascii="Arial" w:hAnsi="Arial" w:cs="Arial"/>
          <w:lang w:val="en-ZA"/>
        </w:rPr>
        <w:tab/>
      </w:r>
      <w:r w:rsidRPr="00C6785A">
        <w:rPr>
          <w:rFonts w:ascii="Arial" w:hAnsi="Arial" w:cs="Arial"/>
          <w:lang w:val="en-ZA"/>
        </w:rPr>
        <w:tab/>
      </w:r>
    </w:p>
    <w:p w:rsidR="003179C4" w:rsidRPr="00C6785A" w:rsidRDefault="003179C4" w:rsidP="00C6785A">
      <w:pPr>
        <w:spacing w:before="100" w:beforeAutospacing="1" w:after="100" w:afterAutospacing="1" w:line="259" w:lineRule="auto"/>
        <w:ind w:left="7200" w:firstLine="720"/>
        <w:jc w:val="right"/>
        <w:rPr>
          <w:rFonts w:ascii="Arial" w:hAnsi="Arial" w:cs="Arial"/>
          <w:b/>
          <w:sz w:val="20"/>
          <w:lang w:val="en-ZA"/>
        </w:rPr>
      </w:pPr>
      <w:r w:rsidRPr="00C6785A">
        <w:rPr>
          <w:rFonts w:ascii="Arial" w:hAnsi="Arial" w:cs="Arial"/>
          <w:b/>
          <w:sz w:val="20"/>
          <w:lang w:val="en-ZA"/>
        </w:rPr>
        <w:t>NW903E</w:t>
      </w:r>
    </w:p>
    <w:p w:rsidR="00F93B36" w:rsidRPr="00F93B36" w:rsidRDefault="00F93B36" w:rsidP="004F37DA">
      <w:pPr>
        <w:spacing w:before="100" w:beforeAutospacing="1" w:after="100" w:afterAutospacing="1" w:line="259" w:lineRule="auto"/>
        <w:ind w:left="7200" w:firstLine="720"/>
        <w:jc w:val="both"/>
        <w:rPr>
          <w:rFonts w:ascii="Arial" w:hAnsi="Arial" w:cs="Arial"/>
          <w:b/>
          <w:lang w:val="en-ZA"/>
        </w:rPr>
      </w:pPr>
    </w:p>
    <w:p w:rsidR="00A2288C" w:rsidRPr="00A2288C" w:rsidRDefault="00A2288C" w:rsidP="00A2288C">
      <w:pPr>
        <w:spacing w:before="100" w:beforeAutospacing="1" w:after="100" w:afterAutospacing="1" w:line="259" w:lineRule="auto"/>
        <w:ind w:left="7920"/>
        <w:jc w:val="both"/>
        <w:rPr>
          <w:rFonts w:ascii="Arial" w:hAnsi="Arial" w:cs="Arial"/>
          <w:b/>
          <w:lang w:val="en-ZA"/>
        </w:rPr>
      </w:pPr>
    </w:p>
    <w:p w:rsidR="000C558D" w:rsidRPr="000C558D" w:rsidRDefault="000C558D" w:rsidP="000C558D">
      <w:pPr>
        <w:tabs>
          <w:tab w:val="left" w:pos="432"/>
          <w:tab w:val="left" w:pos="720"/>
        </w:tabs>
        <w:spacing w:before="100" w:beforeAutospacing="1" w:after="100" w:afterAutospacing="1" w:line="240" w:lineRule="auto"/>
        <w:ind w:left="1440" w:hanging="720"/>
        <w:jc w:val="both"/>
        <w:rPr>
          <w:rFonts w:ascii="Arial" w:eastAsia="Times New Roman" w:hAnsi="Arial" w:cs="Arial"/>
          <w:b/>
        </w:rPr>
      </w:pPr>
    </w:p>
    <w:p w:rsidR="00974C04" w:rsidRDefault="00974C04" w:rsidP="001F7966">
      <w:pPr>
        <w:spacing w:before="100" w:beforeAutospacing="1" w:after="100" w:afterAutospacing="1" w:line="259" w:lineRule="auto"/>
        <w:jc w:val="both"/>
        <w:outlineLvl w:val="0"/>
        <w:rPr>
          <w:rFonts w:ascii="Arial" w:hAnsi="Arial" w:cs="Arial"/>
          <w:b/>
          <w:lang w:val="en-ZA"/>
        </w:rPr>
      </w:pPr>
    </w:p>
    <w:p w:rsidR="00203DEF" w:rsidRDefault="00203DEF" w:rsidP="001F7966">
      <w:pPr>
        <w:spacing w:before="100" w:beforeAutospacing="1" w:after="100" w:afterAutospacing="1" w:line="259" w:lineRule="auto"/>
        <w:jc w:val="both"/>
        <w:outlineLvl w:val="0"/>
        <w:rPr>
          <w:rFonts w:ascii="Arial" w:hAnsi="Arial" w:cs="Arial"/>
          <w:b/>
        </w:rPr>
      </w:pPr>
    </w:p>
    <w:p w:rsidR="00313840" w:rsidRDefault="00313840" w:rsidP="001F7966">
      <w:pPr>
        <w:spacing w:before="100" w:beforeAutospacing="1" w:after="100" w:afterAutospacing="1" w:line="259" w:lineRule="auto"/>
        <w:jc w:val="both"/>
        <w:outlineLvl w:val="0"/>
        <w:rPr>
          <w:rFonts w:ascii="Arial" w:hAnsi="Arial" w:cs="Arial"/>
          <w:b/>
        </w:rPr>
      </w:pPr>
    </w:p>
    <w:p w:rsidR="001B7215" w:rsidRDefault="001B7215" w:rsidP="001F7966">
      <w:pPr>
        <w:spacing w:before="100" w:beforeAutospacing="1" w:after="100" w:afterAutospacing="1" w:line="259" w:lineRule="auto"/>
        <w:jc w:val="both"/>
        <w:outlineLvl w:val="0"/>
        <w:rPr>
          <w:rFonts w:ascii="Arial" w:hAnsi="Arial" w:cs="Arial"/>
          <w:b/>
        </w:rPr>
        <w:sectPr w:rsidR="001B7215" w:rsidSect="0015436C">
          <w:pgSz w:w="12240" w:h="15840"/>
          <w:pgMar w:top="1440" w:right="1440" w:bottom="1440" w:left="1440" w:header="708" w:footer="708" w:gutter="0"/>
          <w:cols w:space="708"/>
          <w:rtlGutter/>
          <w:docGrid w:linePitch="360"/>
        </w:sectPr>
      </w:pPr>
    </w:p>
    <w:p w:rsidR="003719FE" w:rsidRDefault="00B12389" w:rsidP="001B7215">
      <w:pPr>
        <w:spacing w:before="100" w:beforeAutospacing="1" w:after="100" w:afterAutospacing="1" w:line="259" w:lineRule="auto"/>
        <w:jc w:val="both"/>
        <w:outlineLvl w:val="0"/>
        <w:rPr>
          <w:rFonts w:ascii="Arial" w:hAnsi="Arial" w:cs="Arial"/>
          <w:b/>
        </w:rPr>
      </w:pPr>
      <w:r w:rsidRPr="00F61F23">
        <w:rPr>
          <w:rFonts w:ascii="Arial" w:hAnsi="Arial" w:cs="Arial"/>
          <w:b/>
        </w:rPr>
        <w:lastRenderedPageBreak/>
        <w:t>R</w:t>
      </w:r>
      <w:r w:rsidR="00FC1A3C" w:rsidRPr="00F61F23">
        <w:rPr>
          <w:rFonts w:ascii="Arial" w:hAnsi="Arial" w:cs="Arial"/>
          <w:b/>
        </w:rPr>
        <w:t>EPLY:</w:t>
      </w:r>
    </w:p>
    <w:p w:rsidR="008D6F05" w:rsidRPr="008D6F05" w:rsidRDefault="008D6F05" w:rsidP="0027641D">
      <w:pPr>
        <w:spacing w:after="0" w:line="360" w:lineRule="auto"/>
        <w:jc w:val="both"/>
        <w:outlineLvl w:val="0"/>
        <w:rPr>
          <w:rFonts w:ascii="Arial" w:hAnsi="Arial" w:cs="Arial"/>
          <w:b/>
        </w:rPr>
      </w:pPr>
      <w:r w:rsidRPr="008D6F05">
        <w:rPr>
          <w:rFonts w:ascii="Arial" w:hAnsi="Arial" w:cs="Arial"/>
          <w:b/>
        </w:rPr>
        <w:t>Commonwealth Lawyers Association Conference April 2016</w:t>
      </w:r>
    </w:p>
    <w:p w:rsidR="008D6F05" w:rsidRPr="008D6F05" w:rsidRDefault="008D6F05" w:rsidP="0027641D">
      <w:pPr>
        <w:spacing w:line="360" w:lineRule="auto"/>
        <w:jc w:val="both"/>
        <w:outlineLvl w:val="0"/>
        <w:rPr>
          <w:rFonts w:ascii="Arial" w:hAnsi="Arial" w:cs="Arial"/>
        </w:rPr>
      </w:pPr>
      <w:r w:rsidRPr="008D6F05">
        <w:rPr>
          <w:rFonts w:ascii="Arial" w:hAnsi="Arial" w:cs="Arial"/>
        </w:rPr>
        <w:t>The corporate governance of S</w:t>
      </w:r>
      <w:r>
        <w:rPr>
          <w:rFonts w:ascii="Arial" w:hAnsi="Arial" w:cs="Arial"/>
        </w:rPr>
        <w:t xml:space="preserve">ector </w:t>
      </w:r>
      <w:r w:rsidRPr="008D6F05">
        <w:rPr>
          <w:rFonts w:ascii="Arial" w:hAnsi="Arial" w:cs="Arial"/>
        </w:rPr>
        <w:t>E</w:t>
      </w:r>
      <w:r>
        <w:rPr>
          <w:rFonts w:ascii="Arial" w:hAnsi="Arial" w:cs="Arial"/>
        </w:rPr>
        <w:t xml:space="preserve">ducation and </w:t>
      </w:r>
      <w:r w:rsidRPr="008D6F05">
        <w:rPr>
          <w:rFonts w:ascii="Arial" w:hAnsi="Arial" w:cs="Arial"/>
        </w:rPr>
        <w:t>T</w:t>
      </w:r>
      <w:r>
        <w:rPr>
          <w:rFonts w:ascii="Arial" w:hAnsi="Arial" w:cs="Arial"/>
        </w:rPr>
        <w:t xml:space="preserve">raining </w:t>
      </w:r>
      <w:r w:rsidRPr="008D6F05">
        <w:rPr>
          <w:rFonts w:ascii="Arial" w:hAnsi="Arial" w:cs="Arial"/>
        </w:rPr>
        <w:t>A</w:t>
      </w:r>
      <w:r>
        <w:rPr>
          <w:rFonts w:ascii="Arial" w:hAnsi="Arial" w:cs="Arial"/>
        </w:rPr>
        <w:t>uthorities</w:t>
      </w:r>
      <w:r w:rsidRPr="008D6F05">
        <w:rPr>
          <w:rFonts w:ascii="Arial" w:hAnsi="Arial" w:cs="Arial"/>
        </w:rPr>
        <w:t xml:space="preserve"> is an integral part of the implementation of the Skills Development Act, 1998. The Company Secretary shared with all 54 Commonwealth countries the challenges and opportunities associated with corporate governance in South Africa and in turn gained experience of corporate governance in other countries. This experience manifested in focused advice to the Board and in turn proper decisions taken to ensure that </w:t>
      </w:r>
      <w:r w:rsidRPr="00C6785A">
        <w:rPr>
          <w:rFonts w:ascii="Arial" w:hAnsi="Arial" w:cs="Arial"/>
          <w:lang w:val="en-ZA"/>
        </w:rPr>
        <w:t xml:space="preserve">Transport Education and Training Authority </w:t>
      </w:r>
      <w:r>
        <w:rPr>
          <w:rFonts w:ascii="Arial" w:hAnsi="Arial" w:cs="Arial"/>
          <w:lang w:val="en-ZA"/>
        </w:rPr>
        <w:t>(</w:t>
      </w:r>
      <w:r w:rsidRPr="008D6F05">
        <w:rPr>
          <w:rFonts w:ascii="Arial" w:hAnsi="Arial" w:cs="Arial"/>
        </w:rPr>
        <w:t>TETA</w:t>
      </w:r>
      <w:r>
        <w:rPr>
          <w:rFonts w:ascii="Arial" w:hAnsi="Arial" w:cs="Arial"/>
        </w:rPr>
        <w:t>)</w:t>
      </w:r>
      <w:r w:rsidRPr="008D6F05">
        <w:rPr>
          <w:rFonts w:ascii="Arial" w:hAnsi="Arial" w:cs="Arial"/>
        </w:rPr>
        <w:t xml:space="preserve"> manag</w:t>
      </w:r>
      <w:r>
        <w:rPr>
          <w:rFonts w:ascii="Arial" w:hAnsi="Arial" w:cs="Arial"/>
        </w:rPr>
        <w:t>ement implement the mandate of g</w:t>
      </w:r>
      <w:r w:rsidRPr="008D6F05">
        <w:rPr>
          <w:rFonts w:ascii="Arial" w:hAnsi="Arial" w:cs="Arial"/>
        </w:rPr>
        <w:t>overnment as per the national priorities.</w:t>
      </w:r>
    </w:p>
    <w:p w:rsidR="008D6F05" w:rsidRPr="008D6F05" w:rsidRDefault="008D6F05" w:rsidP="0027641D">
      <w:pPr>
        <w:spacing w:after="0" w:line="360" w:lineRule="auto"/>
        <w:jc w:val="both"/>
        <w:outlineLvl w:val="0"/>
        <w:rPr>
          <w:rFonts w:ascii="Arial" w:hAnsi="Arial" w:cs="Arial"/>
          <w:b/>
        </w:rPr>
      </w:pPr>
      <w:r w:rsidRPr="008D6F05">
        <w:rPr>
          <w:rFonts w:ascii="Arial" w:hAnsi="Arial" w:cs="Arial"/>
          <w:b/>
        </w:rPr>
        <w:t>World Maritime University (WMU) Graduation, TETA 2016 Cohort orientation + 2015 Cohort Farewell and Lund University discussions - November 2015</w:t>
      </w:r>
    </w:p>
    <w:p w:rsidR="008D6F05" w:rsidRPr="008D6F05" w:rsidRDefault="0027641D" w:rsidP="0027641D">
      <w:pPr>
        <w:spacing w:line="360" w:lineRule="auto"/>
        <w:jc w:val="both"/>
        <w:outlineLvl w:val="0"/>
        <w:rPr>
          <w:rFonts w:ascii="Arial" w:hAnsi="Arial" w:cs="Arial"/>
        </w:rPr>
      </w:pPr>
      <w:r>
        <w:rPr>
          <w:rFonts w:ascii="Arial" w:hAnsi="Arial" w:cs="Arial"/>
        </w:rPr>
        <w:t>The World Maritime University (WMU) trained 18 Learners at postgraduate level</w:t>
      </w:r>
      <w:r w:rsidR="00FF1D99">
        <w:rPr>
          <w:rFonts w:ascii="Arial" w:hAnsi="Arial" w:cs="Arial"/>
        </w:rPr>
        <w:t xml:space="preserve"> </w:t>
      </w:r>
      <w:r w:rsidR="008D6F05" w:rsidRPr="008D6F05">
        <w:rPr>
          <w:rFonts w:ascii="Arial" w:hAnsi="Arial" w:cs="Arial"/>
        </w:rPr>
        <w:t>with another 10</w:t>
      </w:r>
      <w:r w:rsidR="008D6F05">
        <w:rPr>
          <w:rFonts w:ascii="Arial" w:hAnsi="Arial" w:cs="Arial"/>
        </w:rPr>
        <w:t xml:space="preserve"> learners ready for intake in the 2017 c</w:t>
      </w:r>
      <w:r w:rsidR="008D6F05" w:rsidRPr="008D6F05">
        <w:rPr>
          <w:rFonts w:ascii="Arial" w:hAnsi="Arial" w:cs="Arial"/>
        </w:rPr>
        <w:t xml:space="preserve">alendar year. </w:t>
      </w:r>
      <w:r w:rsidR="008D6F05">
        <w:rPr>
          <w:rFonts w:ascii="Arial" w:hAnsi="Arial" w:cs="Arial"/>
        </w:rPr>
        <w:t xml:space="preserve">The </w:t>
      </w:r>
      <w:r w:rsidR="008D6F05" w:rsidRPr="008D6F05">
        <w:rPr>
          <w:rFonts w:ascii="Arial" w:hAnsi="Arial" w:cs="Arial"/>
        </w:rPr>
        <w:t>S</w:t>
      </w:r>
      <w:r w:rsidR="008D6F05">
        <w:rPr>
          <w:rFonts w:ascii="Arial" w:hAnsi="Arial" w:cs="Arial"/>
        </w:rPr>
        <w:t xml:space="preserve">outh </w:t>
      </w:r>
      <w:r w:rsidR="008D6F05" w:rsidRPr="008D6F05">
        <w:rPr>
          <w:rFonts w:ascii="Arial" w:hAnsi="Arial" w:cs="Arial"/>
        </w:rPr>
        <w:t>A</w:t>
      </w:r>
      <w:r w:rsidR="008D6F05">
        <w:rPr>
          <w:rFonts w:ascii="Arial" w:hAnsi="Arial" w:cs="Arial"/>
        </w:rPr>
        <w:t xml:space="preserve">frican </w:t>
      </w:r>
      <w:r w:rsidR="008D6F05" w:rsidRPr="008D6F05">
        <w:rPr>
          <w:rFonts w:ascii="Arial" w:hAnsi="Arial" w:cs="Arial"/>
        </w:rPr>
        <w:t>Q</w:t>
      </w:r>
      <w:r w:rsidR="008D6F05">
        <w:rPr>
          <w:rFonts w:ascii="Arial" w:hAnsi="Arial" w:cs="Arial"/>
        </w:rPr>
        <w:t xml:space="preserve">ualifications </w:t>
      </w:r>
      <w:r w:rsidR="008D6F05" w:rsidRPr="008D6F05">
        <w:rPr>
          <w:rFonts w:ascii="Arial" w:hAnsi="Arial" w:cs="Arial"/>
        </w:rPr>
        <w:t>A</w:t>
      </w:r>
      <w:r w:rsidR="008D6F05">
        <w:rPr>
          <w:rFonts w:ascii="Arial" w:hAnsi="Arial" w:cs="Arial"/>
        </w:rPr>
        <w:t>uthority</w:t>
      </w:r>
      <w:r w:rsidR="008D6F05" w:rsidRPr="008D6F05">
        <w:rPr>
          <w:rFonts w:ascii="Arial" w:hAnsi="Arial" w:cs="Arial"/>
        </w:rPr>
        <w:t xml:space="preserve"> has since recognised the University with the result that the relationship between TETA and </w:t>
      </w:r>
      <w:r w:rsidR="00FF1D99">
        <w:rPr>
          <w:rFonts w:ascii="Arial" w:hAnsi="Arial" w:cs="Arial"/>
        </w:rPr>
        <w:t>WMU</w:t>
      </w:r>
      <w:r w:rsidR="008D6F05" w:rsidRPr="008D6F05">
        <w:rPr>
          <w:rFonts w:ascii="Arial" w:hAnsi="Arial" w:cs="Arial"/>
        </w:rPr>
        <w:t xml:space="preserve"> will continue to address Operation Phakisa imperatives.  </w:t>
      </w:r>
    </w:p>
    <w:p w:rsidR="008D6F05" w:rsidRPr="008D6F05" w:rsidRDefault="008D6F05" w:rsidP="0027641D">
      <w:pPr>
        <w:spacing w:line="360" w:lineRule="auto"/>
        <w:jc w:val="both"/>
        <w:outlineLvl w:val="0"/>
        <w:rPr>
          <w:rFonts w:ascii="Arial" w:hAnsi="Arial" w:cs="Arial"/>
        </w:rPr>
      </w:pPr>
      <w:r w:rsidRPr="008D6F05">
        <w:rPr>
          <w:rFonts w:ascii="Arial" w:hAnsi="Arial" w:cs="Arial"/>
        </w:rPr>
        <w:t xml:space="preserve">The relationship between TETA and WMU fits squarely within </w:t>
      </w:r>
      <w:r w:rsidR="00FF1D99">
        <w:rPr>
          <w:rFonts w:ascii="Arial" w:hAnsi="Arial" w:cs="Arial"/>
        </w:rPr>
        <w:t>g</w:t>
      </w:r>
      <w:r w:rsidRPr="008D6F05">
        <w:rPr>
          <w:rFonts w:ascii="Arial" w:hAnsi="Arial" w:cs="Arial"/>
        </w:rPr>
        <w:t>overnment</w:t>
      </w:r>
      <w:r w:rsidR="00FF1D99">
        <w:rPr>
          <w:rFonts w:ascii="Arial" w:hAnsi="Arial" w:cs="Arial"/>
        </w:rPr>
        <w:t>’s p</w:t>
      </w:r>
      <w:r w:rsidRPr="008D6F05">
        <w:rPr>
          <w:rFonts w:ascii="Arial" w:hAnsi="Arial" w:cs="Arial"/>
        </w:rPr>
        <w:t>r</w:t>
      </w:r>
      <w:r w:rsidR="00FF1D99">
        <w:rPr>
          <w:rFonts w:ascii="Arial" w:hAnsi="Arial" w:cs="Arial"/>
        </w:rPr>
        <w:t>iorities in m</w:t>
      </w:r>
      <w:r w:rsidRPr="008D6F05">
        <w:rPr>
          <w:rFonts w:ascii="Arial" w:hAnsi="Arial" w:cs="Arial"/>
        </w:rPr>
        <w:t xml:space="preserve">aritime (Operation Phakisa) and more learners will be </w:t>
      </w:r>
      <w:r w:rsidR="00FF1D99">
        <w:rPr>
          <w:rFonts w:ascii="Arial" w:hAnsi="Arial" w:cs="Arial"/>
        </w:rPr>
        <w:t xml:space="preserve">afforded the opportunity </w:t>
      </w:r>
      <w:r w:rsidRPr="008D6F05">
        <w:rPr>
          <w:rFonts w:ascii="Arial" w:hAnsi="Arial" w:cs="Arial"/>
        </w:rPr>
        <w:t>of acquiring skills in this field.</w:t>
      </w:r>
    </w:p>
    <w:p w:rsidR="008D6F05" w:rsidRPr="00FF1D99" w:rsidRDefault="008D6F05" w:rsidP="0027641D">
      <w:pPr>
        <w:spacing w:after="0" w:line="360" w:lineRule="auto"/>
        <w:jc w:val="both"/>
        <w:outlineLvl w:val="0"/>
        <w:rPr>
          <w:rFonts w:ascii="Arial" w:hAnsi="Arial" w:cs="Arial"/>
          <w:b/>
        </w:rPr>
      </w:pPr>
      <w:r w:rsidRPr="00FF1D99">
        <w:rPr>
          <w:rFonts w:ascii="Arial" w:hAnsi="Arial" w:cs="Arial"/>
          <w:b/>
        </w:rPr>
        <w:t>GIBS International Leadership Development Programme (ILDP) and International Executive Development Programme (IEDP) Global Immersion Report January 2016</w:t>
      </w:r>
    </w:p>
    <w:p w:rsidR="008D6F05" w:rsidRPr="008D6F05" w:rsidRDefault="00FF1D99" w:rsidP="0027641D">
      <w:pPr>
        <w:spacing w:line="360" w:lineRule="auto"/>
        <w:jc w:val="both"/>
        <w:outlineLvl w:val="0"/>
        <w:rPr>
          <w:rFonts w:ascii="Arial" w:hAnsi="Arial" w:cs="Arial"/>
        </w:rPr>
      </w:pPr>
      <w:r>
        <w:rPr>
          <w:rFonts w:ascii="Arial" w:hAnsi="Arial" w:cs="Arial"/>
        </w:rPr>
        <w:t>100 T</w:t>
      </w:r>
      <w:r w:rsidR="008D6F05" w:rsidRPr="008D6F05">
        <w:rPr>
          <w:rFonts w:ascii="Arial" w:hAnsi="Arial" w:cs="Arial"/>
        </w:rPr>
        <w:t xml:space="preserve">ransport sector employees were trained in </w:t>
      </w:r>
      <w:r>
        <w:rPr>
          <w:rFonts w:ascii="Arial" w:hAnsi="Arial" w:cs="Arial"/>
        </w:rPr>
        <w:t xml:space="preserve">the </w:t>
      </w:r>
      <w:r w:rsidR="008D6F05" w:rsidRPr="008D6F05">
        <w:rPr>
          <w:rFonts w:ascii="Arial" w:hAnsi="Arial" w:cs="Arial"/>
        </w:rPr>
        <w:t>International Leadership Development Programme</w:t>
      </w:r>
      <w:r>
        <w:rPr>
          <w:rFonts w:ascii="Arial" w:hAnsi="Arial" w:cs="Arial"/>
        </w:rPr>
        <w:t>,</w:t>
      </w:r>
      <w:r w:rsidR="008D6F05" w:rsidRPr="008D6F05">
        <w:rPr>
          <w:rFonts w:ascii="Arial" w:hAnsi="Arial" w:cs="Arial"/>
        </w:rPr>
        <w:t xml:space="preserve"> which included an international leg</w:t>
      </w:r>
      <w:r>
        <w:rPr>
          <w:rFonts w:ascii="Arial" w:hAnsi="Arial" w:cs="Arial"/>
        </w:rPr>
        <w:t xml:space="preserve"> and a further</w:t>
      </w:r>
      <w:r w:rsidR="008D6F05" w:rsidRPr="008D6F05">
        <w:rPr>
          <w:rFonts w:ascii="Arial" w:hAnsi="Arial" w:cs="Arial"/>
        </w:rPr>
        <w:t xml:space="preserve"> 25 transport sector employees were trained in the International Executive Development Programme. </w:t>
      </w:r>
    </w:p>
    <w:p w:rsidR="008D6F05" w:rsidRPr="00FF1D99" w:rsidRDefault="008D6F05" w:rsidP="0027641D">
      <w:pPr>
        <w:spacing w:after="0" w:line="360" w:lineRule="auto"/>
        <w:jc w:val="both"/>
        <w:outlineLvl w:val="0"/>
        <w:rPr>
          <w:rFonts w:ascii="Arial" w:hAnsi="Arial" w:cs="Arial"/>
          <w:b/>
        </w:rPr>
      </w:pPr>
      <w:r w:rsidRPr="00FF1D99">
        <w:rPr>
          <w:rFonts w:ascii="Arial" w:hAnsi="Arial" w:cs="Arial"/>
          <w:b/>
        </w:rPr>
        <w:t>Wits Business School Strategic International Board Leadership Programme August 2015</w:t>
      </w:r>
    </w:p>
    <w:p w:rsidR="008D6F05" w:rsidRPr="008D6F05" w:rsidRDefault="008D6F05" w:rsidP="0027641D">
      <w:pPr>
        <w:spacing w:line="360" w:lineRule="auto"/>
        <w:jc w:val="both"/>
        <w:outlineLvl w:val="0"/>
        <w:rPr>
          <w:rFonts w:ascii="Arial" w:hAnsi="Arial" w:cs="Arial"/>
        </w:rPr>
      </w:pPr>
      <w:r w:rsidRPr="008D6F05">
        <w:rPr>
          <w:rFonts w:ascii="Arial" w:hAnsi="Arial" w:cs="Arial"/>
        </w:rPr>
        <w:t xml:space="preserve">The Boards of all SETAs comprise of employer representatives as well as organised labour and, in TETA’s instance, employees within </w:t>
      </w:r>
      <w:r w:rsidR="00FF1D99">
        <w:rPr>
          <w:rFonts w:ascii="Arial" w:hAnsi="Arial" w:cs="Arial"/>
        </w:rPr>
        <w:t>the transport sector. 18 L</w:t>
      </w:r>
      <w:r w:rsidRPr="008D6F05">
        <w:rPr>
          <w:rFonts w:ascii="Arial" w:hAnsi="Arial" w:cs="Arial"/>
        </w:rPr>
        <w:t>earners within the sector have benefitted from this programme.</w:t>
      </w:r>
    </w:p>
    <w:p w:rsidR="008D6F05" w:rsidRPr="008D6F05" w:rsidRDefault="008D6F05" w:rsidP="0027641D">
      <w:pPr>
        <w:spacing w:line="360" w:lineRule="auto"/>
        <w:jc w:val="both"/>
        <w:outlineLvl w:val="0"/>
        <w:rPr>
          <w:rFonts w:ascii="Arial" w:hAnsi="Arial" w:cs="Arial"/>
        </w:rPr>
      </w:pPr>
      <w:r w:rsidRPr="008D6F05">
        <w:rPr>
          <w:rFonts w:ascii="Arial" w:hAnsi="Arial" w:cs="Arial"/>
        </w:rPr>
        <w:t xml:space="preserve">This Programme was aimed at enhancing the Board and Senior Management’s capabilities in implementing the Skills Development mandate. Emanating from </w:t>
      </w:r>
      <w:r w:rsidR="00FF1D99">
        <w:rPr>
          <w:rFonts w:ascii="Arial" w:hAnsi="Arial" w:cs="Arial"/>
        </w:rPr>
        <w:t>this programme,</w:t>
      </w:r>
      <w:r w:rsidRPr="008D6F05">
        <w:rPr>
          <w:rFonts w:ascii="Arial" w:hAnsi="Arial" w:cs="Arial"/>
        </w:rPr>
        <w:t xml:space="preserve"> the </w:t>
      </w:r>
      <w:r w:rsidR="00FF1D99">
        <w:rPr>
          <w:rFonts w:ascii="Arial" w:hAnsi="Arial" w:cs="Arial"/>
        </w:rPr>
        <w:t>management and Board has</w:t>
      </w:r>
      <w:r w:rsidRPr="008D6F05">
        <w:rPr>
          <w:rFonts w:ascii="Arial" w:hAnsi="Arial" w:cs="Arial"/>
        </w:rPr>
        <w:t xml:space="preserve"> established an essential, beneficial relationship that will serve the greater purpose of enhancing th</w:t>
      </w:r>
      <w:r w:rsidR="00FF1D99">
        <w:rPr>
          <w:rFonts w:ascii="Arial" w:hAnsi="Arial" w:cs="Arial"/>
        </w:rPr>
        <w:t>e performance of TETA as per the</w:t>
      </w:r>
      <w:r w:rsidRPr="008D6F05">
        <w:rPr>
          <w:rFonts w:ascii="Arial" w:hAnsi="Arial" w:cs="Arial"/>
        </w:rPr>
        <w:t xml:space="preserve"> Service Level Agreement signed with the Department of Higher Education and Training.   </w:t>
      </w:r>
    </w:p>
    <w:p w:rsidR="00FF1D99" w:rsidRPr="00FF1D99" w:rsidRDefault="008D6F05" w:rsidP="0027641D">
      <w:pPr>
        <w:spacing w:after="0" w:line="360" w:lineRule="auto"/>
        <w:jc w:val="both"/>
        <w:outlineLvl w:val="0"/>
        <w:rPr>
          <w:rFonts w:ascii="Arial" w:hAnsi="Arial" w:cs="Arial"/>
          <w:b/>
        </w:rPr>
      </w:pPr>
      <w:r w:rsidRPr="00FF1D99">
        <w:rPr>
          <w:rFonts w:ascii="Arial" w:hAnsi="Arial" w:cs="Arial"/>
          <w:b/>
        </w:rPr>
        <w:t xml:space="preserve">International Maritime Organisation </w:t>
      </w:r>
    </w:p>
    <w:p w:rsidR="008D6F05" w:rsidRPr="008D6F05" w:rsidRDefault="008D6F05" w:rsidP="0027641D">
      <w:pPr>
        <w:spacing w:line="360" w:lineRule="auto"/>
        <w:jc w:val="both"/>
        <w:outlineLvl w:val="0"/>
        <w:rPr>
          <w:rFonts w:ascii="Arial" w:hAnsi="Arial" w:cs="Arial"/>
        </w:rPr>
      </w:pPr>
      <w:r w:rsidRPr="008D6F05">
        <w:rPr>
          <w:rFonts w:ascii="Arial" w:hAnsi="Arial" w:cs="Arial"/>
        </w:rPr>
        <w:t>This visit is linked to the World Maritime University, a University established under the auspices of the International Maritime Org</w:t>
      </w:r>
      <w:r w:rsidR="00FF1D99">
        <w:rPr>
          <w:rFonts w:ascii="Arial" w:hAnsi="Arial" w:cs="Arial"/>
        </w:rPr>
        <w:t xml:space="preserve">anisation (United Nations). </w:t>
      </w:r>
    </w:p>
    <w:p w:rsidR="008D6F05" w:rsidRPr="00FF1D99" w:rsidRDefault="00915775" w:rsidP="0027641D">
      <w:pPr>
        <w:spacing w:after="0" w:line="360" w:lineRule="auto"/>
        <w:jc w:val="both"/>
        <w:outlineLvl w:val="0"/>
        <w:rPr>
          <w:rFonts w:ascii="Arial" w:hAnsi="Arial" w:cs="Arial"/>
          <w:b/>
        </w:rPr>
      </w:pPr>
      <w:r>
        <w:rPr>
          <w:rFonts w:ascii="Arial" w:hAnsi="Arial" w:cs="Arial"/>
          <w:b/>
        </w:rPr>
        <w:t>Panama</w:t>
      </w:r>
      <w:r w:rsidR="008D6F05" w:rsidRPr="00FF1D99">
        <w:rPr>
          <w:rFonts w:ascii="Arial" w:hAnsi="Arial" w:cs="Arial"/>
          <w:b/>
        </w:rPr>
        <w:t xml:space="preserve"> August 2016</w:t>
      </w:r>
      <w:r w:rsidR="008D6F05" w:rsidRPr="00FF1D99">
        <w:rPr>
          <w:rFonts w:ascii="Arial" w:hAnsi="Arial" w:cs="Arial"/>
          <w:b/>
        </w:rPr>
        <w:tab/>
      </w:r>
    </w:p>
    <w:p w:rsidR="00915775" w:rsidRPr="008D6F05" w:rsidRDefault="00915775" w:rsidP="0027641D">
      <w:pPr>
        <w:spacing w:line="360" w:lineRule="auto"/>
        <w:jc w:val="both"/>
        <w:outlineLvl w:val="0"/>
        <w:rPr>
          <w:rFonts w:ascii="Arial" w:hAnsi="Arial" w:cs="Arial"/>
        </w:rPr>
      </w:pPr>
      <w:r w:rsidRPr="008D6F05">
        <w:rPr>
          <w:rFonts w:ascii="Arial" w:hAnsi="Arial" w:cs="Arial"/>
        </w:rPr>
        <w:t>TETA had invested an amount of R202 million into the now defunct Fidentia, which funds were mean</w:t>
      </w:r>
      <w:r>
        <w:rPr>
          <w:rFonts w:ascii="Arial" w:hAnsi="Arial" w:cs="Arial"/>
        </w:rPr>
        <w:t>t for skills development. Upon the C</w:t>
      </w:r>
      <w:r w:rsidRPr="008D6F05">
        <w:rPr>
          <w:rFonts w:ascii="Arial" w:hAnsi="Arial" w:cs="Arial"/>
        </w:rPr>
        <w:t>urator having been appointed to handle the affairs of Fidentia, TETA received an amount of R33 million in the first Curator’s report. A further amount of R15 million is likely to be paid into TETA’s accounts upon acceptance of the Liquidation and Distribution account by the Master of the High Court. This amount will be reinvested into skills development.</w:t>
      </w:r>
    </w:p>
    <w:p w:rsidR="00915775" w:rsidRDefault="008D6F05" w:rsidP="0027641D">
      <w:pPr>
        <w:spacing w:line="360" w:lineRule="auto"/>
        <w:jc w:val="both"/>
        <w:outlineLvl w:val="0"/>
        <w:rPr>
          <w:rFonts w:ascii="Arial" w:hAnsi="Arial" w:cs="Arial"/>
        </w:rPr>
      </w:pPr>
      <w:r w:rsidRPr="008D6F05">
        <w:rPr>
          <w:rFonts w:ascii="Arial" w:hAnsi="Arial" w:cs="Arial"/>
        </w:rPr>
        <w:t xml:space="preserve">R8 million </w:t>
      </w:r>
      <w:r w:rsidR="00915775">
        <w:rPr>
          <w:rFonts w:ascii="Arial" w:hAnsi="Arial" w:cs="Arial"/>
        </w:rPr>
        <w:t xml:space="preserve">of the </w:t>
      </w:r>
      <w:r w:rsidR="00915775" w:rsidRPr="008D6F05">
        <w:rPr>
          <w:rFonts w:ascii="Arial" w:hAnsi="Arial" w:cs="Arial"/>
        </w:rPr>
        <w:t xml:space="preserve">R33 million received by TETA </w:t>
      </w:r>
      <w:r w:rsidRPr="008D6F05">
        <w:rPr>
          <w:rFonts w:ascii="Arial" w:hAnsi="Arial" w:cs="Arial"/>
        </w:rPr>
        <w:t>was reinvested into the World Maritime University programme with the result that 10 learners from the transport sector, as seconded by SAMSA, were funded to undertake</w:t>
      </w:r>
      <w:r w:rsidR="00915775">
        <w:rPr>
          <w:rFonts w:ascii="Arial" w:hAnsi="Arial" w:cs="Arial"/>
        </w:rPr>
        <w:t xml:space="preserve"> post</w:t>
      </w:r>
      <w:r w:rsidRPr="008D6F05">
        <w:rPr>
          <w:rFonts w:ascii="Arial" w:hAnsi="Arial" w:cs="Arial"/>
        </w:rPr>
        <w:t>gradua</w:t>
      </w:r>
      <w:r w:rsidR="00915775">
        <w:rPr>
          <w:rFonts w:ascii="Arial" w:hAnsi="Arial" w:cs="Arial"/>
        </w:rPr>
        <w:t xml:space="preserve">te learning at the University. </w:t>
      </w:r>
      <w:r w:rsidRPr="008D6F05">
        <w:rPr>
          <w:rFonts w:ascii="Arial" w:hAnsi="Arial" w:cs="Arial"/>
        </w:rPr>
        <w:t xml:space="preserve">The visit was aimed at following some of the money Fidentia channelled outside the shores of South Africa for purposes of re-investing it into skills programmes. </w:t>
      </w:r>
    </w:p>
    <w:p w:rsidR="008D6F05" w:rsidRPr="00915775" w:rsidRDefault="00915775" w:rsidP="0027641D">
      <w:pPr>
        <w:spacing w:after="0" w:line="360" w:lineRule="auto"/>
        <w:jc w:val="both"/>
        <w:rPr>
          <w:rFonts w:ascii="Arial" w:hAnsi="Arial" w:cs="Arial"/>
          <w:b/>
        </w:rPr>
      </w:pPr>
      <w:r w:rsidRPr="00915775">
        <w:rPr>
          <w:rFonts w:ascii="Arial" w:hAnsi="Arial" w:cs="Arial"/>
          <w:b/>
        </w:rPr>
        <w:t xml:space="preserve">Cranfield and Plymouth </w:t>
      </w:r>
      <w:r w:rsidR="008D6F05" w:rsidRPr="00915775">
        <w:rPr>
          <w:rFonts w:ascii="Arial" w:hAnsi="Arial" w:cs="Arial"/>
          <w:b/>
        </w:rPr>
        <w:t>August 2016</w:t>
      </w:r>
      <w:r w:rsidR="008D6F05" w:rsidRPr="00915775">
        <w:rPr>
          <w:rFonts w:ascii="Arial" w:hAnsi="Arial" w:cs="Arial"/>
          <w:b/>
        </w:rPr>
        <w:tab/>
      </w:r>
    </w:p>
    <w:p w:rsidR="00915775" w:rsidRPr="008D6F05" w:rsidRDefault="008D6F05" w:rsidP="0027641D">
      <w:pPr>
        <w:spacing w:line="360" w:lineRule="auto"/>
        <w:jc w:val="both"/>
        <w:rPr>
          <w:rFonts w:ascii="Arial" w:hAnsi="Arial" w:cs="Arial"/>
        </w:rPr>
      </w:pPr>
      <w:r w:rsidRPr="008D6F05">
        <w:rPr>
          <w:rFonts w:ascii="Arial" w:hAnsi="Arial" w:cs="Arial"/>
        </w:rPr>
        <w:t xml:space="preserve">A leadership development programme aimed only at women has been established in collaboration with Cranfield University. </w:t>
      </w:r>
      <w:r w:rsidR="00915775">
        <w:rPr>
          <w:rFonts w:ascii="Arial" w:hAnsi="Arial" w:cs="Arial"/>
        </w:rPr>
        <w:t xml:space="preserve">In 2017, </w:t>
      </w:r>
      <w:r w:rsidR="00915775" w:rsidRPr="008D6F05">
        <w:rPr>
          <w:rFonts w:ascii="Arial" w:hAnsi="Arial" w:cs="Arial"/>
        </w:rPr>
        <w:t>TETA has committed to send 20 women to Cranfield University in the U</w:t>
      </w:r>
      <w:r w:rsidR="00915775">
        <w:rPr>
          <w:rFonts w:ascii="Arial" w:hAnsi="Arial" w:cs="Arial"/>
        </w:rPr>
        <w:t xml:space="preserve">nited </w:t>
      </w:r>
      <w:r w:rsidR="00915775" w:rsidRPr="008D6F05">
        <w:rPr>
          <w:rFonts w:ascii="Arial" w:hAnsi="Arial" w:cs="Arial"/>
        </w:rPr>
        <w:t>K</w:t>
      </w:r>
      <w:r w:rsidR="00915775">
        <w:rPr>
          <w:rFonts w:ascii="Arial" w:hAnsi="Arial" w:cs="Arial"/>
        </w:rPr>
        <w:t>ingdom</w:t>
      </w:r>
      <w:r w:rsidR="00915775" w:rsidRPr="008D6F05">
        <w:rPr>
          <w:rFonts w:ascii="Arial" w:hAnsi="Arial" w:cs="Arial"/>
        </w:rPr>
        <w:t xml:space="preserve"> for this particular purpose.</w:t>
      </w:r>
    </w:p>
    <w:p w:rsidR="008D6F05" w:rsidRPr="00915775" w:rsidRDefault="008D6F05" w:rsidP="0027641D">
      <w:pPr>
        <w:spacing w:after="0" w:line="360" w:lineRule="auto"/>
        <w:jc w:val="both"/>
        <w:outlineLvl w:val="0"/>
        <w:rPr>
          <w:rFonts w:ascii="Arial" w:hAnsi="Arial" w:cs="Arial"/>
          <w:b/>
        </w:rPr>
      </w:pPr>
      <w:r w:rsidRPr="00915775">
        <w:rPr>
          <w:rFonts w:ascii="Arial" w:hAnsi="Arial" w:cs="Arial"/>
          <w:b/>
        </w:rPr>
        <w:t>Mozambique TETA/Indub Litigation April 2016</w:t>
      </w:r>
      <w:r w:rsidRPr="00915775">
        <w:rPr>
          <w:rFonts w:ascii="Arial" w:hAnsi="Arial" w:cs="Arial"/>
          <w:b/>
        </w:rPr>
        <w:tab/>
      </w:r>
      <w:r w:rsidRPr="00915775">
        <w:rPr>
          <w:rFonts w:ascii="Arial" w:hAnsi="Arial" w:cs="Arial"/>
          <w:b/>
        </w:rPr>
        <w:tab/>
      </w:r>
    </w:p>
    <w:p w:rsidR="008D6F05" w:rsidRPr="008D6F05" w:rsidRDefault="008D6F05" w:rsidP="0027641D">
      <w:pPr>
        <w:spacing w:line="360" w:lineRule="auto"/>
        <w:jc w:val="both"/>
        <w:outlineLvl w:val="0"/>
        <w:rPr>
          <w:rFonts w:ascii="Arial" w:hAnsi="Arial" w:cs="Arial"/>
        </w:rPr>
      </w:pPr>
      <w:r w:rsidRPr="008D6F05">
        <w:rPr>
          <w:rFonts w:ascii="Arial" w:hAnsi="Arial" w:cs="Arial"/>
        </w:rPr>
        <w:t xml:space="preserve">This is part of litigation </w:t>
      </w:r>
      <w:r w:rsidR="0027641D">
        <w:rPr>
          <w:rFonts w:ascii="Arial" w:hAnsi="Arial" w:cs="Arial"/>
        </w:rPr>
        <w:t>and t</w:t>
      </w:r>
      <w:r w:rsidRPr="008D6F05">
        <w:rPr>
          <w:rFonts w:ascii="Arial" w:hAnsi="Arial" w:cs="Arial"/>
        </w:rPr>
        <w:t>he matter i</w:t>
      </w:r>
      <w:r w:rsidR="0027641D">
        <w:rPr>
          <w:rFonts w:ascii="Arial" w:hAnsi="Arial" w:cs="Arial"/>
        </w:rPr>
        <w:t>s still sub judice. Should the C</w:t>
      </w:r>
      <w:r w:rsidRPr="008D6F05">
        <w:rPr>
          <w:rFonts w:ascii="Arial" w:hAnsi="Arial" w:cs="Arial"/>
        </w:rPr>
        <w:t>ourt</w:t>
      </w:r>
      <w:r w:rsidR="0027641D">
        <w:rPr>
          <w:rFonts w:ascii="Arial" w:hAnsi="Arial" w:cs="Arial"/>
        </w:rPr>
        <w:t>s</w:t>
      </w:r>
      <w:r w:rsidRPr="008D6F05">
        <w:rPr>
          <w:rFonts w:ascii="Arial" w:hAnsi="Arial" w:cs="Arial"/>
        </w:rPr>
        <w:t xml:space="preserve"> find in favour of TETA, </w:t>
      </w:r>
      <w:r w:rsidR="0027641D">
        <w:rPr>
          <w:rFonts w:ascii="Arial" w:hAnsi="Arial" w:cs="Arial"/>
        </w:rPr>
        <w:t xml:space="preserve">the </w:t>
      </w:r>
      <w:r w:rsidRPr="008D6F05">
        <w:rPr>
          <w:rFonts w:ascii="Arial" w:hAnsi="Arial" w:cs="Arial"/>
        </w:rPr>
        <w:t xml:space="preserve">savings </w:t>
      </w:r>
      <w:r w:rsidR="0027641D">
        <w:rPr>
          <w:rFonts w:ascii="Arial" w:hAnsi="Arial" w:cs="Arial"/>
        </w:rPr>
        <w:t xml:space="preserve">generated </w:t>
      </w:r>
      <w:r w:rsidRPr="008D6F05">
        <w:rPr>
          <w:rFonts w:ascii="Arial" w:hAnsi="Arial" w:cs="Arial"/>
        </w:rPr>
        <w:t>will be reinvested into skills development.</w:t>
      </w:r>
    </w:p>
    <w:p w:rsidR="0027641D" w:rsidRPr="0027641D" w:rsidRDefault="00915775" w:rsidP="0027641D">
      <w:pPr>
        <w:spacing w:after="0" w:line="360" w:lineRule="auto"/>
        <w:jc w:val="both"/>
        <w:rPr>
          <w:rFonts w:ascii="Arial" w:hAnsi="Arial" w:cs="Arial"/>
          <w:b/>
        </w:rPr>
      </w:pPr>
      <w:r w:rsidRPr="0027641D">
        <w:rPr>
          <w:rFonts w:ascii="Arial" w:hAnsi="Arial" w:cs="Arial"/>
          <w:b/>
        </w:rPr>
        <w:t>Road Safety Study T</w:t>
      </w:r>
      <w:r w:rsidR="008D6F05" w:rsidRPr="0027641D">
        <w:rPr>
          <w:rFonts w:ascii="Arial" w:hAnsi="Arial" w:cs="Arial"/>
          <w:b/>
        </w:rPr>
        <w:t xml:space="preserve">our </w:t>
      </w:r>
    </w:p>
    <w:p w:rsidR="008D6F05" w:rsidRPr="008D6F05" w:rsidRDefault="008D6F05" w:rsidP="0027641D">
      <w:pPr>
        <w:spacing w:line="360" w:lineRule="auto"/>
        <w:jc w:val="both"/>
        <w:rPr>
          <w:rFonts w:ascii="Arial" w:hAnsi="Arial" w:cs="Arial"/>
        </w:rPr>
      </w:pPr>
      <w:r w:rsidRPr="008D6F05">
        <w:rPr>
          <w:rFonts w:ascii="Arial" w:hAnsi="Arial" w:cs="Arial"/>
        </w:rPr>
        <w:t>TETA has partnered with</w:t>
      </w:r>
      <w:r w:rsidR="0027641D">
        <w:rPr>
          <w:rFonts w:ascii="Arial" w:hAnsi="Arial" w:cs="Arial"/>
        </w:rPr>
        <w:t xml:space="preserve"> the </w:t>
      </w:r>
      <w:r w:rsidR="0027641D" w:rsidRPr="008D6F05">
        <w:rPr>
          <w:rFonts w:ascii="Arial" w:hAnsi="Arial" w:cs="Arial"/>
        </w:rPr>
        <w:t xml:space="preserve">Road Traffic Infringement Agency </w:t>
      </w:r>
      <w:r w:rsidRPr="008D6F05">
        <w:rPr>
          <w:rFonts w:ascii="Arial" w:hAnsi="Arial" w:cs="Arial"/>
        </w:rPr>
        <w:t>to roll out road safety programmes in the country</w:t>
      </w:r>
      <w:r w:rsidR="0027641D">
        <w:rPr>
          <w:rFonts w:ascii="Arial" w:hAnsi="Arial" w:cs="Arial"/>
        </w:rPr>
        <w:t xml:space="preserve"> resembling the lessons learnt o</w:t>
      </w:r>
      <w:r w:rsidRPr="008D6F05">
        <w:rPr>
          <w:rFonts w:ascii="Arial" w:hAnsi="Arial" w:cs="Arial"/>
        </w:rPr>
        <w:t>n the trip. This programme will benefit a considerable number of beneficiaries and is aimed at addressing the carnage on South Africa’s roads.</w:t>
      </w:r>
    </w:p>
    <w:p w:rsidR="0027641D" w:rsidRDefault="0027641D" w:rsidP="0027641D">
      <w:pPr>
        <w:spacing w:after="0" w:line="360" w:lineRule="auto"/>
        <w:jc w:val="both"/>
        <w:rPr>
          <w:rFonts w:ascii="Arial" w:hAnsi="Arial" w:cs="Arial"/>
          <w:b/>
        </w:rPr>
      </w:pPr>
    </w:p>
    <w:p w:rsidR="008D6F05" w:rsidRPr="0027641D" w:rsidRDefault="008D6F05" w:rsidP="0027641D">
      <w:pPr>
        <w:spacing w:after="0" w:line="360" w:lineRule="auto"/>
        <w:jc w:val="both"/>
        <w:rPr>
          <w:rFonts w:ascii="Arial" w:hAnsi="Arial" w:cs="Arial"/>
          <w:b/>
        </w:rPr>
      </w:pPr>
      <w:r w:rsidRPr="0027641D">
        <w:rPr>
          <w:rFonts w:ascii="Arial" w:hAnsi="Arial" w:cs="Arial"/>
          <w:b/>
        </w:rPr>
        <w:t>Students for Advancement of Global Entrepreneurship (SAGE)</w:t>
      </w:r>
      <w:r w:rsidRPr="0027641D">
        <w:rPr>
          <w:rFonts w:ascii="Arial" w:hAnsi="Arial" w:cs="Arial"/>
          <w:b/>
        </w:rPr>
        <w:tab/>
      </w:r>
    </w:p>
    <w:p w:rsidR="008D6F05" w:rsidRPr="008D6F05" w:rsidRDefault="008D6F05" w:rsidP="0027641D">
      <w:pPr>
        <w:spacing w:line="360" w:lineRule="auto"/>
        <w:jc w:val="both"/>
        <w:rPr>
          <w:rFonts w:ascii="Arial" w:hAnsi="Arial" w:cs="Arial"/>
        </w:rPr>
      </w:pPr>
      <w:r w:rsidRPr="008D6F05">
        <w:rPr>
          <w:rFonts w:ascii="Arial" w:hAnsi="Arial" w:cs="Arial"/>
        </w:rPr>
        <w:t>TETA as advocates for SMME development and supporting small growing institutions has established a need to look at extending its scope to support high school pupils</w:t>
      </w:r>
      <w:r w:rsidR="0027641D">
        <w:rPr>
          <w:rFonts w:ascii="Arial" w:hAnsi="Arial" w:cs="Arial"/>
        </w:rPr>
        <w:t xml:space="preserve">, </w:t>
      </w:r>
      <w:r w:rsidRPr="008D6F05">
        <w:rPr>
          <w:rFonts w:ascii="Arial" w:hAnsi="Arial" w:cs="Arial"/>
        </w:rPr>
        <w:t>college and university students in their entrepreneurial ideas and innovations. To this end</w:t>
      </w:r>
      <w:r w:rsidR="0027641D">
        <w:rPr>
          <w:rFonts w:ascii="Arial" w:hAnsi="Arial" w:cs="Arial"/>
        </w:rPr>
        <w:t>,</w:t>
      </w:r>
      <w:r w:rsidRPr="008D6F05">
        <w:rPr>
          <w:rFonts w:ascii="Arial" w:hAnsi="Arial" w:cs="Arial"/>
        </w:rPr>
        <w:t xml:space="preserve"> TETA has adopted 54 schools across the provinces of South Africa. The programme is aimed at s</w:t>
      </w:r>
      <w:r w:rsidR="0027641D">
        <w:rPr>
          <w:rFonts w:ascii="Arial" w:hAnsi="Arial" w:cs="Arial"/>
        </w:rPr>
        <w:t>upporting the schools with Mathematics, Science and Technology. A small b</w:t>
      </w:r>
      <w:r w:rsidRPr="008D6F05">
        <w:rPr>
          <w:rFonts w:ascii="Arial" w:hAnsi="Arial" w:cs="Arial"/>
        </w:rPr>
        <w:t>us</w:t>
      </w:r>
      <w:r w:rsidR="0027641D">
        <w:rPr>
          <w:rFonts w:ascii="Arial" w:hAnsi="Arial" w:cs="Arial"/>
        </w:rPr>
        <w:t>iness development s</w:t>
      </w:r>
      <w:r w:rsidRPr="008D6F05">
        <w:rPr>
          <w:rFonts w:ascii="Arial" w:hAnsi="Arial" w:cs="Arial"/>
        </w:rPr>
        <w:t xml:space="preserve">trategy has since been adopted by the </w:t>
      </w:r>
      <w:r w:rsidR="0027641D">
        <w:rPr>
          <w:rFonts w:ascii="Arial" w:hAnsi="Arial" w:cs="Arial"/>
        </w:rPr>
        <w:t xml:space="preserve">TETA </w:t>
      </w:r>
      <w:r w:rsidRPr="008D6F05">
        <w:rPr>
          <w:rFonts w:ascii="Arial" w:hAnsi="Arial" w:cs="Arial"/>
        </w:rPr>
        <w:t xml:space="preserve">Board with the result that many small companies are </w:t>
      </w:r>
      <w:r w:rsidR="0027641D">
        <w:rPr>
          <w:rFonts w:ascii="Arial" w:hAnsi="Arial" w:cs="Arial"/>
        </w:rPr>
        <w:t xml:space="preserve">currently being </w:t>
      </w:r>
      <w:r w:rsidRPr="008D6F05">
        <w:rPr>
          <w:rFonts w:ascii="Arial" w:hAnsi="Arial" w:cs="Arial"/>
        </w:rPr>
        <w:t>supported.</w:t>
      </w: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27641D" w:rsidRDefault="0027641D" w:rsidP="00754BC9">
      <w:pPr>
        <w:spacing w:line="360" w:lineRule="auto"/>
        <w:jc w:val="both"/>
        <w:rPr>
          <w:rFonts w:ascii="Arial" w:eastAsia="BatangChe" w:hAnsi="Arial" w:cs="Arial"/>
        </w:rPr>
      </w:pPr>
    </w:p>
    <w:p w:rsidR="00754BC9" w:rsidRDefault="00754BC9" w:rsidP="00754BC9">
      <w:pPr>
        <w:spacing w:line="360" w:lineRule="auto"/>
        <w:jc w:val="both"/>
        <w:rPr>
          <w:rFonts w:ascii="Arial" w:eastAsia="BatangChe" w:hAnsi="Arial" w:cs="Arial"/>
        </w:rPr>
      </w:pPr>
      <w:r>
        <w:rPr>
          <w:rFonts w:ascii="Arial" w:eastAsia="BatangChe" w:hAnsi="Arial" w:cs="Arial"/>
        </w:rPr>
        <w:t xml:space="preserve">CONTACT PERSONS: </w:t>
      </w:r>
    </w:p>
    <w:p w:rsidR="00754BC9" w:rsidRDefault="00754BC9" w:rsidP="00754BC9">
      <w:pPr>
        <w:spacing w:line="360" w:lineRule="auto"/>
        <w:jc w:val="both"/>
        <w:rPr>
          <w:rFonts w:ascii="Arial" w:eastAsia="BatangChe" w:hAnsi="Arial" w:cs="Arial"/>
        </w:rPr>
      </w:pPr>
      <w:r>
        <w:rPr>
          <w:rFonts w:ascii="Arial" w:eastAsia="BatangChe" w:hAnsi="Arial" w:cs="Arial"/>
        </w:rPr>
        <w:t xml:space="preserve">EXT: </w:t>
      </w:r>
    </w:p>
    <w:p w:rsidR="00754BC9" w:rsidRDefault="00754BC9" w:rsidP="00754BC9">
      <w:pPr>
        <w:spacing w:after="0" w:line="360" w:lineRule="auto"/>
        <w:jc w:val="both"/>
      </w:pPr>
    </w:p>
    <w:p w:rsidR="00754BC9" w:rsidRDefault="00754BC9" w:rsidP="00754BC9">
      <w:pPr>
        <w:spacing w:after="0" w:line="360" w:lineRule="auto"/>
        <w:jc w:val="both"/>
      </w:pPr>
    </w:p>
    <w:p w:rsidR="00754BC9" w:rsidRDefault="00754BC9" w:rsidP="00754BC9">
      <w:pPr>
        <w:spacing w:after="0" w:line="360" w:lineRule="auto"/>
        <w:jc w:val="both"/>
      </w:pPr>
    </w:p>
    <w:p w:rsidR="00754BC9" w:rsidRDefault="00754BC9" w:rsidP="00754BC9">
      <w:pPr>
        <w:spacing w:after="0" w:line="360" w:lineRule="auto"/>
        <w:jc w:val="both"/>
      </w:pPr>
    </w:p>
    <w:p w:rsidR="00754BC9" w:rsidRDefault="00754BC9" w:rsidP="00754BC9">
      <w:pPr>
        <w:spacing w:after="0" w:line="360" w:lineRule="auto"/>
        <w:jc w:val="both"/>
      </w:pPr>
    </w:p>
    <w:p w:rsidR="00754BC9" w:rsidRDefault="00754BC9" w:rsidP="00754BC9">
      <w:pPr>
        <w:spacing w:after="0" w:line="360" w:lineRule="auto"/>
        <w:jc w:val="both"/>
      </w:pPr>
    </w:p>
    <w:p w:rsidR="00754BC9" w:rsidRDefault="00754BC9" w:rsidP="00754BC9">
      <w:pPr>
        <w:spacing w:after="0" w:line="360" w:lineRule="auto"/>
        <w:jc w:val="both"/>
        <w:rPr>
          <w:rFonts w:ascii="Arial" w:hAnsi="Arial" w:cs="Arial"/>
        </w:rPr>
      </w:pPr>
      <w:r>
        <w:rPr>
          <w:rFonts w:ascii="Arial" w:hAnsi="Arial" w:cs="Arial"/>
        </w:rPr>
        <w:t>DIRECTOR – GENERAL</w:t>
      </w:r>
    </w:p>
    <w:p w:rsidR="00754BC9" w:rsidRDefault="00754BC9" w:rsidP="00754BC9">
      <w:pPr>
        <w:spacing w:after="0" w:line="360" w:lineRule="auto"/>
        <w:jc w:val="both"/>
        <w:rPr>
          <w:rFonts w:ascii="Arial" w:hAnsi="Arial" w:cs="Arial"/>
        </w:rPr>
      </w:pPr>
      <w:r>
        <w:rPr>
          <w:rFonts w:ascii="Arial" w:hAnsi="Arial" w:cs="Arial"/>
        </w:rPr>
        <w:t>STATUS:</w:t>
      </w:r>
    </w:p>
    <w:p w:rsidR="00754BC9" w:rsidRDefault="00754BC9" w:rsidP="00754BC9">
      <w:pPr>
        <w:spacing w:after="0" w:line="360" w:lineRule="auto"/>
        <w:jc w:val="both"/>
        <w:rPr>
          <w:rFonts w:ascii="Arial" w:hAnsi="Arial" w:cs="Arial"/>
        </w:rPr>
      </w:pPr>
      <w:r>
        <w:rPr>
          <w:rFonts w:ascii="Arial" w:hAnsi="Arial" w:cs="Arial"/>
        </w:rPr>
        <w:t>DATE:</w:t>
      </w: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r>
        <w:rPr>
          <w:rFonts w:ascii="Arial" w:hAnsi="Arial" w:cs="Arial"/>
        </w:rPr>
        <w:t xml:space="preserve">QUESTION 840 APPROVED/NOT APPROVED/AMENDED </w:t>
      </w: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p>
    <w:p w:rsidR="00754BC9" w:rsidRDefault="00754BC9" w:rsidP="00754BC9">
      <w:pPr>
        <w:spacing w:after="0" w:line="360" w:lineRule="auto"/>
        <w:jc w:val="both"/>
        <w:rPr>
          <w:rFonts w:ascii="Arial" w:hAnsi="Arial" w:cs="Arial"/>
        </w:rPr>
      </w:pPr>
      <w:r>
        <w:rPr>
          <w:rFonts w:ascii="Arial" w:hAnsi="Arial" w:cs="Arial"/>
        </w:rPr>
        <w:t>Dr BE NZIMANDE, MP</w:t>
      </w:r>
    </w:p>
    <w:p w:rsidR="00754BC9" w:rsidRDefault="00754BC9" w:rsidP="00754BC9">
      <w:pPr>
        <w:spacing w:after="0" w:line="360" w:lineRule="auto"/>
        <w:jc w:val="both"/>
        <w:rPr>
          <w:rFonts w:ascii="Arial" w:hAnsi="Arial" w:cs="Arial"/>
        </w:rPr>
      </w:pPr>
      <w:r>
        <w:rPr>
          <w:rFonts w:ascii="Arial" w:hAnsi="Arial" w:cs="Arial"/>
        </w:rPr>
        <w:t>MINISTER OF HIGHER EDUCATION AND TRAINING</w:t>
      </w:r>
    </w:p>
    <w:p w:rsidR="00754BC9" w:rsidRDefault="00754BC9" w:rsidP="00754BC9">
      <w:pPr>
        <w:spacing w:after="0" w:line="360" w:lineRule="auto"/>
        <w:jc w:val="both"/>
        <w:rPr>
          <w:rFonts w:ascii="Arial" w:hAnsi="Arial" w:cs="Arial"/>
        </w:rPr>
      </w:pPr>
      <w:r>
        <w:rPr>
          <w:rFonts w:ascii="Arial" w:hAnsi="Arial" w:cs="Arial"/>
        </w:rPr>
        <w:t>STATUS:</w:t>
      </w:r>
    </w:p>
    <w:p w:rsidR="00754BC9" w:rsidRDefault="00754BC9" w:rsidP="00754BC9">
      <w:pPr>
        <w:spacing w:after="0" w:line="360" w:lineRule="auto"/>
        <w:jc w:val="both"/>
        <w:rPr>
          <w:rFonts w:ascii="Arial" w:hAnsi="Arial" w:cs="Arial"/>
        </w:rPr>
      </w:pPr>
      <w:r>
        <w:rPr>
          <w:rFonts w:ascii="Arial" w:hAnsi="Arial" w:cs="Arial"/>
        </w:rPr>
        <w:t>DATE:</w:t>
      </w:r>
    </w:p>
    <w:p w:rsidR="00C3677B" w:rsidRPr="00CC27E4" w:rsidRDefault="00C3677B" w:rsidP="00754BC9">
      <w:pPr>
        <w:spacing w:line="360" w:lineRule="auto"/>
        <w:jc w:val="both"/>
      </w:pPr>
    </w:p>
    <w:sectPr w:rsidR="00C3677B" w:rsidRPr="00CC27E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D635ED"/>
    <w:multiLevelType w:val="hybridMultilevel"/>
    <w:tmpl w:val="3200B0CC"/>
    <w:lvl w:ilvl="0" w:tplc="5622D4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35"/>
  </w:num>
  <w:num w:numId="4">
    <w:abstractNumId w:val="8"/>
  </w:num>
  <w:num w:numId="5">
    <w:abstractNumId w:val="38"/>
  </w:num>
  <w:num w:numId="6">
    <w:abstractNumId w:val="27"/>
  </w:num>
  <w:num w:numId="7">
    <w:abstractNumId w:val="37"/>
  </w:num>
  <w:num w:numId="8">
    <w:abstractNumId w:val="5"/>
  </w:num>
  <w:num w:numId="9">
    <w:abstractNumId w:val="33"/>
  </w:num>
  <w:num w:numId="10">
    <w:abstractNumId w:val="22"/>
  </w:num>
  <w:num w:numId="11">
    <w:abstractNumId w:val="36"/>
  </w:num>
  <w:num w:numId="12">
    <w:abstractNumId w:val="12"/>
  </w:num>
  <w:num w:numId="13">
    <w:abstractNumId w:val="42"/>
  </w:num>
  <w:num w:numId="14">
    <w:abstractNumId w:val="17"/>
  </w:num>
  <w:num w:numId="15">
    <w:abstractNumId w:val="6"/>
  </w:num>
  <w:num w:numId="16">
    <w:abstractNumId w:val="28"/>
  </w:num>
  <w:num w:numId="17">
    <w:abstractNumId w:val="13"/>
  </w:num>
  <w:num w:numId="18">
    <w:abstractNumId w:val="31"/>
  </w:num>
  <w:num w:numId="19">
    <w:abstractNumId w:val="29"/>
  </w:num>
  <w:num w:numId="20">
    <w:abstractNumId w:val="7"/>
  </w:num>
  <w:num w:numId="21">
    <w:abstractNumId w:val="18"/>
  </w:num>
  <w:num w:numId="22">
    <w:abstractNumId w:val="43"/>
  </w:num>
  <w:num w:numId="23">
    <w:abstractNumId w:val="32"/>
  </w:num>
  <w:num w:numId="24">
    <w:abstractNumId w:val="41"/>
  </w:num>
  <w:num w:numId="25">
    <w:abstractNumId w:val="39"/>
  </w:num>
  <w:num w:numId="26">
    <w:abstractNumId w:val="1"/>
  </w:num>
  <w:num w:numId="27">
    <w:abstractNumId w:val="14"/>
  </w:num>
  <w:num w:numId="28">
    <w:abstractNumId w:val="2"/>
  </w:num>
  <w:num w:numId="29">
    <w:abstractNumId w:val="34"/>
  </w:num>
  <w:num w:numId="30">
    <w:abstractNumId w:val="16"/>
  </w:num>
  <w:num w:numId="31">
    <w:abstractNumId w:val="0"/>
  </w:num>
  <w:num w:numId="32">
    <w:abstractNumId w:val="40"/>
  </w:num>
  <w:num w:numId="33">
    <w:abstractNumId w:val="15"/>
  </w:num>
  <w:num w:numId="34">
    <w:abstractNumId w:val="9"/>
  </w:num>
  <w:num w:numId="35">
    <w:abstractNumId w:val="10"/>
  </w:num>
  <w:num w:numId="36">
    <w:abstractNumId w:val="11"/>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4"/>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5BFB"/>
    <w:rsid w:val="00036029"/>
    <w:rsid w:val="00041F99"/>
    <w:rsid w:val="0004639E"/>
    <w:rsid w:val="000505EA"/>
    <w:rsid w:val="000579B9"/>
    <w:rsid w:val="00060888"/>
    <w:rsid w:val="00063A3A"/>
    <w:rsid w:val="00075314"/>
    <w:rsid w:val="00087811"/>
    <w:rsid w:val="00096A3C"/>
    <w:rsid w:val="000A02C9"/>
    <w:rsid w:val="000A0D33"/>
    <w:rsid w:val="000B7F3D"/>
    <w:rsid w:val="000C558D"/>
    <w:rsid w:val="000E58BD"/>
    <w:rsid w:val="000F2117"/>
    <w:rsid w:val="000F7AC3"/>
    <w:rsid w:val="00102241"/>
    <w:rsid w:val="0010402E"/>
    <w:rsid w:val="0010795D"/>
    <w:rsid w:val="001124D5"/>
    <w:rsid w:val="00125282"/>
    <w:rsid w:val="001256E4"/>
    <w:rsid w:val="001350B5"/>
    <w:rsid w:val="00135E62"/>
    <w:rsid w:val="0014191A"/>
    <w:rsid w:val="00141CFF"/>
    <w:rsid w:val="001447C9"/>
    <w:rsid w:val="00147BA4"/>
    <w:rsid w:val="0015268D"/>
    <w:rsid w:val="001527E6"/>
    <w:rsid w:val="0015436C"/>
    <w:rsid w:val="0017440B"/>
    <w:rsid w:val="00176498"/>
    <w:rsid w:val="00185818"/>
    <w:rsid w:val="00191755"/>
    <w:rsid w:val="00194585"/>
    <w:rsid w:val="001A01DC"/>
    <w:rsid w:val="001A1252"/>
    <w:rsid w:val="001A277A"/>
    <w:rsid w:val="001A69D0"/>
    <w:rsid w:val="001B1FBE"/>
    <w:rsid w:val="001B7215"/>
    <w:rsid w:val="001C0469"/>
    <w:rsid w:val="001C33B5"/>
    <w:rsid w:val="001C6A3B"/>
    <w:rsid w:val="001D7C6A"/>
    <w:rsid w:val="001E36DF"/>
    <w:rsid w:val="001F4B7D"/>
    <w:rsid w:val="001F7966"/>
    <w:rsid w:val="00203DEF"/>
    <w:rsid w:val="0020779F"/>
    <w:rsid w:val="00215455"/>
    <w:rsid w:val="00215FFE"/>
    <w:rsid w:val="0021665A"/>
    <w:rsid w:val="00217678"/>
    <w:rsid w:val="0022116B"/>
    <w:rsid w:val="002264C4"/>
    <w:rsid w:val="00227702"/>
    <w:rsid w:val="00245A6B"/>
    <w:rsid w:val="002476A9"/>
    <w:rsid w:val="00256281"/>
    <w:rsid w:val="00264295"/>
    <w:rsid w:val="00265A26"/>
    <w:rsid w:val="00265A88"/>
    <w:rsid w:val="002670F8"/>
    <w:rsid w:val="00270825"/>
    <w:rsid w:val="0027641D"/>
    <w:rsid w:val="00284BC9"/>
    <w:rsid w:val="0029445D"/>
    <w:rsid w:val="002A17B0"/>
    <w:rsid w:val="002A2F73"/>
    <w:rsid w:val="002A78D3"/>
    <w:rsid w:val="002A7C45"/>
    <w:rsid w:val="002A7DF4"/>
    <w:rsid w:val="002C16FF"/>
    <w:rsid w:val="002C60A6"/>
    <w:rsid w:val="002D188A"/>
    <w:rsid w:val="002E110D"/>
    <w:rsid w:val="002E1A85"/>
    <w:rsid w:val="002E3161"/>
    <w:rsid w:val="002F4DC9"/>
    <w:rsid w:val="002F6B49"/>
    <w:rsid w:val="00300C93"/>
    <w:rsid w:val="00305BF7"/>
    <w:rsid w:val="00313840"/>
    <w:rsid w:val="00313A4B"/>
    <w:rsid w:val="00315B13"/>
    <w:rsid w:val="003179C4"/>
    <w:rsid w:val="0032116C"/>
    <w:rsid w:val="003332D3"/>
    <w:rsid w:val="00337949"/>
    <w:rsid w:val="00341771"/>
    <w:rsid w:val="00344509"/>
    <w:rsid w:val="00346812"/>
    <w:rsid w:val="003517A1"/>
    <w:rsid w:val="00351E0F"/>
    <w:rsid w:val="0035694A"/>
    <w:rsid w:val="003612EE"/>
    <w:rsid w:val="00361776"/>
    <w:rsid w:val="003719FE"/>
    <w:rsid w:val="00374E4A"/>
    <w:rsid w:val="0037732E"/>
    <w:rsid w:val="003963E3"/>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39F0"/>
    <w:rsid w:val="004457FC"/>
    <w:rsid w:val="00447198"/>
    <w:rsid w:val="00457688"/>
    <w:rsid w:val="00463025"/>
    <w:rsid w:val="004672ED"/>
    <w:rsid w:val="00471F9D"/>
    <w:rsid w:val="004800DC"/>
    <w:rsid w:val="00492A36"/>
    <w:rsid w:val="004944AF"/>
    <w:rsid w:val="004965B4"/>
    <w:rsid w:val="004B7E13"/>
    <w:rsid w:val="004C4F38"/>
    <w:rsid w:val="004D2BE1"/>
    <w:rsid w:val="004D74FD"/>
    <w:rsid w:val="004E0458"/>
    <w:rsid w:val="004F37DA"/>
    <w:rsid w:val="004F7A0F"/>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A6E85"/>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BC9"/>
    <w:rsid w:val="00754F3E"/>
    <w:rsid w:val="00763A07"/>
    <w:rsid w:val="00765683"/>
    <w:rsid w:val="00766ABE"/>
    <w:rsid w:val="00766ADD"/>
    <w:rsid w:val="00770DA0"/>
    <w:rsid w:val="007775FD"/>
    <w:rsid w:val="007810CD"/>
    <w:rsid w:val="00790DD6"/>
    <w:rsid w:val="00790EDC"/>
    <w:rsid w:val="007A29F4"/>
    <w:rsid w:val="007B4860"/>
    <w:rsid w:val="007B75BC"/>
    <w:rsid w:val="007C09F4"/>
    <w:rsid w:val="007C7109"/>
    <w:rsid w:val="007D7318"/>
    <w:rsid w:val="007E26C5"/>
    <w:rsid w:val="007E559D"/>
    <w:rsid w:val="007E667A"/>
    <w:rsid w:val="007F142C"/>
    <w:rsid w:val="007F2ADC"/>
    <w:rsid w:val="007F2D57"/>
    <w:rsid w:val="007F7092"/>
    <w:rsid w:val="00805245"/>
    <w:rsid w:val="00807715"/>
    <w:rsid w:val="00810FD4"/>
    <w:rsid w:val="00812391"/>
    <w:rsid w:val="00814FBE"/>
    <w:rsid w:val="00835A81"/>
    <w:rsid w:val="00844BF0"/>
    <w:rsid w:val="008455F2"/>
    <w:rsid w:val="008458E4"/>
    <w:rsid w:val="00855044"/>
    <w:rsid w:val="00857AAF"/>
    <w:rsid w:val="0086037B"/>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D6F05"/>
    <w:rsid w:val="008F10A3"/>
    <w:rsid w:val="008F4155"/>
    <w:rsid w:val="00901D6D"/>
    <w:rsid w:val="00906DE8"/>
    <w:rsid w:val="00907B99"/>
    <w:rsid w:val="0091448C"/>
    <w:rsid w:val="00914499"/>
    <w:rsid w:val="00915775"/>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288C"/>
    <w:rsid w:val="00A237EC"/>
    <w:rsid w:val="00A26107"/>
    <w:rsid w:val="00A33DAC"/>
    <w:rsid w:val="00A353C3"/>
    <w:rsid w:val="00A37101"/>
    <w:rsid w:val="00A44ACB"/>
    <w:rsid w:val="00A51526"/>
    <w:rsid w:val="00A54620"/>
    <w:rsid w:val="00A55D7A"/>
    <w:rsid w:val="00A6736B"/>
    <w:rsid w:val="00A738A8"/>
    <w:rsid w:val="00A8120A"/>
    <w:rsid w:val="00A859B7"/>
    <w:rsid w:val="00A909F3"/>
    <w:rsid w:val="00A9633F"/>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47DF7"/>
    <w:rsid w:val="00B659EA"/>
    <w:rsid w:val="00B757E2"/>
    <w:rsid w:val="00B8067B"/>
    <w:rsid w:val="00B8505E"/>
    <w:rsid w:val="00B9731E"/>
    <w:rsid w:val="00BB2B7E"/>
    <w:rsid w:val="00BC272D"/>
    <w:rsid w:val="00BC6170"/>
    <w:rsid w:val="00BD032F"/>
    <w:rsid w:val="00BD057C"/>
    <w:rsid w:val="00BD5A93"/>
    <w:rsid w:val="00BE1AAF"/>
    <w:rsid w:val="00BE2524"/>
    <w:rsid w:val="00C07223"/>
    <w:rsid w:val="00C11196"/>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6785A"/>
    <w:rsid w:val="00C72AC2"/>
    <w:rsid w:val="00C73D89"/>
    <w:rsid w:val="00C82A4E"/>
    <w:rsid w:val="00C8636C"/>
    <w:rsid w:val="00C865AF"/>
    <w:rsid w:val="00C8668A"/>
    <w:rsid w:val="00C919FD"/>
    <w:rsid w:val="00C939F0"/>
    <w:rsid w:val="00C9549B"/>
    <w:rsid w:val="00CA1F30"/>
    <w:rsid w:val="00CB4850"/>
    <w:rsid w:val="00CB4DE4"/>
    <w:rsid w:val="00CB5B44"/>
    <w:rsid w:val="00CB7FE9"/>
    <w:rsid w:val="00CC17CC"/>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0C0E"/>
    <w:rsid w:val="00ED51A1"/>
    <w:rsid w:val="00ED5C53"/>
    <w:rsid w:val="00ED5CDB"/>
    <w:rsid w:val="00EE020F"/>
    <w:rsid w:val="00EE0224"/>
    <w:rsid w:val="00EE0B7C"/>
    <w:rsid w:val="00EE1A72"/>
    <w:rsid w:val="00EE60BC"/>
    <w:rsid w:val="00EE711F"/>
    <w:rsid w:val="00EF63E0"/>
    <w:rsid w:val="00EF642C"/>
    <w:rsid w:val="00F04C73"/>
    <w:rsid w:val="00F077DE"/>
    <w:rsid w:val="00F34494"/>
    <w:rsid w:val="00F3584A"/>
    <w:rsid w:val="00F40812"/>
    <w:rsid w:val="00F454CC"/>
    <w:rsid w:val="00F476E9"/>
    <w:rsid w:val="00F47CF5"/>
    <w:rsid w:val="00F52B81"/>
    <w:rsid w:val="00F5549E"/>
    <w:rsid w:val="00F61F23"/>
    <w:rsid w:val="00F62865"/>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0907"/>
    <w:rsid w:val="00FD4163"/>
    <w:rsid w:val="00FD70E2"/>
    <w:rsid w:val="00FE0721"/>
    <w:rsid w:val="00FF1D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styleId="TableGrid">
    <w:name w:val="Table Grid"/>
    <w:basedOn w:val="TableNormal"/>
    <w:locked/>
    <w:rsid w:val="0037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95123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138C-9DC6-4196-9DA4-79C1015D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2017-04-21T10:07:00Z</dcterms:created>
  <dcterms:modified xsi:type="dcterms:W3CDTF">2017-04-21T10:07:00Z</dcterms:modified>
</cp:coreProperties>
</file>