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0E" w:rsidRDefault="00604A0E" w:rsidP="00604A0E">
      <w:pPr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QUESTION FOR WRITTEN REPLY</w:t>
      </w:r>
    </w:p>
    <w:p w:rsidR="00604A0E" w:rsidRDefault="00604A0E" w:rsidP="00604A0E">
      <w:pPr>
        <w:jc w:val="both"/>
        <w:rPr>
          <w:rFonts w:ascii="Arial" w:hAnsi="Arial" w:cs="Arial"/>
          <w:b/>
          <w:bCs/>
          <w:lang w:val="en-ZA"/>
        </w:rPr>
      </w:pPr>
    </w:p>
    <w:p w:rsidR="00604A0E" w:rsidRDefault="00604A0E" w:rsidP="00604A0E">
      <w:pPr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QUESTION NO.:  723</w:t>
      </w:r>
    </w:p>
    <w:p w:rsidR="00604A0E" w:rsidRDefault="00604A0E" w:rsidP="00604A0E">
      <w:pPr>
        <w:jc w:val="both"/>
        <w:rPr>
          <w:rFonts w:ascii="Arial" w:hAnsi="Arial" w:cs="Arial"/>
          <w:b/>
          <w:bCs/>
          <w:lang w:val="en-ZA"/>
        </w:rPr>
      </w:pPr>
    </w:p>
    <w:p w:rsidR="00604A0E" w:rsidRDefault="00604A0E" w:rsidP="00604A0E">
      <w:pPr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DATE OF PUBLICATION: 09 March 2018</w:t>
      </w:r>
    </w:p>
    <w:p w:rsidR="00604A0E" w:rsidRDefault="00604A0E" w:rsidP="00604A0E">
      <w:pPr>
        <w:jc w:val="both"/>
        <w:rPr>
          <w:rFonts w:ascii="Arial" w:hAnsi="Arial" w:cs="Arial"/>
          <w:b/>
          <w:bCs/>
          <w:lang w:val="en-ZA"/>
        </w:rPr>
      </w:pPr>
    </w:p>
    <w:p w:rsidR="00604A0E" w:rsidRDefault="00604A0E" w:rsidP="00604A0E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723.     Mr M W </w:t>
      </w:r>
      <w:proofErr w:type="spellStart"/>
      <w:r>
        <w:rPr>
          <w:rFonts w:ascii="Arial" w:hAnsi="Arial" w:cs="Arial"/>
          <w:b/>
          <w:bCs/>
          <w:lang w:val="en-ZA"/>
        </w:rPr>
        <w:t>Rabotapi</w:t>
      </w:r>
      <w:proofErr w:type="spellEnd"/>
      <w:r>
        <w:rPr>
          <w:rFonts w:ascii="Arial" w:hAnsi="Arial" w:cs="Arial"/>
          <w:b/>
          <w:bCs/>
          <w:lang w:val="en-ZA"/>
        </w:rPr>
        <w:t xml:space="preserve"> (</w:t>
      </w:r>
      <w:r>
        <w:rPr>
          <w:rFonts w:ascii="Arial" w:hAnsi="Arial" w:cs="Arial"/>
          <w:b/>
          <w:bCs/>
        </w:rPr>
        <w:t>DA</w:t>
      </w:r>
      <w:r>
        <w:rPr>
          <w:rFonts w:ascii="Arial" w:hAnsi="Arial" w:cs="Arial"/>
          <w:b/>
          <w:bCs/>
          <w:lang w:val="en-ZA"/>
        </w:rPr>
        <w:t>) to ask the Minister of Public Enterprises:</w:t>
      </w:r>
    </w:p>
    <w:p w:rsidR="00604A0E" w:rsidRDefault="00604A0E" w:rsidP="00604A0E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(1)       Whether his department has a sexual harassment and assault policy in place; if not, (a) why not and (b) by what date will his department have such a policy in place; if so, (</w:t>
      </w:r>
      <w:proofErr w:type="spellStart"/>
      <w:r>
        <w:rPr>
          <w:rFonts w:ascii="Arial" w:hAnsi="Arial" w:cs="Arial"/>
          <w:lang w:val="en-ZA"/>
        </w:rPr>
        <w:t>i</w:t>
      </w:r>
      <w:proofErr w:type="spellEnd"/>
      <w:r>
        <w:rPr>
          <w:rFonts w:ascii="Arial" w:hAnsi="Arial" w:cs="Arial"/>
          <w:lang w:val="en-ZA"/>
        </w:rPr>
        <w:t xml:space="preserve">) how are reports investigated and (ii) what are the details of the consequence management and sanctions stipulated by the policy; </w:t>
      </w:r>
    </w:p>
    <w:p w:rsidR="00604A0E" w:rsidRDefault="00604A0E" w:rsidP="00604A0E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(2)      (a) what is the total number of incidents of sexual harassment and assault that have been reported in his department (</w:t>
      </w:r>
      <w:proofErr w:type="spellStart"/>
      <w:r>
        <w:rPr>
          <w:rFonts w:ascii="Arial" w:hAnsi="Arial" w:cs="Arial"/>
          <w:lang w:val="en-ZA"/>
        </w:rPr>
        <w:t>i</w:t>
      </w:r>
      <w:proofErr w:type="spellEnd"/>
      <w:r>
        <w:rPr>
          <w:rFonts w:ascii="Arial" w:hAnsi="Arial" w:cs="Arial"/>
          <w:lang w:val="en-ZA"/>
        </w:rPr>
        <w:t>) in each of the past three financial years and (ii) since 1 April 2017, (b) what number of cases were (</w:t>
      </w:r>
      <w:proofErr w:type="spellStart"/>
      <w:r>
        <w:rPr>
          <w:rFonts w:ascii="Arial" w:hAnsi="Arial" w:cs="Arial"/>
          <w:lang w:val="en-ZA"/>
        </w:rPr>
        <w:t>i</w:t>
      </w:r>
      <w:proofErr w:type="spellEnd"/>
      <w:r>
        <w:rPr>
          <w:rFonts w:ascii="Arial" w:hAnsi="Arial" w:cs="Arial"/>
          <w:lang w:val="en-ZA"/>
        </w:rPr>
        <w:t xml:space="preserve">) opened and concluded, (ii) withdrawn and (iii) remain open based on the incidents and (c) what sanctions were issued for each person who was found to have been guilty?                                                                                                     </w:t>
      </w:r>
    </w:p>
    <w:p w:rsidR="00604A0E" w:rsidRDefault="00604A0E" w:rsidP="00604A0E">
      <w:pPr>
        <w:spacing w:line="360" w:lineRule="auto"/>
        <w:jc w:val="both"/>
        <w:rPr>
          <w:rFonts w:ascii="Arial" w:hAnsi="Arial" w:cs="Arial"/>
        </w:rPr>
      </w:pPr>
    </w:p>
    <w:p w:rsidR="00604A0E" w:rsidRDefault="00604A0E" w:rsidP="00604A0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</w:t>
      </w:r>
    </w:p>
    <w:p w:rsidR="00604A0E" w:rsidRDefault="00604A0E" w:rsidP="00604A0E">
      <w:pPr>
        <w:spacing w:line="276" w:lineRule="auto"/>
        <w:jc w:val="both"/>
        <w:rPr>
          <w:rFonts w:ascii="Arial" w:hAnsi="Arial" w:cs="Arial"/>
        </w:rPr>
      </w:pPr>
    </w:p>
    <w:p w:rsidR="00604A0E" w:rsidRDefault="00604A0E" w:rsidP="00604A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).</w:t>
      </w:r>
      <w:r>
        <w:rPr>
          <w:rFonts w:ascii="Arial" w:hAnsi="Arial" w:cs="Arial"/>
        </w:rPr>
        <w:tab/>
        <w:t xml:space="preserve">Yes, the department does have a Sexual Harassment Policy in place. </w:t>
      </w:r>
    </w:p>
    <w:p w:rsidR="00604A0E" w:rsidRDefault="00604A0E" w:rsidP="00604A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4A0E" w:rsidRDefault="00604A0E" w:rsidP="00604A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 In terms of section 4 of the Departmental Sexual Harassment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Policy, the victim is first assisted to determine if any medical 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psycho-social intervention is required, wherein after the Director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Employee Health and Wellness /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Relations assists the victim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to compile a  written report of an incident, which is then filed 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Human Resources either through a formal grievance or through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request to initiate a disciplinary investigation into the allegations. </w:t>
      </w:r>
    </w:p>
    <w:p w:rsidR="00604A0E" w:rsidRDefault="00604A0E" w:rsidP="00604A0E">
      <w:pPr>
        <w:spacing w:line="276" w:lineRule="auto"/>
        <w:jc w:val="both"/>
        <w:rPr>
          <w:rFonts w:ascii="Arial" w:hAnsi="Arial" w:cs="Arial"/>
        </w:rPr>
      </w:pPr>
    </w:p>
    <w:p w:rsidR="00604A0E" w:rsidRDefault="00604A0E" w:rsidP="00604A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Based hereon, a briefing memorandum is prepared for the attention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of the Head of Department to determine whether a precautionary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suspension will be required and for the appointment of 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independent investigator.</w:t>
      </w:r>
    </w:p>
    <w:p w:rsidR="00604A0E" w:rsidRDefault="00604A0E" w:rsidP="00604A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604A0E" w:rsidRDefault="00604A0E" w:rsidP="00604A0E">
      <w:pPr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An independent investigator will either be sourced from another      </w:t>
      </w:r>
    </w:p>
    <w:p w:rsidR="00604A0E" w:rsidRDefault="00604A0E" w:rsidP="00604A0E">
      <w:pPr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Government department or through the Supply Chain Management    </w:t>
      </w:r>
    </w:p>
    <w:p w:rsidR="00604A0E" w:rsidRDefault="00604A0E" w:rsidP="00604A0E">
      <w:pPr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process</w:t>
      </w:r>
      <w:proofErr w:type="gramEnd"/>
      <w:r>
        <w:rPr>
          <w:rFonts w:ascii="Arial" w:hAnsi="Arial" w:cs="Arial"/>
        </w:rPr>
        <w:t xml:space="preserve">, to provide an investigation  report . Based on the outcome      </w:t>
      </w:r>
    </w:p>
    <w:p w:rsidR="00604A0E" w:rsidRDefault="00604A0E" w:rsidP="00604A0E">
      <w:pPr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thereof</w:t>
      </w:r>
      <w:proofErr w:type="gramEnd"/>
      <w:r>
        <w:rPr>
          <w:rFonts w:ascii="Arial" w:hAnsi="Arial" w:cs="Arial"/>
        </w:rPr>
        <w:t xml:space="preserve"> the due-processes as outline in PSCBC Resolution 1 of     </w:t>
      </w:r>
    </w:p>
    <w:p w:rsidR="00604A0E" w:rsidRDefault="00604A0E" w:rsidP="00604A0E">
      <w:pPr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2003 or Chapter 7 of the SMS Handbook regulating discipline are     </w:t>
      </w:r>
    </w:p>
    <w:p w:rsidR="00604A0E" w:rsidRDefault="00604A0E" w:rsidP="00604A0E">
      <w:pPr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followed</w:t>
      </w:r>
      <w:proofErr w:type="gramEnd"/>
      <w:r>
        <w:rPr>
          <w:rFonts w:ascii="Arial" w:hAnsi="Arial" w:cs="Arial"/>
        </w:rPr>
        <w:t xml:space="preserve">. </w:t>
      </w:r>
    </w:p>
    <w:p w:rsidR="00604A0E" w:rsidRDefault="00604A0E" w:rsidP="00604A0E">
      <w:pPr>
        <w:spacing w:line="276" w:lineRule="auto"/>
        <w:ind w:left="1440"/>
        <w:jc w:val="both"/>
        <w:rPr>
          <w:rFonts w:ascii="Arial" w:hAnsi="Arial" w:cs="Arial"/>
        </w:rPr>
      </w:pPr>
    </w:p>
    <w:p w:rsidR="00604A0E" w:rsidRDefault="00604A0E" w:rsidP="00604A0E">
      <w:pPr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The victims’ rights in terms of criminal and civil remedies are also    </w:t>
      </w:r>
    </w:p>
    <w:p w:rsidR="00604A0E" w:rsidRDefault="00604A0E" w:rsidP="00604A0E">
      <w:pPr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explained</w:t>
      </w:r>
      <w:proofErr w:type="gramEnd"/>
      <w:r>
        <w:rPr>
          <w:rFonts w:ascii="Arial" w:hAnsi="Arial" w:cs="Arial"/>
        </w:rPr>
        <w:t xml:space="preserve"> to him or her and are not in any way curtailed or limited    </w:t>
      </w:r>
    </w:p>
    <w:p w:rsidR="00604A0E" w:rsidRDefault="00604A0E" w:rsidP="00604A0E">
      <w:pPr>
        <w:spacing w:line="276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the departmental policy. </w:t>
      </w:r>
    </w:p>
    <w:p w:rsidR="00604A0E" w:rsidRDefault="00604A0E" w:rsidP="00604A0E">
      <w:pPr>
        <w:spacing w:line="276" w:lineRule="auto"/>
        <w:jc w:val="both"/>
        <w:rPr>
          <w:rFonts w:ascii="Arial" w:hAnsi="Arial" w:cs="Arial"/>
        </w:rPr>
      </w:pPr>
    </w:p>
    <w:p w:rsidR="00604A0E" w:rsidRDefault="00604A0E" w:rsidP="00604A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4A0E" w:rsidRDefault="00604A0E" w:rsidP="00604A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(ii) Regarding consequence management and the determination of </w:t>
      </w:r>
      <w:r>
        <w:rPr>
          <w:rFonts w:ascii="Arial" w:hAnsi="Arial" w:cs="Arial"/>
        </w:rPr>
        <w:tab/>
        <w:t xml:space="preserve">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appropriate sanction, the department subscribes to Section 7.14</w:t>
      </w:r>
      <w:r>
        <w:rPr>
          <w:rFonts w:ascii="Arial" w:hAnsi="Arial" w:cs="Arial"/>
        </w:rPr>
        <w:tab/>
        <w:t xml:space="preserve">of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the DPSA’s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Relations Sanctioning Guidelines for Public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Service, which is dismissal if found guilty.  </w:t>
      </w:r>
    </w:p>
    <w:p w:rsidR="00604A0E" w:rsidRDefault="00604A0E" w:rsidP="00604A0E">
      <w:pPr>
        <w:spacing w:line="276" w:lineRule="auto"/>
        <w:jc w:val="both"/>
        <w:rPr>
          <w:rFonts w:ascii="Arial" w:hAnsi="Arial" w:cs="Arial"/>
        </w:rPr>
      </w:pPr>
    </w:p>
    <w:p w:rsidR="00604A0E" w:rsidRDefault="00604A0E" w:rsidP="00604A0E">
      <w:pPr>
        <w:spacing w:line="276" w:lineRule="auto"/>
        <w:jc w:val="both"/>
        <w:rPr>
          <w:rFonts w:ascii="Arial" w:hAnsi="Arial" w:cs="Arial"/>
        </w:rPr>
      </w:pPr>
    </w:p>
    <w:p w:rsidR="00604A0E" w:rsidRDefault="00604A0E" w:rsidP="00604A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).</w:t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  <w:t>2015/2016 – No cases.</w:t>
      </w:r>
    </w:p>
    <w:p w:rsidR="00604A0E" w:rsidRDefault="00604A0E" w:rsidP="00604A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2016/2017 -</w:t>
      </w:r>
      <w:r>
        <w:rPr>
          <w:rFonts w:ascii="Arial" w:hAnsi="Arial" w:cs="Arial"/>
        </w:rPr>
        <w:tab/>
        <w:t>No cases</w:t>
      </w:r>
    </w:p>
    <w:p w:rsidR="00604A0E" w:rsidRDefault="00604A0E" w:rsidP="00604A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2017/2018 -</w:t>
      </w:r>
      <w:r>
        <w:rPr>
          <w:rFonts w:ascii="Arial" w:hAnsi="Arial" w:cs="Arial"/>
        </w:rPr>
        <w:tab/>
        <w:t>No cases</w:t>
      </w:r>
    </w:p>
    <w:p w:rsidR="00604A0E" w:rsidRDefault="00604A0E" w:rsidP="00604A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(ii)</w:t>
      </w:r>
      <w:r>
        <w:rPr>
          <w:rFonts w:ascii="Arial" w:hAnsi="Arial" w:cs="Arial"/>
        </w:rPr>
        <w:tab/>
        <w:t>As at 1 April 2017 – No cases.</w:t>
      </w:r>
    </w:p>
    <w:p w:rsidR="00604A0E" w:rsidRDefault="00604A0E" w:rsidP="00604A0E">
      <w:pPr>
        <w:spacing w:line="276" w:lineRule="auto"/>
        <w:jc w:val="both"/>
        <w:rPr>
          <w:rFonts w:ascii="Arial" w:hAnsi="Arial" w:cs="Arial"/>
        </w:rPr>
      </w:pPr>
    </w:p>
    <w:p w:rsidR="00604A0E" w:rsidRDefault="00604A0E" w:rsidP="00604A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  <w:t>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No cases opened,</w:t>
      </w:r>
    </w:p>
    <w:p w:rsidR="00604A0E" w:rsidRDefault="00604A0E" w:rsidP="00604A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(ii)</w:t>
      </w:r>
      <w:r>
        <w:rPr>
          <w:rFonts w:ascii="Arial" w:hAnsi="Arial" w:cs="Arial"/>
        </w:rPr>
        <w:tab/>
        <w:t>No cases withdrawn,</w:t>
      </w:r>
    </w:p>
    <w:p w:rsidR="00604A0E" w:rsidRDefault="00604A0E" w:rsidP="00604A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(ii) </w:t>
      </w:r>
      <w:r>
        <w:rPr>
          <w:rFonts w:ascii="Arial" w:hAnsi="Arial" w:cs="Arial"/>
        </w:rPr>
        <w:tab/>
        <w:t>No cases remain opened</w:t>
      </w:r>
    </w:p>
    <w:p w:rsidR="00604A0E" w:rsidRDefault="00604A0E" w:rsidP="00604A0E">
      <w:pPr>
        <w:spacing w:line="276" w:lineRule="auto"/>
        <w:jc w:val="both"/>
        <w:rPr>
          <w:rFonts w:ascii="Arial" w:hAnsi="Arial" w:cs="Arial"/>
        </w:rPr>
      </w:pPr>
    </w:p>
    <w:p w:rsidR="00604A0E" w:rsidRDefault="00604A0E" w:rsidP="00604A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(c)</w:t>
      </w:r>
      <w:r>
        <w:rPr>
          <w:rFonts w:ascii="Arial" w:hAnsi="Arial" w:cs="Arial"/>
        </w:rPr>
        <w:tab/>
        <w:t xml:space="preserve">There were no incidents reported therefore no sanctions against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anyone. </w:t>
      </w:r>
    </w:p>
    <w:p w:rsidR="00604A0E" w:rsidRDefault="00604A0E" w:rsidP="00604A0E">
      <w:pPr>
        <w:spacing w:line="276" w:lineRule="auto"/>
        <w:jc w:val="both"/>
        <w:rPr>
          <w:rFonts w:ascii="Arial" w:hAnsi="Arial" w:cs="Arial"/>
        </w:rPr>
      </w:pPr>
    </w:p>
    <w:p w:rsidR="00204F7D" w:rsidRDefault="00204F7D">
      <w:bookmarkStart w:id="0" w:name="_GoBack"/>
      <w:bookmarkEnd w:id="0"/>
    </w:p>
    <w:sectPr w:rsidR="0020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0E"/>
    <w:rsid w:val="00204F7D"/>
    <w:rsid w:val="0060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5CAEC-5EC0-409C-A667-CE14BC09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Hendrickse</dc:creator>
  <cp:keywords/>
  <dc:description/>
  <cp:lastModifiedBy>Peter Hendrickse</cp:lastModifiedBy>
  <cp:revision>1</cp:revision>
  <dcterms:created xsi:type="dcterms:W3CDTF">2018-04-10T08:54:00Z</dcterms:created>
  <dcterms:modified xsi:type="dcterms:W3CDTF">2018-04-10T08:55:00Z</dcterms:modified>
</cp:coreProperties>
</file>