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DB" w:rsidRDefault="00E154DB" w:rsidP="00E154DB">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E154DB" w:rsidRPr="00033CAD" w:rsidRDefault="00E154DB" w:rsidP="00E154DB">
      <w:pPr>
        <w:spacing w:after="0" w:line="360" w:lineRule="auto"/>
        <w:ind w:left="992" w:hanging="851"/>
        <w:jc w:val="center"/>
        <w:rPr>
          <w:rFonts w:ascii="Arial" w:eastAsia="Times New Roman" w:hAnsi="Arial" w:cs="Arial"/>
          <w:b/>
          <w:color w:val="000000" w:themeColor="text1"/>
          <w:sz w:val="16"/>
          <w:szCs w:val="16"/>
        </w:rPr>
      </w:pPr>
    </w:p>
    <w:p w:rsidR="00E154DB" w:rsidRDefault="00E154DB" w:rsidP="00E154DB">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E154DB" w:rsidRPr="00033CAD" w:rsidRDefault="00E154DB" w:rsidP="00E154DB">
      <w:pPr>
        <w:spacing w:after="0" w:line="360" w:lineRule="auto"/>
        <w:ind w:left="992" w:hanging="851"/>
        <w:jc w:val="center"/>
        <w:rPr>
          <w:rFonts w:ascii="Arial" w:eastAsia="Times New Roman" w:hAnsi="Arial" w:cs="Arial"/>
          <w:b/>
          <w:color w:val="000000" w:themeColor="text1"/>
          <w:sz w:val="16"/>
          <w:szCs w:val="16"/>
        </w:rPr>
      </w:pPr>
    </w:p>
    <w:p w:rsidR="00E154DB" w:rsidRDefault="00E154DB" w:rsidP="00E154DB">
      <w:pPr>
        <w:spacing w:after="0" w:line="360" w:lineRule="auto"/>
        <w:ind w:left="851" w:hanging="851"/>
        <w:jc w:val="both"/>
        <w:rPr>
          <w:rFonts w:ascii="Arial" w:hAnsi="Arial" w:cs="Arial"/>
          <w:b/>
        </w:rPr>
      </w:pPr>
      <w:r w:rsidRPr="00680552">
        <w:rPr>
          <w:rFonts w:ascii="Arial" w:hAnsi="Arial" w:cs="Arial"/>
          <w:b/>
        </w:rPr>
        <w:t>511.</w:t>
      </w:r>
      <w:r w:rsidRPr="00680552">
        <w:rPr>
          <w:rFonts w:ascii="Arial" w:hAnsi="Arial" w:cs="Arial"/>
          <w:b/>
        </w:rPr>
        <w:tab/>
        <w:t xml:space="preserve">Mr H C </w:t>
      </w:r>
      <w:proofErr w:type="spellStart"/>
      <w:r w:rsidRPr="00680552">
        <w:rPr>
          <w:rFonts w:ascii="Arial" w:hAnsi="Arial" w:cs="Arial"/>
          <w:b/>
        </w:rPr>
        <w:t>C</w:t>
      </w:r>
      <w:proofErr w:type="spellEnd"/>
      <w:r w:rsidRPr="00680552">
        <w:rPr>
          <w:rFonts w:ascii="Arial" w:hAnsi="Arial" w:cs="Arial"/>
          <w:b/>
        </w:rPr>
        <w:t xml:space="preserve"> </w:t>
      </w:r>
      <w:proofErr w:type="spellStart"/>
      <w:r w:rsidRPr="00680552">
        <w:rPr>
          <w:rFonts w:ascii="Arial" w:hAnsi="Arial" w:cs="Arial"/>
          <w:b/>
        </w:rPr>
        <w:t>Krüger</w:t>
      </w:r>
      <w:proofErr w:type="spellEnd"/>
      <w:r w:rsidRPr="00680552">
        <w:rPr>
          <w:rFonts w:ascii="Arial" w:hAnsi="Arial" w:cs="Arial"/>
          <w:b/>
        </w:rPr>
        <w:t xml:space="preserve"> (DA) to ask the Minister of Small Business Development:</w:t>
      </w:r>
    </w:p>
    <w:p w:rsidR="00E154DB" w:rsidRPr="00350183" w:rsidRDefault="00E154DB" w:rsidP="00E154DB">
      <w:pPr>
        <w:spacing w:after="0" w:line="360" w:lineRule="auto"/>
        <w:ind w:left="851" w:hanging="851"/>
        <w:jc w:val="both"/>
        <w:rPr>
          <w:rFonts w:ascii="Arial" w:hAnsi="Arial" w:cs="Arial"/>
          <w:b/>
          <w:sz w:val="18"/>
          <w:szCs w:val="18"/>
        </w:rPr>
      </w:pPr>
    </w:p>
    <w:p w:rsidR="00E154DB" w:rsidRPr="00680552" w:rsidRDefault="00E154DB" w:rsidP="00E154DB">
      <w:pPr>
        <w:pStyle w:val="ListParagraph"/>
        <w:numPr>
          <w:ilvl w:val="0"/>
          <w:numId w:val="1"/>
        </w:numPr>
        <w:spacing w:after="0" w:line="360" w:lineRule="auto"/>
        <w:jc w:val="both"/>
        <w:rPr>
          <w:rFonts w:ascii="Arial" w:hAnsi="Arial" w:cs="Arial"/>
          <w:b/>
        </w:rPr>
      </w:pPr>
      <w:r w:rsidRPr="00680552">
        <w:rPr>
          <w:rFonts w:ascii="Arial" w:hAnsi="Arial" w:cs="Arial"/>
          <w:b/>
        </w:rPr>
        <w:t>Whether there are any vacancies in her department; if so, (a) which vacancies are key positions and (b) what effect do the vacancies in the specified key positions have on the execution of her department’s mandate;</w:t>
      </w:r>
    </w:p>
    <w:p w:rsidR="00E154DB" w:rsidRPr="00033CAD" w:rsidRDefault="00E154DB" w:rsidP="00E154DB">
      <w:pPr>
        <w:pStyle w:val="ListParagraph"/>
        <w:spacing w:after="0" w:line="360" w:lineRule="auto"/>
        <w:ind w:left="1421"/>
        <w:jc w:val="both"/>
        <w:rPr>
          <w:rFonts w:ascii="Arial" w:hAnsi="Arial" w:cs="Arial"/>
          <w:b/>
          <w:sz w:val="16"/>
          <w:szCs w:val="16"/>
        </w:rPr>
      </w:pPr>
    </w:p>
    <w:p w:rsidR="00E154DB" w:rsidRPr="00680552" w:rsidRDefault="00E154DB" w:rsidP="00E154DB">
      <w:pPr>
        <w:pStyle w:val="ListParagraph"/>
        <w:numPr>
          <w:ilvl w:val="0"/>
          <w:numId w:val="1"/>
        </w:numPr>
        <w:spacing w:after="0" w:line="360" w:lineRule="auto"/>
        <w:jc w:val="both"/>
        <w:rPr>
          <w:rFonts w:ascii="Arial" w:hAnsi="Arial" w:cs="Arial"/>
          <w:b/>
        </w:rPr>
      </w:pPr>
      <w:r w:rsidRPr="00680552">
        <w:rPr>
          <w:rFonts w:ascii="Arial" w:hAnsi="Arial" w:cs="Arial"/>
          <w:b/>
        </w:rPr>
        <w:t xml:space="preserve">whether there are any small business industrial parks and/or small business incubators in the (a) Dr J S </w:t>
      </w:r>
      <w:proofErr w:type="spellStart"/>
      <w:r w:rsidRPr="00680552">
        <w:rPr>
          <w:rFonts w:ascii="Arial" w:hAnsi="Arial" w:cs="Arial"/>
          <w:b/>
        </w:rPr>
        <w:t>Moroka</w:t>
      </w:r>
      <w:proofErr w:type="spellEnd"/>
      <w:r w:rsidRPr="00680552">
        <w:rPr>
          <w:rFonts w:ascii="Arial" w:hAnsi="Arial" w:cs="Arial"/>
          <w:b/>
        </w:rPr>
        <w:t xml:space="preserve"> Local Municipality and (b) </w:t>
      </w:r>
      <w:proofErr w:type="spellStart"/>
      <w:r w:rsidRPr="00680552">
        <w:rPr>
          <w:rFonts w:ascii="Arial" w:hAnsi="Arial" w:cs="Arial"/>
          <w:b/>
        </w:rPr>
        <w:t>Thembisile</w:t>
      </w:r>
      <w:proofErr w:type="spellEnd"/>
      <w:r w:rsidRPr="00680552">
        <w:rPr>
          <w:rFonts w:ascii="Arial" w:hAnsi="Arial" w:cs="Arial"/>
          <w:b/>
        </w:rPr>
        <w:t xml:space="preserve"> Hani Local Municipality; if so, what is the (a) status, (b) location and (c) number of small businesses that are assisted by her department in the specified municipalities; </w:t>
      </w:r>
    </w:p>
    <w:p w:rsidR="00E154DB" w:rsidRPr="00033CAD" w:rsidRDefault="00E154DB" w:rsidP="00E154DB">
      <w:pPr>
        <w:spacing w:after="0" w:line="360" w:lineRule="auto"/>
        <w:jc w:val="both"/>
        <w:rPr>
          <w:rFonts w:ascii="Arial" w:hAnsi="Arial" w:cs="Arial"/>
          <w:b/>
          <w:sz w:val="16"/>
          <w:szCs w:val="16"/>
        </w:rPr>
      </w:pPr>
    </w:p>
    <w:p w:rsidR="00E154DB" w:rsidRPr="00680552" w:rsidRDefault="00E154DB" w:rsidP="00E154DB">
      <w:pPr>
        <w:spacing w:after="0" w:line="360" w:lineRule="auto"/>
        <w:ind w:left="1418" w:hanging="567"/>
        <w:jc w:val="both"/>
        <w:rPr>
          <w:rFonts w:ascii="Arial" w:hAnsi="Arial" w:cs="Arial"/>
          <w:b/>
        </w:rPr>
      </w:pPr>
      <w:r w:rsidRPr="00680552">
        <w:rPr>
          <w:rFonts w:ascii="Arial" w:hAnsi="Arial" w:cs="Arial"/>
          <w:b/>
        </w:rPr>
        <w:t>(3)</w:t>
      </w:r>
      <w:r w:rsidRPr="00680552">
        <w:rPr>
          <w:rFonts w:ascii="Arial" w:hAnsi="Arial" w:cs="Arial"/>
          <w:b/>
        </w:rPr>
        <w:tab/>
        <w:t>(</w:t>
      </w:r>
      <w:proofErr w:type="gramStart"/>
      <w:r w:rsidRPr="00680552">
        <w:rPr>
          <w:rFonts w:ascii="Arial" w:hAnsi="Arial" w:cs="Arial"/>
          <w:b/>
        </w:rPr>
        <w:t>a</w:t>
      </w:r>
      <w:proofErr w:type="gramEnd"/>
      <w:r w:rsidRPr="00680552">
        <w:rPr>
          <w:rFonts w:ascii="Arial" w:hAnsi="Arial" w:cs="Arial"/>
          <w:b/>
        </w:rPr>
        <w:t>) what is the total number of regulatory measures (Red Tape) that were removed or adjusted to ease the environment for small businesses in municipalities because of her department’s roll out of the red tape strategy for municipalities and (b) what are the further relevant details in this regard</w:t>
      </w:r>
      <w:r>
        <w:rPr>
          <w:rFonts w:ascii="Arial" w:hAnsi="Arial" w:cs="Arial"/>
          <w:b/>
        </w:rPr>
        <w:t>?</w:t>
      </w:r>
      <w:r w:rsidRPr="00680552">
        <w:rPr>
          <w:rFonts w:ascii="Arial" w:hAnsi="Arial" w:cs="Arial"/>
          <w:b/>
        </w:rPr>
        <w:tab/>
      </w:r>
    </w:p>
    <w:p w:rsidR="00E154DB" w:rsidRDefault="00E154DB" w:rsidP="00E154DB">
      <w:pPr>
        <w:spacing w:after="0" w:line="360" w:lineRule="auto"/>
        <w:ind w:left="851" w:hanging="851"/>
        <w:jc w:val="right"/>
        <w:rPr>
          <w:rFonts w:ascii="Arial" w:hAnsi="Arial" w:cs="Arial"/>
          <w:b/>
        </w:rPr>
      </w:pPr>
      <w:r w:rsidRPr="00680552">
        <w:rPr>
          <w:rFonts w:ascii="Arial" w:hAnsi="Arial" w:cs="Arial"/>
          <w:b/>
        </w:rPr>
        <w:t>NW568E</w:t>
      </w:r>
    </w:p>
    <w:p w:rsidR="00E154DB" w:rsidRDefault="00E154DB" w:rsidP="00E154DB">
      <w:pPr>
        <w:spacing w:after="0" w:line="360" w:lineRule="auto"/>
        <w:ind w:left="709" w:hanging="709"/>
        <w:jc w:val="both"/>
        <w:rPr>
          <w:rFonts w:ascii="Arial" w:hAnsi="Arial" w:cs="Arial"/>
          <w:b/>
        </w:rPr>
      </w:pPr>
      <w:r w:rsidRPr="00157790">
        <w:rPr>
          <w:rFonts w:ascii="Arial" w:hAnsi="Arial" w:cs="Arial"/>
          <w:b/>
        </w:rPr>
        <w:t>REPLY:</w:t>
      </w:r>
    </w:p>
    <w:p w:rsidR="00E154DB" w:rsidRPr="00350183" w:rsidRDefault="00E154DB" w:rsidP="00E154DB">
      <w:pPr>
        <w:spacing w:after="0" w:line="360" w:lineRule="auto"/>
        <w:ind w:left="709" w:hanging="709"/>
        <w:jc w:val="both"/>
        <w:rPr>
          <w:rFonts w:ascii="Arial" w:hAnsi="Arial" w:cs="Arial"/>
          <w:b/>
          <w:sz w:val="18"/>
          <w:szCs w:val="18"/>
        </w:rPr>
      </w:pPr>
    </w:p>
    <w:p w:rsidR="00E154DB" w:rsidRPr="00680552" w:rsidRDefault="00E154DB" w:rsidP="00E154DB">
      <w:pPr>
        <w:spacing w:after="0" w:line="360" w:lineRule="auto"/>
        <w:ind w:left="709" w:hanging="709"/>
        <w:jc w:val="both"/>
        <w:rPr>
          <w:rFonts w:ascii="Arial" w:hAnsi="Arial" w:cs="Arial"/>
        </w:rPr>
      </w:pPr>
      <w:r w:rsidRPr="00680552">
        <w:rPr>
          <w:rFonts w:ascii="Arial" w:hAnsi="Arial" w:cs="Arial"/>
        </w:rPr>
        <w:t>(1)</w:t>
      </w:r>
      <w:r w:rsidRPr="00680552">
        <w:rPr>
          <w:rFonts w:ascii="Arial" w:hAnsi="Arial" w:cs="Arial"/>
        </w:rPr>
        <w:tab/>
        <w:t xml:space="preserve">The structure of the </w:t>
      </w:r>
      <w:r>
        <w:rPr>
          <w:rFonts w:ascii="Arial" w:hAnsi="Arial" w:cs="Arial"/>
        </w:rPr>
        <w:t>Department of Small Business Development (</w:t>
      </w:r>
      <w:r w:rsidRPr="00680552">
        <w:rPr>
          <w:rFonts w:ascii="Arial" w:hAnsi="Arial" w:cs="Arial"/>
        </w:rPr>
        <w:t>DSBD</w:t>
      </w:r>
      <w:r>
        <w:rPr>
          <w:rFonts w:ascii="Arial" w:hAnsi="Arial" w:cs="Arial"/>
        </w:rPr>
        <w:t>)</w:t>
      </w:r>
      <w:r w:rsidRPr="00680552">
        <w:rPr>
          <w:rFonts w:ascii="Arial" w:hAnsi="Arial" w:cs="Arial"/>
        </w:rPr>
        <w:t xml:space="preserve"> currently shows 20 vacancies. </w:t>
      </w:r>
      <w:r>
        <w:rPr>
          <w:rFonts w:ascii="Arial" w:hAnsi="Arial" w:cs="Arial"/>
        </w:rPr>
        <w:t>Following the review of the first draft of the S</w:t>
      </w:r>
      <w:r w:rsidRPr="00680552">
        <w:rPr>
          <w:rFonts w:ascii="Arial" w:hAnsi="Arial" w:cs="Arial"/>
        </w:rPr>
        <w:t>trategic Plan and Annual Performance Plan</w:t>
      </w:r>
      <w:r>
        <w:rPr>
          <w:rFonts w:ascii="Arial" w:hAnsi="Arial" w:cs="Arial"/>
        </w:rPr>
        <w:t xml:space="preserve"> submitted on 30 August 2016, </w:t>
      </w:r>
      <w:r w:rsidRPr="00680552">
        <w:rPr>
          <w:rFonts w:ascii="Arial" w:hAnsi="Arial" w:cs="Arial"/>
        </w:rPr>
        <w:t>the DSBD re</w:t>
      </w:r>
      <w:r>
        <w:rPr>
          <w:rFonts w:ascii="Arial" w:hAnsi="Arial" w:cs="Arial"/>
        </w:rPr>
        <w:t>ceived feedback on 22 November 2016 from the Department of Planning,</w:t>
      </w:r>
      <w:r w:rsidRPr="00680552">
        <w:rPr>
          <w:rFonts w:ascii="Arial" w:hAnsi="Arial" w:cs="Arial"/>
        </w:rPr>
        <w:t xml:space="preserve"> Monitoring and Evaluation (DPME) and </w:t>
      </w:r>
      <w:r>
        <w:rPr>
          <w:rFonts w:ascii="Arial" w:hAnsi="Arial" w:cs="Arial"/>
        </w:rPr>
        <w:t xml:space="preserve">the National </w:t>
      </w:r>
      <w:r w:rsidRPr="00680552">
        <w:rPr>
          <w:rFonts w:ascii="Arial" w:hAnsi="Arial" w:cs="Arial"/>
        </w:rPr>
        <w:t>Treasury</w:t>
      </w:r>
      <w:r>
        <w:rPr>
          <w:rFonts w:ascii="Arial" w:hAnsi="Arial" w:cs="Arial"/>
        </w:rPr>
        <w:t xml:space="preserve"> which required a fundamental review of the DSBD Strategy</w:t>
      </w:r>
      <w:r w:rsidRPr="00680552">
        <w:rPr>
          <w:rFonts w:ascii="Arial" w:hAnsi="Arial" w:cs="Arial"/>
        </w:rPr>
        <w:t xml:space="preserve">. The DSBD could not fill the Line Function posts due </w:t>
      </w:r>
      <w:proofErr w:type="spellStart"/>
      <w:r w:rsidRPr="00680552">
        <w:rPr>
          <w:rFonts w:ascii="Arial" w:hAnsi="Arial" w:cs="Arial"/>
        </w:rPr>
        <w:t>to</w:t>
      </w:r>
      <w:r>
        <w:rPr>
          <w:rFonts w:ascii="Arial" w:hAnsi="Arial" w:cs="Arial"/>
        </w:rPr>
        <w:t>j</w:t>
      </w:r>
      <w:proofErr w:type="spellEnd"/>
      <w:r w:rsidRPr="00680552">
        <w:rPr>
          <w:rFonts w:ascii="Arial" w:hAnsi="Arial" w:cs="Arial"/>
        </w:rPr>
        <w:t xml:space="preserve"> the methodology of “structure follows strategy”. The proposed structure (prepared for consultation with the DPSA) developed during 2016 had to be discarded. A business case for the new structure (in alignment with the revised strategy) will be prepared during the 2017/2018 financial year. </w:t>
      </w:r>
    </w:p>
    <w:p w:rsidR="00E154DB" w:rsidRPr="00680552" w:rsidRDefault="00E154DB" w:rsidP="00E154DB">
      <w:pPr>
        <w:spacing w:after="0" w:line="360" w:lineRule="auto"/>
        <w:ind w:left="709" w:hanging="709"/>
        <w:jc w:val="both"/>
        <w:rPr>
          <w:rFonts w:ascii="Arial" w:hAnsi="Arial" w:cs="Arial"/>
        </w:rPr>
      </w:pPr>
    </w:p>
    <w:p w:rsidR="00E154DB" w:rsidRPr="00680552" w:rsidRDefault="00E154DB" w:rsidP="00E154DB">
      <w:pPr>
        <w:spacing w:after="0" w:line="360" w:lineRule="auto"/>
        <w:ind w:left="709"/>
        <w:jc w:val="both"/>
        <w:rPr>
          <w:rFonts w:ascii="Arial" w:hAnsi="Arial" w:cs="Arial"/>
        </w:rPr>
      </w:pPr>
      <w:r w:rsidRPr="00680552">
        <w:rPr>
          <w:rFonts w:ascii="Arial" w:hAnsi="Arial" w:cs="Arial"/>
        </w:rPr>
        <w:t>(a)</w:t>
      </w:r>
      <w:r w:rsidRPr="00680552">
        <w:rPr>
          <w:rFonts w:ascii="Arial" w:hAnsi="Arial" w:cs="Arial"/>
        </w:rPr>
        <w:tab/>
        <w:t>The current structure shows the following funded vacant key positions:</w:t>
      </w:r>
    </w:p>
    <w:p w:rsidR="00E154DB" w:rsidRPr="00680552" w:rsidRDefault="00E154DB" w:rsidP="00E154DB">
      <w:pPr>
        <w:spacing w:after="0" w:line="360" w:lineRule="auto"/>
        <w:ind w:left="1843" w:hanging="425"/>
        <w:jc w:val="both"/>
        <w:rPr>
          <w:rFonts w:ascii="Arial" w:hAnsi="Arial" w:cs="Arial"/>
        </w:rPr>
      </w:pPr>
      <w:r w:rsidRPr="00680552">
        <w:rPr>
          <w:rFonts w:ascii="Arial" w:hAnsi="Arial" w:cs="Arial"/>
        </w:rPr>
        <w:t>(i)</w:t>
      </w:r>
      <w:r w:rsidRPr="00680552">
        <w:rPr>
          <w:rFonts w:ascii="Arial" w:hAnsi="Arial" w:cs="Arial"/>
        </w:rPr>
        <w:tab/>
        <w:t>Deputy Director General</w:t>
      </w:r>
      <w:r>
        <w:rPr>
          <w:rFonts w:ascii="Arial" w:hAnsi="Arial" w:cs="Arial"/>
        </w:rPr>
        <w:t xml:space="preserve"> (DDG)</w:t>
      </w:r>
      <w:r w:rsidRPr="00680552">
        <w:rPr>
          <w:rFonts w:ascii="Arial" w:hAnsi="Arial" w:cs="Arial"/>
        </w:rPr>
        <w:t>: Enterprise Development &amp; Entrepreneurship</w:t>
      </w:r>
      <w:r>
        <w:rPr>
          <w:rFonts w:ascii="Arial" w:hAnsi="Arial" w:cs="Arial"/>
        </w:rPr>
        <w:t>.</w:t>
      </w:r>
    </w:p>
    <w:p w:rsidR="00E154DB" w:rsidRDefault="00E154DB" w:rsidP="00E154DB">
      <w:pPr>
        <w:spacing w:after="0" w:line="360" w:lineRule="auto"/>
        <w:ind w:left="1843" w:hanging="425"/>
        <w:jc w:val="both"/>
        <w:rPr>
          <w:rFonts w:ascii="Arial" w:hAnsi="Arial" w:cs="Arial"/>
        </w:rPr>
      </w:pPr>
      <w:r w:rsidRPr="00680552">
        <w:rPr>
          <w:rFonts w:ascii="Arial" w:hAnsi="Arial" w:cs="Arial"/>
        </w:rPr>
        <w:t>(ii)</w:t>
      </w:r>
      <w:r w:rsidRPr="00680552">
        <w:rPr>
          <w:rFonts w:ascii="Arial" w:hAnsi="Arial" w:cs="Arial"/>
        </w:rPr>
        <w:tab/>
        <w:t>Deputy Director</w:t>
      </w:r>
      <w:r>
        <w:rPr>
          <w:rFonts w:ascii="Arial" w:hAnsi="Arial" w:cs="Arial"/>
        </w:rPr>
        <w:t xml:space="preserve"> General</w:t>
      </w:r>
      <w:r w:rsidRPr="00680552">
        <w:rPr>
          <w:rFonts w:ascii="Arial" w:hAnsi="Arial" w:cs="Arial"/>
        </w:rPr>
        <w:t>: Co-operatives Development and Enterprise Competitiveness Support.</w:t>
      </w:r>
    </w:p>
    <w:p w:rsidR="00E154DB" w:rsidRPr="00680552" w:rsidRDefault="00E154DB" w:rsidP="00E154DB">
      <w:pPr>
        <w:spacing w:after="0" w:line="360" w:lineRule="auto"/>
        <w:ind w:left="1843" w:hanging="425"/>
        <w:jc w:val="both"/>
        <w:rPr>
          <w:rFonts w:ascii="Arial" w:hAnsi="Arial" w:cs="Arial"/>
        </w:rPr>
      </w:pPr>
      <w:r>
        <w:rPr>
          <w:rFonts w:ascii="Arial" w:hAnsi="Arial" w:cs="Arial"/>
        </w:rPr>
        <w:t>Kindly note that the designation of the two (2) funded DDG’s is likely to change.</w:t>
      </w:r>
    </w:p>
    <w:p w:rsidR="00E154DB" w:rsidRPr="00680552" w:rsidRDefault="00E154DB" w:rsidP="00E154DB">
      <w:pPr>
        <w:spacing w:after="0" w:line="360" w:lineRule="auto"/>
        <w:ind w:left="709" w:hanging="709"/>
        <w:jc w:val="both"/>
        <w:rPr>
          <w:rFonts w:ascii="Arial" w:hAnsi="Arial" w:cs="Arial"/>
        </w:rPr>
      </w:pPr>
    </w:p>
    <w:p w:rsidR="00E154DB" w:rsidRDefault="00E154DB" w:rsidP="00E154DB">
      <w:pPr>
        <w:spacing w:after="0" w:line="360" w:lineRule="auto"/>
        <w:ind w:left="1418" w:hanging="709"/>
        <w:jc w:val="both"/>
        <w:rPr>
          <w:rFonts w:ascii="Arial" w:hAnsi="Arial" w:cs="Arial"/>
        </w:rPr>
      </w:pPr>
      <w:r w:rsidRPr="00680552">
        <w:rPr>
          <w:rFonts w:ascii="Arial" w:hAnsi="Arial" w:cs="Arial"/>
        </w:rPr>
        <w:t>(b)</w:t>
      </w:r>
      <w:r w:rsidRPr="00680552">
        <w:rPr>
          <w:rFonts w:ascii="Arial" w:hAnsi="Arial" w:cs="Arial"/>
        </w:rPr>
        <w:tab/>
        <w:t xml:space="preserve">The Minister has appointed two Senior Managers to act in the </w:t>
      </w:r>
      <w:r>
        <w:rPr>
          <w:rFonts w:ascii="Arial" w:hAnsi="Arial" w:cs="Arial"/>
        </w:rPr>
        <w:t xml:space="preserve">above </w:t>
      </w:r>
      <w:r w:rsidRPr="00680552">
        <w:rPr>
          <w:rFonts w:ascii="Arial" w:hAnsi="Arial" w:cs="Arial"/>
        </w:rPr>
        <w:t>mentioned vacant DDG posts.  The vacancies have, therefore, not severely impacted the functioning of the Department in terms of the execution of its mandate.</w:t>
      </w:r>
    </w:p>
    <w:p w:rsidR="00E154DB" w:rsidRDefault="00E154DB" w:rsidP="00E154DB">
      <w:pPr>
        <w:spacing w:after="0" w:line="360" w:lineRule="auto"/>
        <w:ind w:left="1418" w:hanging="709"/>
        <w:jc w:val="both"/>
        <w:rPr>
          <w:rFonts w:ascii="Arial" w:hAnsi="Arial" w:cs="Arial"/>
        </w:rPr>
      </w:pPr>
    </w:p>
    <w:p w:rsidR="00E154DB" w:rsidRDefault="00E154DB" w:rsidP="00E154DB">
      <w:pPr>
        <w:spacing w:after="0" w:line="360" w:lineRule="auto"/>
        <w:ind w:left="1440" w:hanging="1440"/>
        <w:jc w:val="both"/>
        <w:rPr>
          <w:rFonts w:ascii="Arial" w:hAnsi="Arial" w:cs="Arial"/>
        </w:rPr>
      </w:pPr>
      <w:r>
        <w:rPr>
          <w:rFonts w:ascii="Arial" w:hAnsi="Arial" w:cs="Arial"/>
        </w:rPr>
        <w:t>(2)(a)&amp;(b)</w:t>
      </w:r>
      <w:r>
        <w:rPr>
          <w:rFonts w:ascii="Arial" w:hAnsi="Arial" w:cs="Arial"/>
        </w:rPr>
        <w:tab/>
      </w:r>
      <w:r w:rsidRPr="009B032A">
        <w:rPr>
          <w:rFonts w:ascii="Arial" w:hAnsi="Arial" w:cs="Arial"/>
        </w:rPr>
        <w:t xml:space="preserve">The pilot phase of the Enterprise Incubation Programme (EIP) ending 31 March 2017 has not received submissions from small business incubators in Dr J S </w:t>
      </w:r>
      <w:proofErr w:type="spellStart"/>
      <w:r>
        <w:rPr>
          <w:rFonts w:ascii="Arial" w:hAnsi="Arial" w:cs="Arial"/>
        </w:rPr>
        <w:t>Moroka</w:t>
      </w:r>
      <w:proofErr w:type="spellEnd"/>
      <w:r>
        <w:rPr>
          <w:rFonts w:ascii="Arial" w:hAnsi="Arial" w:cs="Arial"/>
        </w:rPr>
        <w:t xml:space="preserve"> Local Municipality and the </w:t>
      </w:r>
      <w:proofErr w:type="spellStart"/>
      <w:r w:rsidRPr="009B032A">
        <w:rPr>
          <w:rFonts w:ascii="Arial" w:hAnsi="Arial" w:cs="Arial"/>
        </w:rPr>
        <w:t>Thembisile</w:t>
      </w:r>
      <w:proofErr w:type="spellEnd"/>
      <w:r w:rsidRPr="009B032A">
        <w:rPr>
          <w:rFonts w:ascii="Arial" w:hAnsi="Arial" w:cs="Arial"/>
        </w:rPr>
        <w:t xml:space="preserve"> Hani Local Municipality. </w:t>
      </w:r>
      <w:r>
        <w:rPr>
          <w:rFonts w:ascii="Arial" w:hAnsi="Arial" w:cs="Arial"/>
        </w:rPr>
        <w:t xml:space="preserve"> </w:t>
      </w:r>
      <w:r w:rsidRPr="009B032A">
        <w:rPr>
          <w:rFonts w:ascii="Arial" w:hAnsi="Arial" w:cs="Arial"/>
        </w:rPr>
        <w:t xml:space="preserve"> </w:t>
      </w:r>
      <w:r>
        <w:rPr>
          <w:rFonts w:ascii="Arial" w:hAnsi="Arial" w:cs="Arial"/>
        </w:rPr>
        <w:t>The has been no incubation from the Small Enterprise Development Agency (SEDA) nor any industrial park through the Department of Trade and Industry (</w:t>
      </w:r>
      <w:proofErr w:type="spellStart"/>
      <w:r>
        <w:rPr>
          <w:rFonts w:ascii="Arial" w:hAnsi="Arial" w:cs="Arial"/>
        </w:rPr>
        <w:t>thedti</w:t>
      </w:r>
      <w:proofErr w:type="spellEnd"/>
      <w:r>
        <w:rPr>
          <w:rFonts w:ascii="Arial" w:hAnsi="Arial" w:cs="Arial"/>
        </w:rPr>
        <w:t xml:space="preserve">) in </w:t>
      </w:r>
      <w:r w:rsidRPr="00474F43">
        <w:rPr>
          <w:rFonts w:ascii="Arial" w:hAnsi="Arial" w:cs="Arial"/>
        </w:rPr>
        <w:t xml:space="preserve">Dr J S </w:t>
      </w:r>
      <w:proofErr w:type="spellStart"/>
      <w:r w:rsidRPr="00474F43">
        <w:rPr>
          <w:rFonts w:ascii="Arial" w:hAnsi="Arial" w:cs="Arial"/>
        </w:rPr>
        <w:t>Moroka</w:t>
      </w:r>
      <w:proofErr w:type="spellEnd"/>
      <w:r w:rsidRPr="00474F43">
        <w:rPr>
          <w:rFonts w:ascii="Arial" w:hAnsi="Arial" w:cs="Arial"/>
        </w:rPr>
        <w:t xml:space="preserve"> Local Municipality and the </w:t>
      </w:r>
      <w:proofErr w:type="spellStart"/>
      <w:r w:rsidRPr="00474F43">
        <w:rPr>
          <w:rFonts w:ascii="Arial" w:hAnsi="Arial" w:cs="Arial"/>
        </w:rPr>
        <w:t>Thembisile</w:t>
      </w:r>
      <w:proofErr w:type="spellEnd"/>
      <w:r w:rsidRPr="00474F43">
        <w:rPr>
          <w:rFonts w:ascii="Arial" w:hAnsi="Arial" w:cs="Arial"/>
        </w:rPr>
        <w:t xml:space="preserve"> Hani Local Municipality</w:t>
      </w:r>
    </w:p>
    <w:p w:rsidR="00E154DB" w:rsidRDefault="00E154DB" w:rsidP="00E154DB">
      <w:pPr>
        <w:spacing w:after="0" w:line="360" w:lineRule="auto"/>
        <w:ind w:left="1440" w:hanging="1440"/>
        <w:jc w:val="both"/>
        <w:rPr>
          <w:rFonts w:ascii="Arial" w:hAnsi="Arial" w:cs="Arial"/>
        </w:rPr>
      </w:pPr>
    </w:p>
    <w:p w:rsidR="00E154DB" w:rsidRPr="00474F43" w:rsidRDefault="00E154DB" w:rsidP="00E154DB">
      <w:pPr>
        <w:spacing w:after="0" w:line="360" w:lineRule="auto"/>
        <w:ind w:left="1440" w:hanging="1440"/>
        <w:jc w:val="both"/>
        <w:rPr>
          <w:rFonts w:ascii="Arial" w:hAnsi="Arial" w:cs="Arial"/>
        </w:rPr>
      </w:pPr>
      <w:r>
        <w:rPr>
          <w:rFonts w:ascii="Arial" w:hAnsi="Arial" w:cs="Arial"/>
        </w:rPr>
        <w:t xml:space="preserve">           (</w:t>
      </w:r>
      <w:r w:rsidRPr="00474F43">
        <w:rPr>
          <w:rFonts w:ascii="Arial" w:hAnsi="Arial" w:cs="Arial"/>
        </w:rPr>
        <w:t xml:space="preserve">c) </w:t>
      </w:r>
      <w:r>
        <w:rPr>
          <w:rFonts w:ascii="Arial" w:hAnsi="Arial" w:cs="Arial"/>
        </w:rPr>
        <w:tab/>
      </w:r>
      <w:r w:rsidRPr="00474F43">
        <w:rPr>
          <w:rFonts w:ascii="Arial" w:hAnsi="Arial" w:cs="Arial"/>
        </w:rPr>
        <w:t xml:space="preserve">The Informal and Micro Enterprise Development </w:t>
      </w:r>
      <w:proofErr w:type="spellStart"/>
      <w:r w:rsidRPr="00474F43">
        <w:rPr>
          <w:rFonts w:ascii="Arial" w:hAnsi="Arial" w:cs="Arial"/>
        </w:rPr>
        <w:t>Proramme</w:t>
      </w:r>
      <w:proofErr w:type="spellEnd"/>
      <w:r w:rsidRPr="00474F43">
        <w:rPr>
          <w:rFonts w:ascii="Arial" w:hAnsi="Arial" w:cs="Arial"/>
        </w:rPr>
        <w:t xml:space="preserve"> (IMEDP) has supported 43 businesses in Dr JS </w:t>
      </w:r>
      <w:proofErr w:type="spellStart"/>
      <w:r w:rsidRPr="00474F43">
        <w:rPr>
          <w:rFonts w:ascii="Arial" w:hAnsi="Arial" w:cs="Arial"/>
        </w:rPr>
        <w:t>Moroka</w:t>
      </w:r>
      <w:proofErr w:type="spellEnd"/>
      <w:r w:rsidRPr="00474F43">
        <w:rPr>
          <w:rFonts w:ascii="Arial" w:hAnsi="Arial" w:cs="Arial"/>
        </w:rPr>
        <w:t xml:space="preserve"> and 30 in the </w:t>
      </w:r>
      <w:proofErr w:type="spellStart"/>
      <w:r w:rsidRPr="00474F43">
        <w:rPr>
          <w:rFonts w:ascii="Arial" w:hAnsi="Arial" w:cs="Arial"/>
        </w:rPr>
        <w:t>Thembisile</w:t>
      </w:r>
      <w:proofErr w:type="spellEnd"/>
      <w:r w:rsidRPr="00474F43">
        <w:rPr>
          <w:rFonts w:ascii="Arial" w:hAnsi="Arial" w:cs="Arial"/>
        </w:rPr>
        <w:t xml:space="preserve"> </w:t>
      </w:r>
      <w:r>
        <w:rPr>
          <w:rFonts w:ascii="Arial" w:hAnsi="Arial" w:cs="Arial"/>
        </w:rPr>
        <w:t xml:space="preserve">Hani, </w:t>
      </w:r>
      <w:r w:rsidRPr="00474F43">
        <w:rPr>
          <w:rFonts w:ascii="Arial" w:hAnsi="Arial" w:cs="Arial"/>
        </w:rPr>
        <w:t xml:space="preserve">to a total of 73 informal businesses in these two municipalities combined. </w:t>
      </w:r>
    </w:p>
    <w:p w:rsidR="00E154DB" w:rsidRPr="00474F43" w:rsidRDefault="00E154DB" w:rsidP="00E154DB">
      <w:pPr>
        <w:spacing w:after="0" w:line="360" w:lineRule="auto"/>
        <w:ind w:left="709" w:hanging="709"/>
        <w:jc w:val="both"/>
        <w:rPr>
          <w:rFonts w:ascii="Arial" w:hAnsi="Arial" w:cs="Arial"/>
        </w:rPr>
      </w:pPr>
    </w:p>
    <w:p w:rsidR="00E154DB" w:rsidRPr="009B032A" w:rsidRDefault="00E154DB" w:rsidP="00E154DB">
      <w:pPr>
        <w:spacing w:after="0" w:line="360" w:lineRule="auto"/>
        <w:ind w:left="1418" w:hanging="1418"/>
        <w:jc w:val="both"/>
        <w:rPr>
          <w:rFonts w:ascii="Arial" w:hAnsi="Arial" w:cs="Arial"/>
        </w:rPr>
      </w:pPr>
      <w:r w:rsidRPr="009B032A">
        <w:rPr>
          <w:rFonts w:ascii="Arial" w:hAnsi="Arial" w:cs="Arial"/>
        </w:rPr>
        <w:t xml:space="preserve">(3) </w:t>
      </w:r>
      <w:r>
        <w:rPr>
          <w:rFonts w:ascii="Arial" w:hAnsi="Arial" w:cs="Arial"/>
        </w:rPr>
        <w:t xml:space="preserve">     </w:t>
      </w:r>
      <w:r w:rsidRPr="009B032A">
        <w:rPr>
          <w:rFonts w:ascii="Arial" w:hAnsi="Arial" w:cs="Arial"/>
        </w:rPr>
        <w:t xml:space="preserve">(a) </w:t>
      </w:r>
      <w:r>
        <w:rPr>
          <w:rFonts w:ascii="Arial" w:hAnsi="Arial" w:cs="Arial"/>
        </w:rPr>
        <w:tab/>
      </w:r>
      <w:r w:rsidRPr="009B032A">
        <w:rPr>
          <w:rFonts w:ascii="Arial" w:hAnsi="Arial" w:cs="Arial"/>
        </w:rPr>
        <w:t xml:space="preserve">The </w:t>
      </w:r>
      <w:r>
        <w:rPr>
          <w:rFonts w:ascii="Arial" w:hAnsi="Arial" w:cs="Arial"/>
        </w:rPr>
        <w:t>DSBD</w:t>
      </w:r>
      <w:r w:rsidRPr="009B032A">
        <w:rPr>
          <w:rFonts w:ascii="Arial" w:hAnsi="Arial" w:cs="Arial"/>
        </w:rPr>
        <w:t xml:space="preserve"> is currently conducting the Red Tape Reduction programme in partnership with </w:t>
      </w:r>
      <w:r>
        <w:rPr>
          <w:rFonts w:ascii="Arial" w:hAnsi="Arial" w:cs="Arial"/>
        </w:rPr>
        <w:t xml:space="preserve">the </w:t>
      </w:r>
      <w:r w:rsidRPr="009B032A">
        <w:rPr>
          <w:rFonts w:ascii="Arial" w:hAnsi="Arial" w:cs="Arial"/>
        </w:rPr>
        <w:t>Department of Cooperative Governance and Traditional Affairs (</w:t>
      </w:r>
      <w:proofErr w:type="spellStart"/>
      <w:r w:rsidRPr="009B032A">
        <w:rPr>
          <w:rFonts w:ascii="Arial" w:hAnsi="Arial" w:cs="Arial"/>
        </w:rPr>
        <w:t>CoGTA</w:t>
      </w:r>
      <w:proofErr w:type="spellEnd"/>
      <w:r w:rsidRPr="009B032A">
        <w:rPr>
          <w:rFonts w:ascii="Arial" w:hAnsi="Arial" w:cs="Arial"/>
        </w:rPr>
        <w:t xml:space="preserve">), the South African Local Government Association (SALGA) as well as the International Labour Organisation (ILO) focusing on red tape reduction as experienced by small, micro and medium enterprises (SMMEs) and Co-operatives within the different municipalities. The regulatory and administrative burdens which are being addressed and removed are linked to the following seven indicators and associated legislation and regulations: </w:t>
      </w:r>
    </w:p>
    <w:p w:rsidR="00E154DB" w:rsidRPr="009B032A" w:rsidRDefault="00E154DB" w:rsidP="00E154DB">
      <w:pPr>
        <w:spacing w:after="0" w:line="360" w:lineRule="auto"/>
        <w:ind w:left="1985" w:hanging="567"/>
        <w:jc w:val="both"/>
        <w:rPr>
          <w:rFonts w:ascii="Arial" w:hAnsi="Arial" w:cs="Arial"/>
        </w:rPr>
      </w:pPr>
      <w:r>
        <w:rPr>
          <w:rFonts w:ascii="Arial" w:hAnsi="Arial" w:cs="Arial"/>
        </w:rPr>
        <w:t>(i)</w:t>
      </w:r>
      <w:r>
        <w:rPr>
          <w:rFonts w:ascii="Arial" w:hAnsi="Arial" w:cs="Arial"/>
        </w:rPr>
        <w:tab/>
      </w:r>
      <w:r w:rsidRPr="009B032A">
        <w:rPr>
          <w:rFonts w:ascii="Arial" w:hAnsi="Arial" w:cs="Arial"/>
        </w:rPr>
        <w:t>Effectiveness of the complaints notification system as governed by the Municipal Systems Act;</w:t>
      </w:r>
    </w:p>
    <w:p w:rsidR="00E154DB" w:rsidRPr="009B032A" w:rsidRDefault="00E154DB" w:rsidP="00E154DB">
      <w:pPr>
        <w:spacing w:after="0" w:line="360" w:lineRule="auto"/>
        <w:ind w:left="1985" w:hanging="567"/>
        <w:jc w:val="both"/>
        <w:rPr>
          <w:rFonts w:ascii="Arial" w:hAnsi="Arial" w:cs="Arial"/>
        </w:rPr>
      </w:pPr>
      <w:r>
        <w:rPr>
          <w:rFonts w:ascii="Arial" w:hAnsi="Arial" w:cs="Arial"/>
        </w:rPr>
        <w:t>(ii)</w:t>
      </w:r>
      <w:r>
        <w:rPr>
          <w:rFonts w:ascii="Arial" w:hAnsi="Arial" w:cs="Arial"/>
        </w:rPr>
        <w:tab/>
      </w:r>
      <w:r w:rsidRPr="009B032A">
        <w:rPr>
          <w:rFonts w:ascii="Arial" w:hAnsi="Arial" w:cs="Arial"/>
        </w:rPr>
        <w:t>Communication of relevant business information by municipalities to SMMEs and Co-operatives a</w:t>
      </w:r>
      <w:r>
        <w:rPr>
          <w:rFonts w:ascii="Arial" w:hAnsi="Arial" w:cs="Arial"/>
        </w:rPr>
        <w:t>s governed by the Promotion of A</w:t>
      </w:r>
      <w:r w:rsidRPr="009B032A">
        <w:rPr>
          <w:rFonts w:ascii="Arial" w:hAnsi="Arial" w:cs="Arial"/>
        </w:rPr>
        <w:t>ccess to Information Act;</w:t>
      </w:r>
    </w:p>
    <w:p w:rsidR="00E154DB" w:rsidRPr="009B032A" w:rsidRDefault="00E154DB" w:rsidP="00E154DB">
      <w:pPr>
        <w:spacing w:after="0" w:line="360" w:lineRule="auto"/>
        <w:ind w:left="1985" w:hanging="567"/>
        <w:jc w:val="both"/>
        <w:rPr>
          <w:rFonts w:ascii="Arial" w:hAnsi="Arial" w:cs="Arial"/>
        </w:rPr>
      </w:pPr>
      <w:r>
        <w:rPr>
          <w:rFonts w:ascii="Arial" w:hAnsi="Arial" w:cs="Arial"/>
        </w:rPr>
        <w:t>(iii)</w:t>
      </w:r>
      <w:r>
        <w:rPr>
          <w:rFonts w:ascii="Arial" w:hAnsi="Arial" w:cs="Arial"/>
        </w:rPr>
        <w:tab/>
      </w:r>
      <w:r w:rsidRPr="009B032A">
        <w:rPr>
          <w:rFonts w:ascii="Arial" w:hAnsi="Arial" w:cs="Arial"/>
        </w:rPr>
        <w:t>Municipal building plan approval processes as governed by the National Building Standards Act, Spatial Planning and Land Use Management Act as well as Municipal Services Charter;</w:t>
      </w:r>
    </w:p>
    <w:p w:rsidR="00E154DB" w:rsidRPr="009B032A" w:rsidRDefault="00E154DB" w:rsidP="00E154DB">
      <w:pPr>
        <w:spacing w:after="0" w:line="360" w:lineRule="auto"/>
        <w:ind w:left="1985" w:hanging="567"/>
        <w:jc w:val="both"/>
        <w:rPr>
          <w:rFonts w:ascii="Arial" w:hAnsi="Arial" w:cs="Arial"/>
        </w:rPr>
      </w:pPr>
      <w:proofErr w:type="gramStart"/>
      <w:r>
        <w:rPr>
          <w:rFonts w:ascii="Arial" w:hAnsi="Arial" w:cs="Arial"/>
        </w:rPr>
        <w:t>(iv)</w:t>
      </w:r>
      <w:r>
        <w:rPr>
          <w:rFonts w:ascii="Arial" w:hAnsi="Arial" w:cs="Arial"/>
        </w:rPr>
        <w:tab/>
      </w:r>
      <w:r w:rsidRPr="009B032A">
        <w:rPr>
          <w:rFonts w:ascii="Arial" w:hAnsi="Arial" w:cs="Arial"/>
        </w:rPr>
        <w:t>Lengthy</w:t>
      </w:r>
      <w:proofErr w:type="gramEnd"/>
      <w:r w:rsidRPr="009B032A">
        <w:rPr>
          <w:rFonts w:ascii="Arial" w:hAnsi="Arial" w:cs="Arial"/>
        </w:rPr>
        <w:t xml:space="preserve"> and inefficient supply chain management processes (which ultimately affects the 30-day payment system) relevant legislation would be </w:t>
      </w:r>
      <w:r>
        <w:rPr>
          <w:rFonts w:ascii="Arial" w:hAnsi="Arial" w:cs="Arial"/>
        </w:rPr>
        <w:t xml:space="preserve">the </w:t>
      </w:r>
      <w:r w:rsidRPr="0085386D">
        <w:rPr>
          <w:rFonts w:ascii="Arial" w:hAnsi="Arial" w:cs="Arial"/>
        </w:rPr>
        <w:t xml:space="preserve">Preferential Procurement Policy Framework Act </w:t>
      </w:r>
      <w:r>
        <w:rPr>
          <w:rFonts w:ascii="Arial" w:hAnsi="Arial" w:cs="Arial"/>
        </w:rPr>
        <w:t>(</w:t>
      </w:r>
      <w:r w:rsidRPr="009B032A">
        <w:rPr>
          <w:rFonts w:ascii="Arial" w:hAnsi="Arial" w:cs="Arial"/>
        </w:rPr>
        <w:t>PPPFA</w:t>
      </w:r>
      <w:r>
        <w:rPr>
          <w:rFonts w:ascii="Arial" w:hAnsi="Arial" w:cs="Arial"/>
        </w:rPr>
        <w:t>)</w:t>
      </w:r>
      <w:r w:rsidRPr="009B032A">
        <w:rPr>
          <w:rFonts w:ascii="Arial" w:hAnsi="Arial" w:cs="Arial"/>
        </w:rPr>
        <w:t xml:space="preserve">, </w:t>
      </w:r>
      <w:r w:rsidRPr="0085386D">
        <w:rPr>
          <w:rFonts w:ascii="Arial" w:hAnsi="Arial" w:cs="Arial"/>
        </w:rPr>
        <w:t xml:space="preserve">Municipal Finance Management Act </w:t>
      </w:r>
      <w:r>
        <w:rPr>
          <w:rFonts w:ascii="Arial" w:hAnsi="Arial" w:cs="Arial"/>
        </w:rPr>
        <w:t>(</w:t>
      </w:r>
      <w:r w:rsidRPr="009B032A">
        <w:rPr>
          <w:rFonts w:ascii="Arial" w:hAnsi="Arial" w:cs="Arial"/>
        </w:rPr>
        <w:t>MFMA</w:t>
      </w:r>
      <w:r>
        <w:rPr>
          <w:rFonts w:ascii="Arial" w:hAnsi="Arial" w:cs="Arial"/>
        </w:rPr>
        <w:t>)</w:t>
      </w:r>
      <w:r w:rsidRPr="009B032A">
        <w:rPr>
          <w:rFonts w:ascii="Arial" w:hAnsi="Arial" w:cs="Arial"/>
        </w:rPr>
        <w:t xml:space="preserve"> and Preferential Procurement Regulations;</w:t>
      </w:r>
    </w:p>
    <w:p w:rsidR="00E154DB" w:rsidRPr="009B032A" w:rsidRDefault="00E154DB" w:rsidP="00E154DB">
      <w:pPr>
        <w:spacing w:after="0" w:line="360" w:lineRule="auto"/>
        <w:ind w:left="1985" w:hanging="567"/>
        <w:jc w:val="both"/>
        <w:rPr>
          <w:rFonts w:ascii="Arial" w:hAnsi="Arial" w:cs="Arial"/>
        </w:rPr>
      </w:pPr>
      <w:r>
        <w:rPr>
          <w:rFonts w:ascii="Arial" w:hAnsi="Arial" w:cs="Arial"/>
        </w:rPr>
        <w:t>(v)</w:t>
      </w:r>
      <w:r>
        <w:rPr>
          <w:rFonts w:ascii="Arial" w:hAnsi="Arial" w:cs="Arial"/>
        </w:rPr>
        <w:tab/>
      </w:r>
      <w:r w:rsidRPr="009B032A">
        <w:rPr>
          <w:rFonts w:ascii="Arial" w:hAnsi="Arial" w:cs="Arial"/>
        </w:rPr>
        <w:t xml:space="preserve">Municipal business registration and permits relevant legislation includes: Business Act, National Health Act, National Building Regulations and Building Standards Act including various by-laws </w:t>
      </w:r>
      <w:proofErr w:type="gramStart"/>
      <w:r>
        <w:rPr>
          <w:rFonts w:ascii="Arial" w:hAnsi="Arial" w:cs="Arial"/>
        </w:rPr>
        <w:t>that</w:t>
      </w:r>
      <w:r w:rsidRPr="009B032A">
        <w:rPr>
          <w:rFonts w:ascii="Arial" w:hAnsi="Arial" w:cs="Arial"/>
        </w:rPr>
        <w:t xml:space="preserve"> are</w:t>
      </w:r>
      <w:proofErr w:type="gramEnd"/>
      <w:r w:rsidRPr="009B032A">
        <w:rPr>
          <w:rFonts w:ascii="Arial" w:hAnsi="Arial" w:cs="Arial"/>
        </w:rPr>
        <w:t xml:space="preserve"> relevant to the business licensing process</w:t>
      </w:r>
      <w:r>
        <w:rPr>
          <w:rFonts w:ascii="Arial" w:hAnsi="Arial" w:cs="Arial"/>
        </w:rPr>
        <w:t>,</w:t>
      </w:r>
      <w:r w:rsidRPr="009B032A">
        <w:rPr>
          <w:rFonts w:ascii="Arial" w:hAnsi="Arial" w:cs="Arial"/>
        </w:rPr>
        <w:t xml:space="preserve"> e.g. municipal by-law on food or tourism regulations;</w:t>
      </w:r>
    </w:p>
    <w:p w:rsidR="00E154DB" w:rsidRPr="009B032A" w:rsidRDefault="00E154DB" w:rsidP="00E154DB">
      <w:pPr>
        <w:spacing w:after="0" w:line="360" w:lineRule="auto"/>
        <w:ind w:left="1985" w:hanging="567"/>
        <w:jc w:val="both"/>
        <w:rPr>
          <w:rFonts w:ascii="Arial" w:hAnsi="Arial" w:cs="Arial"/>
        </w:rPr>
      </w:pPr>
      <w:proofErr w:type="gramStart"/>
      <w:r>
        <w:rPr>
          <w:rFonts w:ascii="Arial" w:hAnsi="Arial" w:cs="Arial"/>
        </w:rPr>
        <w:t>(vi)</w:t>
      </w:r>
      <w:r>
        <w:rPr>
          <w:rFonts w:ascii="Arial" w:hAnsi="Arial" w:cs="Arial"/>
        </w:rPr>
        <w:tab/>
      </w:r>
      <w:r w:rsidRPr="009B032A">
        <w:rPr>
          <w:rFonts w:ascii="Arial" w:hAnsi="Arial" w:cs="Arial"/>
        </w:rPr>
        <w:t>Development</w:t>
      </w:r>
      <w:proofErr w:type="gramEnd"/>
      <w:r w:rsidRPr="009B032A">
        <w:rPr>
          <w:rFonts w:ascii="Arial" w:hAnsi="Arial" w:cs="Arial"/>
        </w:rPr>
        <w:t xml:space="preserve"> and enforcement of municipal by-laws that promote business development, some of the relevant legislation include the Municipal Systems Act and Local Government Transition Act;</w:t>
      </w:r>
      <w:r>
        <w:rPr>
          <w:rFonts w:ascii="Arial" w:hAnsi="Arial" w:cs="Arial"/>
        </w:rPr>
        <w:t xml:space="preserve"> and </w:t>
      </w:r>
    </w:p>
    <w:p w:rsidR="00E154DB" w:rsidRPr="009B032A" w:rsidRDefault="00E154DB" w:rsidP="00E154DB">
      <w:pPr>
        <w:spacing w:after="0" w:line="360" w:lineRule="auto"/>
        <w:ind w:left="1985" w:hanging="567"/>
        <w:jc w:val="both"/>
        <w:rPr>
          <w:rFonts w:ascii="Arial" w:hAnsi="Arial" w:cs="Arial"/>
        </w:rPr>
      </w:pPr>
      <w:r>
        <w:rPr>
          <w:rFonts w:ascii="Arial" w:hAnsi="Arial" w:cs="Arial"/>
        </w:rPr>
        <w:t>(vii)</w:t>
      </w:r>
      <w:r>
        <w:rPr>
          <w:rFonts w:ascii="Arial" w:hAnsi="Arial" w:cs="Arial"/>
        </w:rPr>
        <w:tab/>
      </w:r>
      <w:r w:rsidRPr="009B032A">
        <w:rPr>
          <w:rFonts w:ascii="Arial" w:hAnsi="Arial" w:cs="Arial"/>
        </w:rPr>
        <w:t xml:space="preserve">Assessment of percentage spent in procurement </w:t>
      </w:r>
      <w:r>
        <w:rPr>
          <w:rFonts w:ascii="Arial" w:hAnsi="Arial" w:cs="Arial"/>
        </w:rPr>
        <w:t>from</w:t>
      </w:r>
      <w:r w:rsidRPr="009B032A">
        <w:rPr>
          <w:rFonts w:ascii="Arial" w:hAnsi="Arial" w:cs="Arial"/>
        </w:rPr>
        <w:t xml:space="preserve"> SMMEs and Co-operatives aligned to the PPPFA and MFMA and preferential procurement regulations. </w:t>
      </w:r>
    </w:p>
    <w:p w:rsidR="00E154DB" w:rsidRPr="009B032A" w:rsidRDefault="00E154DB" w:rsidP="00E154DB">
      <w:pPr>
        <w:spacing w:after="0" w:line="360" w:lineRule="auto"/>
        <w:ind w:left="2127" w:hanging="709"/>
        <w:jc w:val="both"/>
        <w:rPr>
          <w:rFonts w:ascii="Arial" w:hAnsi="Arial" w:cs="Arial"/>
        </w:rPr>
      </w:pPr>
    </w:p>
    <w:p w:rsidR="00E154DB" w:rsidRPr="009B032A" w:rsidRDefault="00E154DB" w:rsidP="00E154DB">
      <w:pPr>
        <w:spacing w:after="0" w:line="360" w:lineRule="auto"/>
        <w:ind w:left="709"/>
        <w:jc w:val="both"/>
        <w:rPr>
          <w:rFonts w:ascii="Arial" w:hAnsi="Arial" w:cs="Arial"/>
        </w:rPr>
      </w:pPr>
      <w:r w:rsidRPr="009B032A">
        <w:rPr>
          <w:rFonts w:ascii="Arial" w:hAnsi="Arial" w:cs="Arial"/>
        </w:rPr>
        <w:t>Each of the above mentioned indicators has a specific number of legislation and regulations of which each municipality is responsible for assessing and ultimately removing as per specific municipal context and action plan.</w:t>
      </w:r>
    </w:p>
    <w:p w:rsidR="00E154DB" w:rsidRPr="009B032A" w:rsidRDefault="00E154DB" w:rsidP="00E154DB">
      <w:pPr>
        <w:spacing w:after="0" w:line="360" w:lineRule="auto"/>
        <w:ind w:left="1440" w:hanging="1440"/>
        <w:jc w:val="both"/>
        <w:rPr>
          <w:rFonts w:ascii="Arial" w:hAnsi="Arial" w:cs="Arial"/>
        </w:rPr>
      </w:pPr>
    </w:p>
    <w:p w:rsidR="00E154DB" w:rsidRPr="009B032A" w:rsidRDefault="00E154DB" w:rsidP="00E154DB">
      <w:pPr>
        <w:spacing w:after="0" w:line="360" w:lineRule="auto"/>
        <w:ind w:left="1440" w:hanging="731"/>
        <w:jc w:val="both"/>
        <w:rPr>
          <w:rFonts w:ascii="Arial" w:hAnsi="Arial" w:cs="Arial"/>
        </w:rPr>
      </w:pPr>
      <w:r>
        <w:rPr>
          <w:rFonts w:ascii="Arial" w:hAnsi="Arial" w:cs="Arial"/>
        </w:rPr>
        <w:t>(b)</w:t>
      </w:r>
      <w:r>
        <w:rPr>
          <w:rFonts w:ascii="Arial" w:hAnsi="Arial" w:cs="Arial"/>
        </w:rPr>
        <w:tab/>
      </w:r>
      <w:r w:rsidRPr="009B032A">
        <w:rPr>
          <w:rFonts w:ascii="Arial" w:hAnsi="Arial" w:cs="Arial"/>
        </w:rPr>
        <w:t xml:space="preserve">The </w:t>
      </w:r>
      <w:r>
        <w:rPr>
          <w:rFonts w:ascii="Arial" w:hAnsi="Arial" w:cs="Arial"/>
        </w:rPr>
        <w:t>DSBD</w:t>
      </w:r>
      <w:r w:rsidRPr="009B032A">
        <w:rPr>
          <w:rFonts w:ascii="Arial" w:hAnsi="Arial" w:cs="Arial"/>
        </w:rPr>
        <w:t xml:space="preserve"> is also conducting a national study on legislative and regulatory protocols impeding on SMMEs and Co-operatives</w:t>
      </w:r>
      <w:r>
        <w:rPr>
          <w:rFonts w:ascii="Arial" w:hAnsi="Arial" w:cs="Arial"/>
        </w:rPr>
        <w:t>, and</w:t>
      </w:r>
      <w:r w:rsidRPr="009B032A">
        <w:rPr>
          <w:rFonts w:ascii="Arial" w:hAnsi="Arial" w:cs="Arial"/>
        </w:rPr>
        <w:t xml:space="preserve"> the key focus areas of the study are: (i) registration and reporting under tax, company registration and labour laws; (ii) state procurement; (iii) construction; and </w:t>
      </w:r>
      <w:proofErr w:type="gramStart"/>
      <w:r w:rsidRPr="009B032A">
        <w:rPr>
          <w:rFonts w:ascii="Arial" w:hAnsi="Arial" w:cs="Arial"/>
        </w:rPr>
        <w:t>(iv) broad-based</w:t>
      </w:r>
      <w:proofErr w:type="gramEnd"/>
      <w:r w:rsidRPr="009B032A">
        <w:rPr>
          <w:rFonts w:ascii="Arial" w:hAnsi="Arial" w:cs="Arial"/>
        </w:rPr>
        <w:t xml:space="preserve"> black economic empowerment. The draft report will be finalised by the end </w:t>
      </w:r>
      <w:r>
        <w:rPr>
          <w:rFonts w:ascii="Arial" w:hAnsi="Arial" w:cs="Arial"/>
        </w:rPr>
        <w:t>March 2017</w:t>
      </w:r>
      <w:r w:rsidRPr="009B032A">
        <w:rPr>
          <w:rFonts w:ascii="Arial" w:hAnsi="Arial" w:cs="Arial"/>
        </w:rPr>
        <w:t xml:space="preserve">. </w:t>
      </w:r>
    </w:p>
    <w:p w:rsidR="00E154DB" w:rsidRPr="00E87947" w:rsidRDefault="00E154DB" w:rsidP="00E154DB">
      <w:pPr>
        <w:spacing w:after="0" w:line="360" w:lineRule="auto"/>
        <w:ind w:left="1418" w:hanging="709"/>
        <w:jc w:val="both"/>
        <w:rPr>
          <w:rFonts w:ascii="Arial" w:hAnsi="Arial" w:cs="Arial"/>
        </w:rPr>
      </w:pPr>
      <w:r w:rsidRPr="00E87947">
        <w:rPr>
          <w:rFonts w:ascii="Arial" w:hAnsi="Arial" w:cs="Arial"/>
        </w:rPr>
        <w:br w:type="page"/>
      </w:r>
    </w:p>
    <w:p w:rsidR="00973DC5" w:rsidRDefault="00973DC5"/>
    <w:p w:rsidR="00E154DB" w:rsidRDefault="00E154DB"/>
    <w:sectPr w:rsidR="00E1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800"/>
    <w:multiLevelType w:val="hybridMultilevel"/>
    <w:tmpl w:val="DAC2F2E8"/>
    <w:lvl w:ilvl="0" w:tplc="C7803410">
      <w:start w:val="1"/>
      <w:numFmt w:val="decimal"/>
      <w:lvlText w:val="(%1)"/>
      <w:lvlJc w:val="left"/>
      <w:pPr>
        <w:ind w:left="1421" w:hanging="57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DB"/>
    <w:rsid w:val="006B0FBD"/>
    <w:rsid w:val="00973DC5"/>
    <w:rsid w:val="00E154DB"/>
    <w:rsid w:val="00E4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DB"/>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DB"/>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2017-09-05T08:51:00Z</dcterms:created>
  <dcterms:modified xsi:type="dcterms:W3CDTF">2017-09-05T08:52:00Z</dcterms:modified>
</cp:coreProperties>
</file>