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Pr="00A666F9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666F9" w:rsidRPr="00A666F9">
        <w:rPr>
          <w:rFonts w:cs="Arial"/>
          <w:sz w:val="22"/>
          <w:szCs w:val="22"/>
          <w:u w:val="none"/>
          <w:lang w:val="en-ZA"/>
        </w:rPr>
        <w:t>45</w:t>
      </w:r>
      <w:r w:rsidR="00A50B15">
        <w:rPr>
          <w:rFonts w:cs="Arial"/>
          <w:sz w:val="22"/>
          <w:szCs w:val="22"/>
          <w:u w:val="none"/>
          <w:lang w:val="en-ZA"/>
        </w:rPr>
        <w:t>7</w:t>
      </w:r>
    </w:p>
    <w:p w:rsidR="00795444" w:rsidRPr="00A666F9" w:rsidRDefault="00795444" w:rsidP="00795444">
      <w:pPr>
        <w:rPr>
          <w:rFonts w:ascii="Arial" w:hAnsi="Arial" w:cs="Arial"/>
          <w:lang w:val="en-ZA" w:eastAsia="x-none"/>
        </w:rPr>
      </w:pPr>
    </w:p>
    <w:p w:rsidR="00A50B15" w:rsidRPr="00A50B15" w:rsidRDefault="00A50B15" w:rsidP="00A50B1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A50B15">
        <w:rPr>
          <w:rFonts w:ascii="Arial" w:eastAsia="Times New Roman" w:hAnsi="Arial" w:cs="Arial"/>
          <w:b/>
        </w:rPr>
        <w:t>457</w:t>
      </w:r>
      <w:r w:rsidRPr="00A50B15">
        <w:rPr>
          <w:rFonts w:ascii="Arial" w:hAnsi="Arial" w:cs="Arial"/>
          <w:b/>
        </w:rPr>
        <w:t>.</w:t>
      </w:r>
      <w:r w:rsidRPr="00A50B15">
        <w:rPr>
          <w:rFonts w:ascii="Arial" w:hAnsi="Arial" w:cs="Arial"/>
          <w:b/>
        </w:rPr>
        <w:tab/>
      </w:r>
      <w:proofErr w:type="spellStart"/>
      <w:r w:rsidRPr="00A50B15">
        <w:rPr>
          <w:rFonts w:ascii="Arial" w:hAnsi="Arial" w:cs="Arial"/>
          <w:b/>
        </w:rPr>
        <w:t>Mr</w:t>
      </w:r>
      <w:proofErr w:type="spellEnd"/>
      <w:r w:rsidRPr="00A50B15">
        <w:rPr>
          <w:rFonts w:ascii="Arial" w:hAnsi="Arial" w:cs="Arial"/>
          <w:b/>
        </w:rPr>
        <w:t xml:space="preserve"> C H </w:t>
      </w:r>
      <w:proofErr w:type="spellStart"/>
      <w:r w:rsidRPr="00A50B15">
        <w:rPr>
          <w:rFonts w:ascii="Arial" w:hAnsi="Arial" w:cs="Arial"/>
          <w:b/>
        </w:rPr>
        <w:t>H</w:t>
      </w:r>
      <w:proofErr w:type="spellEnd"/>
      <w:r w:rsidRPr="00A50B15">
        <w:rPr>
          <w:rFonts w:ascii="Arial" w:hAnsi="Arial" w:cs="Arial"/>
          <w:b/>
        </w:rPr>
        <w:t xml:space="preserve"> </w:t>
      </w:r>
      <w:proofErr w:type="spellStart"/>
      <w:r w:rsidRPr="00A50B15">
        <w:rPr>
          <w:rFonts w:ascii="Arial" w:hAnsi="Arial" w:cs="Arial"/>
          <w:b/>
        </w:rPr>
        <w:t>Hunsinger</w:t>
      </w:r>
      <w:proofErr w:type="spellEnd"/>
      <w:r w:rsidRPr="00A50B15">
        <w:rPr>
          <w:rFonts w:ascii="Arial" w:hAnsi="Arial" w:cs="Arial"/>
          <w:b/>
        </w:rPr>
        <w:t xml:space="preserve"> (DA) to ask the Minister of Transport:</w:t>
      </w:r>
    </w:p>
    <w:p w:rsidR="00A50B15" w:rsidRPr="00A50B15" w:rsidRDefault="00A50B15" w:rsidP="00A50B15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mbria" w:hAnsi="Arial" w:cs="Arial"/>
        </w:rPr>
      </w:pPr>
      <w:r w:rsidRPr="00A50B15">
        <w:rPr>
          <w:rFonts w:ascii="Arial" w:eastAsia="Cambria" w:hAnsi="Arial" w:cs="Arial"/>
        </w:rPr>
        <w:t>(1)</w:t>
      </w:r>
      <w:r w:rsidRPr="00A50B15">
        <w:rPr>
          <w:rFonts w:ascii="Arial" w:eastAsia="Cambria" w:hAnsi="Arial" w:cs="Arial"/>
        </w:rPr>
        <w:tab/>
        <w:t xml:space="preserve">With reference to the </w:t>
      </w:r>
      <w:proofErr w:type="spellStart"/>
      <w:r w:rsidRPr="00A50B15">
        <w:rPr>
          <w:rFonts w:ascii="Arial" w:eastAsia="Cambria" w:hAnsi="Arial" w:cs="Arial"/>
        </w:rPr>
        <w:t>signalling</w:t>
      </w:r>
      <w:proofErr w:type="spellEnd"/>
      <w:r w:rsidRPr="00A50B15">
        <w:rPr>
          <w:rFonts w:ascii="Arial" w:eastAsia="Cambria" w:hAnsi="Arial" w:cs="Arial"/>
        </w:rPr>
        <w:t xml:space="preserve"> systems, rolling-stock and related infrastructure at each train station, (a) how often was each system (</w:t>
      </w:r>
      <w:proofErr w:type="spellStart"/>
      <w:r w:rsidRPr="00A50B15">
        <w:rPr>
          <w:rFonts w:ascii="Arial" w:eastAsia="Cambria" w:hAnsi="Arial" w:cs="Arial"/>
        </w:rPr>
        <w:t>i</w:t>
      </w:r>
      <w:proofErr w:type="spellEnd"/>
      <w:r w:rsidRPr="00A50B15">
        <w:rPr>
          <w:rFonts w:ascii="Arial" w:eastAsia="Cambria" w:hAnsi="Arial" w:cs="Arial"/>
        </w:rPr>
        <w:t>) tested and (ii) maintained (</w:t>
      </w:r>
      <w:proofErr w:type="gramStart"/>
      <w:r w:rsidRPr="00A50B15">
        <w:rPr>
          <w:rFonts w:ascii="Arial" w:eastAsia="Cambria" w:hAnsi="Arial" w:cs="Arial"/>
        </w:rPr>
        <w:t>aa</w:t>
      </w:r>
      <w:proofErr w:type="gramEnd"/>
      <w:r w:rsidRPr="00A50B15">
        <w:rPr>
          <w:rFonts w:ascii="Arial" w:eastAsia="Cambria" w:hAnsi="Arial" w:cs="Arial"/>
        </w:rPr>
        <w:t>) in the (</w:t>
      </w:r>
      <w:proofErr w:type="spellStart"/>
      <w:r w:rsidRPr="00A50B15">
        <w:rPr>
          <w:rFonts w:ascii="Arial" w:eastAsia="Cambria" w:hAnsi="Arial" w:cs="Arial"/>
        </w:rPr>
        <w:t>aaa</w:t>
      </w:r>
      <w:proofErr w:type="spellEnd"/>
      <w:r w:rsidRPr="00A50B15">
        <w:rPr>
          <w:rFonts w:ascii="Arial" w:eastAsia="Cambria" w:hAnsi="Arial" w:cs="Arial"/>
        </w:rPr>
        <w:t>) 2014-15, (</w:t>
      </w:r>
      <w:proofErr w:type="spellStart"/>
      <w:r w:rsidRPr="00A50B15">
        <w:rPr>
          <w:rFonts w:ascii="Arial" w:eastAsia="Cambria" w:hAnsi="Arial" w:cs="Arial"/>
        </w:rPr>
        <w:t>bbb</w:t>
      </w:r>
      <w:proofErr w:type="spellEnd"/>
      <w:r w:rsidRPr="00A50B15">
        <w:rPr>
          <w:rFonts w:ascii="Arial" w:eastAsia="Cambria" w:hAnsi="Arial" w:cs="Arial"/>
        </w:rPr>
        <w:t xml:space="preserve">) 2015-16 and (cc) 2016-17 financial years and (bb) since 1 April 2017; </w:t>
      </w:r>
    </w:p>
    <w:p w:rsidR="00A50B15" w:rsidRPr="00A50B15" w:rsidRDefault="00A50B15" w:rsidP="00A50B15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A50B15">
        <w:rPr>
          <w:rFonts w:ascii="Arial" w:eastAsia="Cambria" w:hAnsi="Arial" w:cs="Arial"/>
        </w:rPr>
        <w:t>(2)</w:t>
      </w:r>
      <w:r w:rsidRPr="00A50B15">
        <w:rPr>
          <w:rFonts w:ascii="Arial" w:eastAsia="Cambria" w:hAnsi="Arial" w:cs="Arial"/>
        </w:rPr>
        <w:tab/>
        <w:t>(</w:t>
      </w:r>
      <w:proofErr w:type="gramStart"/>
      <w:r w:rsidRPr="00A50B15">
        <w:rPr>
          <w:rFonts w:ascii="Arial" w:eastAsia="Cambria" w:hAnsi="Arial" w:cs="Arial"/>
        </w:rPr>
        <w:t>a</w:t>
      </w:r>
      <w:proofErr w:type="gramEnd"/>
      <w:r w:rsidRPr="00A50B15">
        <w:rPr>
          <w:rFonts w:ascii="Arial" w:eastAsia="Cambria" w:hAnsi="Arial" w:cs="Arial"/>
        </w:rPr>
        <w:t>) what were the results of each test respectively and (b) what action was taken in each case?</w:t>
      </w:r>
      <w:r w:rsidRPr="00A50B15">
        <w:rPr>
          <w:rFonts w:ascii="Arial" w:eastAsia="Cambria" w:hAnsi="Arial" w:cs="Arial"/>
        </w:rPr>
        <w:tab/>
      </w:r>
      <w:r w:rsidRPr="00A50B15">
        <w:rPr>
          <w:rFonts w:ascii="Arial" w:hAnsi="Arial" w:cs="Arial"/>
        </w:rPr>
        <w:tab/>
      </w:r>
      <w:r w:rsidRPr="00A50B15">
        <w:rPr>
          <w:rFonts w:ascii="Arial" w:hAnsi="Arial" w:cs="Arial"/>
        </w:rPr>
        <w:tab/>
      </w:r>
      <w:r w:rsidRPr="00A50B15">
        <w:rPr>
          <w:rFonts w:ascii="Arial" w:hAnsi="Arial" w:cs="Arial"/>
        </w:rPr>
        <w:tab/>
      </w:r>
      <w:r w:rsidRPr="00A50B15">
        <w:rPr>
          <w:rFonts w:ascii="Arial" w:hAnsi="Arial" w:cs="Arial"/>
        </w:rPr>
        <w:tab/>
      </w:r>
      <w:r w:rsidRPr="00A50B15">
        <w:rPr>
          <w:rFonts w:ascii="Arial" w:hAnsi="Arial" w:cs="Arial"/>
        </w:rPr>
        <w:tab/>
      </w:r>
      <w:r w:rsidRPr="00A50B15">
        <w:rPr>
          <w:rFonts w:ascii="Arial" w:hAnsi="Arial" w:cs="Arial"/>
        </w:rPr>
        <w:tab/>
      </w:r>
      <w:r w:rsidRPr="00A50B15">
        <w:rPr>
          <w:rFonts w:ascii="Arial" w:hAnsi="Arial" w:cs="Arial"/>
        </w:rPr>
        <w:tab/>
        <w:t>NW474E</w:t>
      </w:r>
    </w:p>
    <w:p w:rsidR="00A666F9" w:rsidRDefault="00A666F9" w:rsidP="00795444">
      <w:pPr>
        <w:rPr>
          <w:rFonts w:ascii="Arial" w:hAnsi="Arial" w:cs="Arial"/>
          <w:lang w:val="en-ZA" w:eastAsia="x-none"/>
        </w:rPr>
      </w:pPr>
    </w:p>
    <w:p w:rsidR="00A666F9" w:rsidRDefault="00A666F9" w:rsidP="00795444">
      <w:pPr>
        <w:rPr>
          <w:rFonts w:ascii="Arial" w:hAnsi="Arial" w:cs="Arial"/>
          <w:b/>
          <w:lang w:val="en-ZA" w:eastAsia="x-none"/>
        </w:rPr>
      </w:pPr>
      <w:r w:rsidRPr="00A666F9">
        <w:rPr>
          <w:rFonts w:ascii="Arial" w:hAnsi="Arial" w:cs="Arial"/>
          <w:b/>
          <w:lang w:val="en-ZA" w:eastAsia="x-none"/>
        </w:rPr>
        <w:t>REPLY</w:t>
      </w:r>
    </w:p>
    <w:p w:rsidR="003C32ED" w:rsidRPr="00A062FE" w:rsidRDefault="00A062FE" w:rsidP="00A062FE">
      <w:pPr>
        <w:pStyle w:val="ListParagraph"/>
        <w:numPr>
          <w:ilvl w:val="0"/>
          <w:numId w:val="24"/>
        </w:num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(a) (</w:t>
      </w:r>
      <w:proofErr w:type="spellStart"/>
      <w:r>
        <w:rPr>
          <w:rFonts w:ascii="Arial" w:hAnsi="Arial" w:cs="Arial"/>
          <w:lang w:val="en-ZA" w:eastAsia="x-none"/>
        </w:rPr>
        <w:t>i</w:t>
      </w:r>
      <w:proofErr w:type="spellEnd"/>
      <w:r>
        <w:rPr>
          <w:rFonts w:ascii="Arial" w:hAnsi="Arial" w:cs="Arial"/>
          <w:lang w:val="en-ZA" w:eastAsia="x-none"/>
        </w:rPr>
        <w:t>) (ii) and (aa) (</w:t>
      </w:r>
      <w:proofErr w:type="spellStart"/>
      <w:r>
        <w:rPr>
          <w:rFonts w:ascii="Arial" w:hAnsi="Arial" w:cs="Arial"/>
          <w:lang w:val="en-ZA" w:eastAsia="x-none"/>
        </w:rPr>
        <w:t>aaa</w:t>
      </w:r>
      <w:proofErr w:type="spellEnd"/>
      <w:r>
        <w:rPr>
          <w:rFonts w:ascii="Arial" w:hAnsi="Arial" w:cs="Arial"/>
          <w:lang w:val="en-ZA" w:eastAsia="x-none"/>
        </w:rPr>
        <w:t>) (</w:t>
      </w:r>
      <w:proofErr w:type="spellStart"/>
      <w:r>
        <w:rPr>
          <w:rFonts w:ascii="Arial" w:hAnsi="Arial" w:cs="Arial"/>
          <w:lang w:val="en-ZA" w:eastAsia="x-none"/>
        </w:rPr>
        <w:t>bbb</w:t>
      </w:r>
      <w:proofErr w:type="spellEnd"/>
      <w:r>
        <w:rPr>
          <w:rFonts w:ascii="Arial" w:hAnsi="Arial" w:cs="Arial"/>
          <w:lang w:val="en-ZA" w:eastAsia="x-none"/>
        </w:rPr>
        <w:t xml:space="preserve">) and (cc) (bb) </w:t>
      </w:r>
      <w:r w:rsidR="003C32ED" w:rsidRPr="00A062FE">
        <w:rPr>
          <w:rFonts w:ascii="Arial" w:hAnsi="Arial" w:cs="Arial"/>
          <w:lang w:val="en-ZA" w:eastAsia="x-none"/>
        </w:rPr>
        <w:t xml:space="preserve">The information requested requires PRASA Engineering staff to extract all the records pertaining to all the infrastructure asset items for each of the regions Western Cape, Gauteng and </w:t>
      </w:r>
      <w:proofErr w:type="spellStart"/>
      <w:r w:rsidR="003C32ED" w:rsidRPr="00A062FE">
        <w:rPr>
          <w:rFonts w:ascii="Arial" w:hAnsi="Arial" w:cs="Arial"/>
          <w:lang w:val="en-ZA" w:eastAsia="x-none"/>
        </w:rPr>
        <w:t>Kwazulu</w:t>
      </w:r>
      <w:proofErr w:type="spellEnd"/>
      <w:r w:rsidR="003C32ED" w:rsidRPr="00A062FE">
        <w:rPr>
          <w:rFonts w:ascii="Arial" w:hAnsi="Arial" w:cs="Arial"/>
          <w:lang w:val="en-ZA" w:eastAsia="x-none"/>
        </w:rPr>
        <w:t xml:space="preserve"> Natal (Eastern Cape operates on Transnet infrastructure) as well as record of each of the coaches (rolling stock), i.e. 4,565 </w:t>
      </w:r>
      <w:proofErr w:type="spellStart"/>
      <w:r w:rsidR="003C32ED" w:rsidRPr="00A062FE">
        <w:rPr>
          <w:rFonts w:ascii="Arial" w:hAnsi="Arial" w:cs="Arial"/>
          <w:lang w:val="en-ZA" w:eastAsia="x-none"/>
        </w:rPr>
        <w:t>caoches</w:t>
      </w:r>
      <w:proofErr w:type="spellEnd"/>
      <w:r w:rsidR="003C32ED" w:rsidRPr="00A062FE">
        <w:rPr>
          <w:rFonts w:ascii="Arial" w:hAnsi="Arial" w:cs="Arial"/>
          <w:lang w:val="en-ZA" w:eastAsia="x-none"/>
        </w:rPr>
        <w:t xml:space="preserve"> x 9 months x approximately 7 records per coach per month which equals 287,595 records on rolling stock only.</w:t>
      </w:r>
    </w:p>
    <w:p w:rsidR="003C32ED" w:rsidRDefault="003C32ED" w:rsidP="00A062FE">
      <w:pPr>
        <w:ind w:left="360" w:right="-23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Engineering Department will need time to extract the information in summary for 2015-16 and detail for 2017. </w:t>
      </w:r>
    </w:p>
    <w:p w:rsidR="003C32ED" w:rsidRDefault="003C32ED" w:rsidP="00A062FE">
      <w:pPr>
        <w:ind w:left="360" w:right="-23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detail requested are expected to be very large and it would be appreciated if Mr </w:t>
      </w:r>
      <w:proofErr w:type="spellStart"/>
      <w:r>
        <w:rPr>
          <w:rFonts w:ascii="Arial" w:hAnsi="Arial" w:cs="Arial"/>
          <w:lang w:val="en-ZA" w:eastAsia="x-none"/>
        </w:rPr>
        <w:t>Hunsinger</w:t>
      </w:r>
      <w:proofErr w:type="spellEnd"/>
      <w:r>
        <w:rPr>
          <w:rFonts w:ascii="Arial" w:hAnsi="Arial" w:cs="Arial"/>
          <w:lang w:val="en-ZA" w:eastAsia="x-none"/>
        </w:rPr>
        <w:t xml:space="preserve"> can please confirm that this is for all operating areas or whether just for Gauteng.</w:t>
      </w:r>
    </w:p>
    <w:p w:rsidR="003C32ED" w:rsidRPr="00A062FE" w:rsidRDefault="00A062FE" w:rsidP="00A062FE">
      <w:pPr>
        <w:pStyle w:val="ListParagraph"/>
        <w:numPr>
          <w:ilvl w:val="0"/>
          <w:numId w:val="24"/>
        </w:numPr>
        <w:ind w:right="-23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(a) Due to the fact that the information is not available at this stage, a response cannot be provide (b) in light of 2(a) above, (b) falls away</w:t>
      </w:r>
    </w:p>
    <w:sectPr w:rsidR="003C32ED" w:rsidRPr="00A062FE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02" w:rsidRDefault="00F53202" w:rsidP="00DB1508">
      <w:pPr>
        <w:spacing w:after="0" w:line="240" w:lineRule="auto"/>
      </w:pPr>
      <w:r>
        <w:separator/>
      </w:r>
    </w:p>
  </w:endnote>
  <w:endnote w:type="continuationSeparator" w:id="0">
    <w:p w:rsidR="00F53202" w:rsidRDefault="00F5320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02" w:rsidRDefault="00F53202" w:rsidP="00DB1508">
      <w:pPr>
        <w:spacing w:after="0" w:line="240" w:lineRule="auto"/>
      </w:pPr>
      <w:r>
        <w:separator/>
      </w:r>
    </w:p>
  </w:footnote>
  <w:footnote w:type="continuationSeparator" w:id="0">
    <w:p w:rsidR="00F53202" w:rsidRDefault="00F5320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A49"/>
    <w:multiLevelType w:val="hybridMultilevel"/>
    <w:tmpl w:val="E110B8A4"/>
    <w:lvl w:ilvl="0" w:tplc="0C849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4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18"/>
  </w:num>
  <w:num w:numId="10">
    <w:abstractNumId w:val="13"/>
  </w:num>
  <w:num w:numId="11">
    <w:abstractNumId w:val="22"/>
  </w:num>
  <w:num w:numId="12">
    <w:abstractNumId w:val="7"/>
  </w:num>
  <w:num w:numId="13">
    <w:abstractNumId w:val="14"/>
  </w:num>
  <w:num w:numId="14">
    <w:abstractNumId w:val="21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23"/>
  </w:num>
  <w:num w:numId="20">
    <w:abstractNumId w:val="9"/>
  </w:num>
  <w:num w:numId="21">
    <w:abstractNumId w:val="2"/>
  </w:num>
  <w:num w:numId="22">
    <w:abstractNumId w:val="10"/>
  </w:num>
  <w:num w:numId="23">
    <w:abstractNumId w:val="11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79DC"/>
    <w:rsid w:val="00150D1A"/>
    <w:rsid w:val="00151041"/>
    <w:rsid w:val="00151529"/>
    <w:rsid w:val="0015160D"/>
    <w:rsid w:val="00153AAD"/>
    <w:rsid w:val="00155772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1389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1110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32ED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6866"/>
    <w:rsid w:val="004977A9"/>
    <w:rsid w:val="004A00D3"/>
    <w:rsid w:val="004A09AD"/>
    <w:rsid w:val="004A62DE"/>
    <w:rsid w:val="004A7FD9"/>
    <w:rsid w:val="004C0992"/>
    <w:rsid w:val="004C44E1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5287"/>
    <w:rsid w:val="00967259"/>
    <w:rsid w:val="009763BA"/>
    <w:rsid w:val="0097652F"/>
    <w:rsid w:val="00976E04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2402"/>
    <w:rsid w:val="009F3B4B"/>
    <w:rsid w:val="009F7581"/>
    <w:rsid w:val="00A00E4A"/>
    <w:rsid w:val="00A01414"/>
    <w:rsid w:val="00A062FE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0B15"/>
    <w:rsid w:val="00A51004"/>
    <w:rsid w:val="00A55457"/>
    <w:rsid w:val="00A666F9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8358D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143A"/>
    <w:rsid w:val="00DD287E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A6C13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243C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202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2283-14E1-49AE-B09E-122BD75F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2018-02-23T05:43:00Z</cp:lastPrinted>
  <dcterms:created xsi:type="dcterms:W3CDTF">2018-03-08T11:57:00Z</dcterms:created>
  <dcterms:modified xsi:type="dcterms:W3CDTF">2018-03-08T11:57:00Z</dcterms:modified>
</cp:coreProperties>
</file>