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rsidP="00301978">
      <w:pPr>
        <w:spacing w:after="0" w:line="360" w:lineRule="auto"/>
        <w:jc w:val="both"/>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rsidP="003019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rsidP="00301978">
      <w:pPr>
        <w:spacing w:after="0" w:line="360" w:lineRule="auto"/>
        <w:jc w:val="both"/>
        <w:rPr>
          <w:rFonts w:ascii="Times New Roman" w:hAnsi="Times New Roman" w:cs="Times New Roman"/>
          <w:b/>
          <w:sz w:val="24"/>
          <w:szCs w:val="24"/>
        </w:rPr>
      </w:pPr>
      <w:r w:rsidRPr="006D7B63">
        <w:rPr>
          <w:rFonts w:ascii="Times New Roman" w:hAnsi="Times New Roman" w:cs="Times New Roman"/>
          <w:b/>
          <w:sz w:val="24"/>
          <w:szCs w:val="24"/>
        </w:rPr>
        <w:t>QUESTION</w:t>
      </w:r>
      <w:r w:rsidR="009771A8">
        <w:rPr>
          <w:rFonts w:ascii="Times New Roman" w:hAnsi="Times New Roman" w:cs="Times New Roman"/>
          <w:b/>
          <w:sz w:val="24"/>
          <w:szCs w:val="24"/>
        </w:rPr>
        <w:t xml:space="preserve"> 432</w:t>
      </w:r>
    </w:p>
    <w:p w:rsidR="006D7B63" w:rsidRPr="006D7B63" w:rsidRDefault="006D7B63" w:rsidP="00301978">
      <w:pPr>
        <w:spacing w:after="0" w:line="360" w:lineRule="auto"/>
        <w:jc w:val="both"/>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F5B30">
        <w:rPr>
          <w:rFonts w:ascii="Times New Roman" w:hAnsi="Times New Roman" w:cs="Times New Roman"/>
          <w:b/>
          <w:sz w:val="24"/>
          <w:szCs w:val="24"/>
          <w:u w:val="single"/>
        </w:rPr>
        <w:t>F INTERNAL QUESTION PAPER: 23/02</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EF5B30" w:rsidP="00301978">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03</w:t>
      </w:r>
      <w:r w:rsidR="001034EB">
        <w:rPr>
          <w:rFonts w:ascii="Times New Roman" w:hAnsi="Times New Roman" w:cs="Times New Roman"/>
          <w:b/>
          <w:sz w:val="24"/>
          <w:szCs w:val="24"/>
          <w:u w:val="single"/>
        </w:rPr>
        <w:t>/2018</w:t>
      </w:r>
    </w:p>
    <w:p w:rsidR="00301978" w:rsidRDefault="00301978" w:rsidP="00301978">
      <w:pPr>
        <w:spacing w:after="0" w:line="360" w:lineRule="auto"/>
        <w:jc w:val="both"/>
        <w:rPr>
          <w:rFonts w:ascii="Times New Roman" w:hAnsi="Times New Roman" w:cs="Times New Roman"/>
          <w:b/>
          <w:sz w:val="24"/>
          <w:szCs w:val="24"/>
          <w:u w:val="single"/>
        </w:rPr>
      </w:pPr>
    </w:p>
    <w:p w:rsidR="009771A8" w:rsidRPr="008345EC" w:rsidRDefault="009771A8" w:rsidP="00301978">
      <w:pPr>
        <w:spacing w:after="0" w:line="360" w:lineRule="auto"/>
        <w:jc w:val="both"/>
        <w:outlineLvl w:val="0"/>
        <w:rPr>
          <w:rFonts w:ascii="Arial" w:eastAsia="Times New Roman" w:hAnsi="Arial" w:cs="Arial"/>
          <w:b/>
          <w:sz w:val="24"/>
          <w:szCs w:val="24"/>
          <w:lang w:val="en-US"/>
        </w:rPr>
      </w:pPr>
      <w:r w:rsidRPr="008345EC">
        <w:rPr>
          <w:rFonts w:ascii="Arial" w:eastAsia="Times New Roman" w:hAnsi="Arial" w:cs="Arial"/>
          <w:b/>
          <w:sz w:val="24"/>
          <w:szCs w:val="24"/>
          <w:lang w:val="en-US"/>
        </w:rPr>
        <w:t>432.</w:t>
      </w:r>
      <w:r w:rsidRPr="008345EC">
        <w:rPr>
          <w:rFonts w:ascii="Arial" w:eastAsia="Times New Roman" w:hAnsi="Arial" w:cs="Arial"/>
          <w:b/>
          <w:sz w:val="24"/>
          <w:szCs w:val="24"/>
          <w:lang w:val="en-US"/>
        </w:rPr>
        <w:tab/>
      </w:r>
      <w:proofErr w:type="spellStart"/>
      <w:r w:rsidRPr="008345EC">
        <w:rPr>
          <w:rFonts w:ascii="Arial" w:eastAsia="Times New Roman" w:hAnsi="Arial" w:cs="Arial"/>
          <w:b/>
          <w:sz w:val="24"/>
          <w:szCs w:val="24"/>
          <w:lang w:val="en-US"/>
        </w:rPr>
        <w:t>Mr</w:t>
      </w:r>
      <w:proofErr w:type="spellEnd"/>
      <w:r w:rsidRPr="008345EC">
        <w:rPr>
          <w:rFonts w:ascii="Arial" w:eastAsia="Times New Roman" w:hAnsi="Arial" w:cs="Arial"/>
          <w:b/>
          <w:sz w:val="24"/>
          <w:szCs w:val="24"/>
          <w:lang w:val="en-US"/>
        </w:rPr>
        <w:t xml:space="preserve"> I M </w:t>
      </w:r>
      <w:proofErr w:type="spellStart"/>
      <w:r w:rsidRPr="008345EC">
        <w:rPr>
          <w:rFonts w:ascii="Arial" w:eastAsia="Times New Roman" w:hAnsi="Arial" w:cs="Arial"/>
          <w:b/>
          <w:sz w:val="24"/>
          <w:szCs w:val="24"/>
          <w:lang w:val="en-US"/>
        </w:rPr>
        <w:t>Ollis</w:t>
      </w:r>
      <w:proofErr w:type="spellEnd"/>
      <w:r w:rsidRPr="008345EC">
        <w:rPr>
          <w:rFonts w:ascii="Arial" w:eastAsia="Times New Roman" w:hAnsi="Arial" w:cs="Arial"/>
          <w:b/>
          <w:sz w:val="24"/>
          <w:szCs w:val="24"/>
          <w:lang w:val="en-US"/>
        </w:rPr>
        <w:t xml:space="preserve"> (DA) to ask the Minister of Basic Education:</w:t>
      </w:r>
    </w:p>
    <w:p w:rsidR="00301978" w:rsidRPr="008345EC" w:rsidRDefault="00301978" w:rsidP="00301978">
      <w:pPr>
        <w:spacing w:after="0" w:line="360" w:lineRule="auto"/>
        <w:jc w:val="both"/>
        <w:outlineLvl w:val="0"/>
        <w:rPr>
          <w:rFonts w:ascii="Arial" w:eastAsia="Times New Roman" w:hAnsi="Arial" w:cs="Arial"/>
          <w:b/>
          <w:sz w:val="24"/>
          <w:szCs w:val="24"/>
          <w:lang w:val="en-US"/>
        </w:rPr>
      </w:pPr>
    </w:p>
    <w:p w:rsidR="009771A8" w:rsidRPr="008345EC" w:rsidRDefault="009771A8" w:rsidP="00301978">
      <w:pPr>
        <w:spacing w:after="0" w:line="360" w:lineRule="auto"/>
        <w:ind w:left="1440" w:hanging="720"/>
        <w:jc w:val="both"/>
        <w:rPr>
          <w:rFonts w:ascii="Arial" w:eastAsia="Cambria" w:hAnsi="Arial" w:cs="Arial"/>
          <w:sz w:val="24"/>
          <w:szCs w:val="24"/>
        </w:rPr>
      </w:pPr>
      <w:r w:rsidRPr="008345EC">
        <w:rPr>
          <w:rFonts w:ascii="Arial" w:eastAsia="Cambria" w:hAnsi="Arial" w:cs="Arial"/>
          <w:sz w:val="24"/>
          <w:szCs w:val="24"/>
        </w:rPr>
        <w:t>(1)</w:t>
      </w:r>
      <w:r w:rsidRPr="008345EC">
        <w:rPr>
          <w:rFonts w:ascii="Arial" w:eastAsia="Cambria" w:hAnsi="Arial" w:cs="Arial"/>
          <w:sz w:val="24"/>
          <w:szCs w:val="24"/>
        </w:rPr>
        <w:tab/>
        <w:t>Whether any mechanisms have been put in place to monitor the regular absenteeism of (a) the principal of and (b) three educators teaching at the Isivivani Senior Secondary School in the Chris Hani District in the Eastern Cape; if so, what are the details of the mechanisms; if not,</w:t>
      </w:r>
    </w:p>
    <w:p w:rsidR="009771A8" w:rsidRPr="008345EC" w:rsidRDefault="009771A8" w:rsidP="00301978">
      <w:pPr>
        <w:spacing w:after="0" w:line="360" w:lineRule="auto"/>
        <w:ind w:left="1440" w:hanging="720"/>
        <w:jc w:val="both"/>
        <w:rPr>
          <w:rFonts w:ascii="Arial" w:eastAsia="Cambria" w:hAnsi="Arial" w:cs="Arial"/>
          <w:sz w:val="24"/>
          <w:szCs w:val="24"/>
        </w:rPr>
      </w:pPr>
      <w:r w:rsidRPr="008345EC">
        <w:rPr>
          <w:rFonts w:ascii="Arial" w:eastAsia="Cambria" w:hAnsi="Arial" w:cs="Arial"/>
          <w:sz w:val="24"/>
          <w:szCs w:val="24"/>
        </w:rPr>
        <w:t>(2)</w:t>
      </w:r>
      <w:r w:rsidRPr="008345EC">
        <w:rPr>
          <w:rFonts w:ascii="Arial" w:eastAsia="Cambria" w:hAnsi="Arial" w:cs="Arial"/>
          <w:sz w:val="24"/>
          <w:szCs w:val="24"/>
        </w:rPr>
        <w:tab/>
        <w:t>whether any mechanisms will be put in place to verify the daily attendance of the specified persons at the Isivivani Senior Secondary School; if not, why not; if so, what are the relevant details;</w:t>
      </w:r>
    </w:p>
    <w:p w:rsidR="00EB5AFE" w:rsidRPr="008345EC" w:rsidRDefault="009771A8" w:rsidP="00301978">
      <w:pPr>
        <w:spacing w:after="0" w:line="360" w:lineRule="auto"/>
        <w:ind w:left="1440" w:hanging="720"/>
        <w:jc w:val="both"/>
        <w:rPr>
          <w:rFonts w:ascii="Arial" w:eastAsia="Calibri" w:hAnsi="Arial" w:cs="Arial"/>
          <w:sz w:val="24"/>
          <w:szCs w:val="24"/>
        </w:rPr>
      </w:pPr>
      <w:r w:rsidRPr="008345EC">
        <w:rPr>
          <w:rFonts w:ascii="Arial" w:eastAsia="Cambria" w:hAnsi="Arial" w:cs="Arial"/>
          <w:sz w:val="24"/>
          <w:szCs w:val="24"/>
        </w:rPr>
        <w:t>(3)</w:t>
      </w:r>
      <w:r w:rsidRPr="008345EC">
        <w:rPr>
          <w:rFonts w:ascii="Arial" w:eastAsia="Cambria" w:hAnsi="Arial" w:cs="Arial"/>
          <w:sz w:val="24"/>
          <w:szCs w:val="24"/>
        </w:rPr>
        <w:tab/>
      </w:r>
      <w:proofErr w:type="gramStart"/>
      <w:r w:rsidR="00EB5AFE" w:rsidRPr="008345EC">
        <w:rPr>
          <w:rFonts w:ascii="Arial" w:eastAsia="Cambria" w:hAnsi="Arial" w:cs="Arial"/>
          <w:sz w:val="24"/>
          <w:szCs w:val="24"/>
        </w:rPr>
        <w:t>what</w:t>
      </w:r>
      <w:proofErr w:type="gramEnd"/>
      <w:r w:rsidR="00EB5AFE" w:rsidRPr="008345EC">
        <w:rPr>
          <w:rFonts w:ascii="Arial" w:eastAsia="Cambria" w:hAnsi="Arial" w:cs="Arial"/>
          <w:sz w:val="24"/>
          <w:szCs w:val="24"/>
        </w:rPr>
        <w:t xml:space="preserve"> are the details of any remedial or other measures that will be taken by her department to address the 0% National Senior Certificate pass rate at the Isivivani Senior Secondary School in the 2017 academic year?</w:t>
      </w:r>
      <w:r w:rsidR="00EB5AFE" w:rsidRPr="008345EC">
        <w:rPr>
          <w:rFonts w:ascii="Arial" w:eastAsia="Calibri" w:hAnsi="Arial" w:cs="Arial"/>
          <w:sz w:val="24"/>
          <w:szCs w:val="24"/>
        </w:rPr>
        <w:t xml:space="preserve">  </w:t>
      </w:r>
      <w:r w:rsidR="00EB5AFE" w:rsidRPr="008345EC">
        <w:rPr>
          <w:rFonts w:ascii="Arial" w:eastAsia="Calibri" w:hAnsi="Arial" w:cs="Arial"/>
          <w:sz w:val="24"/>
          <w:szCs w:val="24"/>
        </w:rPr>
        <w:tab/>
        <w:t>NW449E</w:t>
      </w:r>
    </w:p>
    <w:p w:rsidR="00EB5AFE" w:rsidRDefault="00EB5AFE"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9B6A31" w:rsidRDefault="009B6A31" w:rsidP="00301978">
      <w:pPr>
        <w:spacing w:after="0" w:line="360" w:lineRule="auto"/>
        <w:ind w:left="1440" w:hanging="720"/>
        <w:jc w:val="both"/>
        <w:rPr>
          <w:rFonts w:ascii="Times New Roman" w:eastAsia="Cambria" w:hAnsi="Times New Roman" w:cs="Times New Roman"/>
          <w:sz w:val="24"/>
          <w:szCs w:val="24"/>
        </w:rPr>
      </w:pPr>
    </w:p>
    <w:p w:rsidR="00EB5AFE" w:rsidRDefault="008345EC" w:rsidP="00301978">
      <w:pPr>
        <w:spacing w:after="0"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REPLY</w:t>
      </w:r>
    </w:p>
    <w:p w:rsidR="008345EC" w:rsidRPr="00875D77" w:rsidRDefault="008345EC" w:rsidP="00301978">
      <w:pPr>
        <w:spacing w:after="0" w:line="360" w:lineRule="auto"/>
        <w:jc w:val="both"/>
        <w:rPr>
          <w:rFonts w:ascii="Times New Roman" w:hAnsi="Times New Roman" w:cs="Times New Roman"/>
          <w:b/>
          <w:sz w:val="24"/>
          <w:szCs w:val="24"/>
        </w:rPr>
      </w:pPr>
    </w:p>
    <w:p w:rsidR="008345EC" w:rsidRPr="008345EC" w:rsidRDefault="008345EC" w:rsidP="008345EC">
      <w:pPr>
        <w:spacing w:line="360" w:lineRule="auto"/>
        <w:ind w:left="720" w:hanging="450"/>
        <w:jc w:val="both"/>
        <w:rPr>
          <w:rFonts w:ascii="Arial" w:hAnsi="Arial" w:cs="Arial"/>
          <w:sz w:val="24"/>
          <w:szCs w:val="24"/>
        </w:rPr>
      </w:pPr>
      <w:r w:rsidRPr="008345EC">
        <w:rPr>
          <w:rFonts w:ascii="Arial" w:hAnsi="Arial" w:cs="Arial"/>
          <w:sz w:val="24"/>
          <w:szCs w:val="24"/>
        </w:rPr>
        <w:t>(1)- (2)</w:t>
      </w:r>
      <w:r w:rsidRPr="008345EC">
        <w:rPr>
          <w:rFonts w:ascii="Arial" w:hAnsi="Arial" w:cs="Arial"/>
          <w:sz w:val="24"/>
          <w:szCs w:val="24"/>
        </w:rPr>
        <w:tab/>
        <w:t xml:space="preserve">Leave measures for school-based educators in the Public Education Sector </w:t>
      </w:r>
      <w:r>
        <w:rPr>
          <w:rFonts w:ascii="Arial" w:hAnsi="Arial" w:cs="Arial"/>
          <w:sz w:val="24"/>
          <w:szCs w:val="24"/>
        </w:rPr>
        <w:t xml:space="preserve">are </w:t>
      </w:r>
      <w:r w:rsidRPr="008345EC">
        <w:rPr>
          <w:rFonts w:ascii="Arial" w:hAnsi="Arial" w:cs="Arial"/>
          <w:sz w:val="24"/>
          <w:szCs w:val="24"/>
        </w:rPr>
        <w:t>regulated in terms of the Personnel Administrative Measures (PAM) document. However, this question is specific to a particular school in the Eastern Cape Province (</w:t>
      </w:r>
      <w:r w:rsidRPr="008345EC">
        <w:rPr>
          <w:rFonts w:ascii="Arial" w:hAnsi="Arial" w:cs="Arial"/>
          <w:b/>
          <w:sz w:val="24"/>
          <w:szCs w:val="24"/>
        </w:rPr>
        <w:t>EC</w:t>
      </w:r>
      <w:r w:rsidRPr="008345EC">
        <w:rPr>
          <w:rFonts w:ascii="Arial" w:hAnsi="Arial" w:cs="Arial"/>
          <w:sz w:val="24"/>
          <w:szCs w:val="24"/>
        </w:rPr>
        <w:t>) and what measures the province put in place to deal with teacher absenteeism. Hence, this question should be referred to the EC as they are better placed to provide a detailed report.</w:t>
      </w:r>
    </w:p>
    <w:p w:rsidR="00587753" w:rsidRPr="008345EC" w:rsidRDefault="008345EC" w:rsidP="008345EC">
      <w:pPr>
        <w:spacing w:after="0" w:line="360" w:lineRule="auto"/>
        <w:ind w:left="720" w:hanging="450"/>
        <w:jc w:val="both"/>
        <w:rPr>
          <w:rFonts w:ascii="Arial" w:eastAsia="Cambria" w:hAnsi="Arial" w:cs="Arial"/>
          <w:sz w:val="24"/>
          <w:szCs w:val="24"/>
        </w:rPr>
      </w:pPr>
      <w:r w:rsidRPr="008345EC">
        <w:rPr>
          <w:rFonts w:ascii="Arial" w:eastAsia="Cambria" w:hAnsi="Arial" w:cs="Arial"/>
          <w:sz w:val="24"/>
          <w:szCs w:val="24"/>
        </w:rPr>
        <w:t>(3)</w:t>
      </w:r>
      <w:r w:rsidRPr="008345EC">
        <w:rPr>
          <w:rFonts w:ascii="Arial" w:eastAsia="Cambria" w:hAnsi="Arial" w:cs="Arial"/>
          <w:sz w:val="24"/>
          <w:szCs w:val="24"/>
        </w:rPr>
        <w:tab/>
      </w:r>
      <w:r w:rsidR="00DF2055" w:rsidRPr="008345EC">
        <w:rPr>
          <w:rFonts w:ascii="Arial" w:eastAsia="Cambria" w:hAnsi="Arial" w:cs="Arial"/>
          <w:sz w:val="24"/>
          <w:szCs w:val="24"/>
        </w:rPr>
        <w:t>A</w:t>
      </w:r>
      <w:r w:rsidR="00641B51" w:rsidRPr="008345EC">
        <w:rPr>
          <w:rFonts w:ascii="Arial" w:eastAsia="Cambria" w:hAnsi="Arial" w:cs="Arial"/>
          <w:sz w:val="24"/>
          <w:szCs w:val="24"/>
        </w:rPr>
        <w:t>ll schools</w:t>
      </w:r>
      <w:r w:rsidR="00DF2055" w:rsidRPr="008345EC">
        <w:rPr>
          <w:rFonts w:ascii="Arial" w:eastAsia="Cambria" w:hAnsi="Arial" w:cs="Arial"/>
          <w:sz w:val="24"/>
          <w:szCs w:val="24"/>
        </w:rPr>
        <w:t>, including under-performing schools</w:t>
      </w:r>
      <w:r w:rsidR="00641B51" w:rsidRPr="008345EC">
        <w:rPr>
          <w:rFonts w:ascii="Arial" w:eastAsia="Cambria" w:hAnsi="Arial" w:cs="Arial"/>
          <w:sz w:val="24"/>
          <w:szCs w:val="24"/>
        </w:rPr>
        <w:t xml:space="preserve"> fall under the jurisdiction </w:t>
      </w:r>
      <w:r w:rsidR="00DF2055" w:rsidRPr="008345EC">
        <w:rPr>
          <w:rFonts w:ascii="Arial" w:eastAsia="Cambria" w:hAnsi="Arial" w:cs="Arial"/>
          <w:sz w:val="24"/>
          <w:szCs w:val="24"/>
        </w:rPr>
        <w:t>of Provinces and Districts. Management of underperformance therefore is the direct responsibility of the Province and District. The Department of Basic Education</w:t>
      </w:r>
      <w:r w:rsidR="00977A90">
        <w:rPr>
          <w:rFonts w:ascii="Arial" w:eastAsia="Cambria" w:hAnsi="Arial" w:cs="Arial"/>
          <w:sz w:val="24"/>
          <w:szCs w:val="24"/>
        </w:rPr>
        <w:t xml:space="preserve"> (DBE)</w:t>
      </w:r>
      <w:r w:rsidR="00DF2055" w:rsidRPr="008345EC">
        <w:rPr>
          <w:rFonts w:ascii="Arial" w:eastAsia="Cambria" w:hAnsi="Arial" w:cs="Arial"/>
          <w:sz w:val="24"/>
          <w:szCs w:val="24"/>
        </w:rPr>
        <w:t xml:space="preserve"> provides policy directives to guide provinces and Districts to manage</w:t>
      </w:r>
      <w:r w:rsidR="00875D77" w:rsidRPr="008345EC">
        <w:rPr>
          <w:rFonts w:ascii="Arial" w:eastAsia="Cambria" w:hAnsi="Arial" w:cs="Arial"/>
          <w:sz w:val="24"/>
          <w:szCs w:val="24"/>
        </w:rPr>
        <w:t xml:space="preserve"> such</w:t>
      </w:r>
      <w:r w:rsidR="00DF2055" w:rsidRPr="008345EC">
        <w:rPr>
          <w:rFonts w:ascii="Arial" w:eastAsia="Cambria" w:hAnsi="Arial" w:cs="Arial"/>
          <w:sz w:val="24"/>
          <w:szCs w:val="24"/>
        </w:rPr>
        <w:t xml:space="preserve"> under</w:t>
      </w:r>
      <w:r w:rsidR="00C50D3D" w:rsidRPr="008345EC">
        <w:rPr>
          <w:rFonts w:ascii="Arial" w:eastAsia="Cambria" w:hAnsi="Arial" w:cs="Arial"/>
          <w:sz w:val="24"/>
          <w:szCs w:val="24"/>
        </w:rPr>
        <w:t>-</w:t>
      </w:r>
      <w:r w:rsidR="00DF2055" w:rsidRPr="008345EC">
        <w:rPr>
          <w:rFonts w:ascii="Arial" w:eastAsia="Cambria" w:hAnsi="Arial" w:cs="Arial"/>
          <w:sz w:val="24"/>
          <w:szCs w:val="24"/>
        </w:rPr>
        <w:t>performance.</w:t>
      </w:r>
      <w:r w:rsidR="00977A90">
        <w:rPr>
          <w:rFonts w:ascii="Arial" w:eastAsia="Cambria" w:hAnsi="Arial" w:cs="Arial"/>
          <w:sz w:val="24"/>
          <w:szCs w:val="24"/>
        </w:rPr>
        <w:t xml:space="preserve"> Provincial Education Departments (</w:t>
      </w:r>
      <w:r w:rsidR="00587753" w:rsidRPr="008345EC">
        <w:rPr>
          <w:rFonts w:ascii="Arial" w:eastAsia="Cambria" w:hAnsi="Arial" w:cs="Arial"/>
          <w:sz w:val="24"/>
          <w:szCs w:val="24"/>
        </w:rPr>
        <w:t>PEDs</w:t>
      </w:r>
      <w:r w:rsidR="00977A90">
        <w:rPr>
          <w:rFonts w:ascii="Arial" w:eastAsia="Cambria" w:hAnsi="Arial" w:cs="Arial"/>
          <w:sz w:val="24"/>
          <w:szCs w:val="24"/>
        </w:rPr>
        <w:t>)</w:t>
      </w:r>
      <w:r w:rsidR="00587753" w:rsidRPr="008345EC">
        <w:rPr>
          <w:rFonts w:ascii="Arial" w:eastAsia="Cambria" w:hAnsi="Arial" w:cs="Arial"/>
          <w:sz w:val="24"/>
          <w:szCs w:val="24"/>
        </w:rPr>
        <w:t xml:space="preserve"> invoke the provisions of SASA (16A, 58B) to manage underperformance of schools</w:t>
      </w:r>
      <w:r w:rsidR="00301978" w:rsidRPr="008345EC">
        <w:rPr>
          <w:rFonts w:ascii="Arial" w:eastAsia="Cambria" w:hAnsi="Arial" w:cs="Arial"/>
          <w:sz w:val="24"/>
          <w:szCs w:val="24"/>
        </w:rPr>
        <w:t xml:space="preserve"> as follows:</w:t>
      </w:r>
    </w:p>
    <w:p w:rsidR="00301978" w:rsidRPr="008345EC" w:rsidRDefault="00301978" w:rsidP="00301978">
      <w:pPr>
        <w:spacing w:after="0" w:line="360" w:lineRule="auto"/>
        <w:ind w:left="709" w:firstLine="11"/>
        <w:jc w:val="both"/>
        <w:rPr>
          <w:rFonts w:ascii="Arial" w:eastAsia="Cambria" w:hAnsi="Arial" w:cs="Arial"/>
          <w:sz w:val="24"/>
          <w:szCs w:val="24"/>
        </w:rPr>
      </w:pPr>
    </w:p>
    <w:tbl>
      <w:tblPr>
        <w:tblW w:w="0" w:type="auto"/>
        <w:tblCellSpacing w:w="0" w:type="dxa"/>
        <w:tblCellMar>
          <w:left w:w="0" w:type="dxa"/>
          <w:right w:w="0" w:type="dxa"/>
        </w:tblCellMar>
        <w:tblLook w:val="04A0" w:firstRow="1" w:lastRow="0" w:firstColumn="1" w:lastColumn="0" w:noHBand="0" w:noVBand="1"/>
      </w:tblPr>
      <w:tblGrid>
        <w:gridCol w:w="9020"/>
        <w:gridCol w:w="6"/>
      </w:tblGrid>
      <w:tr w:rsidR="00587753" w:rsidRPr="008345EC" w:rsidTr="00587753">
        <w:trPr>
          <w:tblCellSpacing w:w="0" w:type="dxa"/>
        </w:trPr>
        <w:tc>
          <w:tcPr>
            <w:tcW w:w="0" w:type="auto"/>
            <w:gridSpan w:val="2"/>
            <w:vAlign w:val="bottom"/>
            <w:hideMark/>
          </w:tcPr>
          <w:p w:rsidR="00587753" w:rsidRPr="008345EC" w:rsidRDefault="00587753" w:rsidP="00301978">
            <w:pPr>
              <w:pStyle w:val="ListParagraph"/>
              <w:numPr>
                <w:ilvl w:val="0"/>
                <w:numId w:val="4"/>
              </w:numPr>
              <w:spacing w:after="0" w:line="360" w:lineRule="auto"/>
              <w:jc w:val="both"/>
              <w:rPr>
                <w:rFonts w:ascii="Arial" w:eastAsia="Cambria" w:hAnsi="Arial" w:cs="Arial"/>
                <w:sz w:val="24"/>
                <w:szCs w:val="24"/>
              </w:rPr>
            </w:pPr>
            <w:r w:rsidRPr="008345EC">
              <w:rPr>
                <w:rFonts w:ascii="Arial" w:eastAsia="Cambria" w:hAnsi="Arial" w:cs="Arial"/>
                <w:sz w:val="24"/>
                <w:szCs w:val="24"/>
              </w:rPr>
              <w:t xml:space="preserve">The Head of Department must, annually, from the report contemplated in </w:t>
            </w:r>
            <w:hyperlink r:id="rId5" w:history="1">
              <w:r w:rsidRPr="008345EC">
                <w:rPr>
                  <w:rFonts w:ascii="Arial" w:eastAsia="Cambria" w:hAnsi="Arial" w:cs="Arial"/>
                  <w:sz w:val="24"/>
                  <w:szCs w:val="24"/>
                </w:rPr>
                <w:t>section 16A(1)(b)</w:t>
              </w:r>
            </w:hyperlink>
            <w:r w:rsidRPr="008345EC">
              <w:rPr>
                <w:rFonts w:ascii="Arial" w:eastAsia="Cambria" w:hAnsi="Arial" w:cs="Arial"/>
                <w:sz w:val="24"/>
                <w:szCs w:val="24"/>
              </w:rPr>
              <w:t xml:space="preserve"> and from other relevant reports, identify any public school that is underperforming in relation to any matter referred to in subsection (2)(a), (b) or (c).</w:t>
            </w:r>
          </w:p>
        </w:tc>
      </w:tr>
      <w:tr w:rsidR="007B134D" w:rsidRPr="008345EC" w:rsidTr="00587753">
        <w:trPr>
          <w:tblCellSpacing w:w="0" w:type="dxa"/>
        </w:trPr>
        <w:tc>
          <w:tcPr>
            <w:tcW w:w="0" w:type="auto"/>
            <w:gridSpan w:val="2"/>
            <w:vAlign w:val="bottom"/>
          </w:tcPr>
          <w:p w:rsidR="007B134D" w:rsidRPr="008345EC" w:rsidRDefault="007B134D" w:rsidP="00301978">
            <w:pPr>
              <w:pStyle w:val="ListParagraph"/>
              <w:numPr>
                <w:ilvl w:val="0"/>
                <w:numId w:val="4"/>
              </w:numPr>
              <w:spacing w:after="0" w:line="360" w:lineRule="auto"/>
              <w:jc w:val="both"/>
              <w:rPr>
                <w:rFonts w:ascii="Arial" w:eastAsia="Cambria" w:hAnsi="Arial" w:cs="Arial"/>
                <w:sz w:val="24"/>
                <w:szCs w:val="24"/>
              </w:rPr>
            </w:pPr>
            <w:r w:rsidRPr="008345EC">
              <w:rPr>
                <w:rFonts w:ascii="Arial" w:eastAsia="Cambria" w:hAnsi="Arial" w:cs="Arial"/>
                <w:sz w:val="24"/>
                <w:szCs w:val="24"/>
              </w:rPr>
              <w:t>The Head of Department must issue a written notice to the school contemplated in subsection (1),</w:t>
            </w:r>
            <w:r w:rsidR="00301978" w:rsidRPr="008345EC">
              <w:rPr>
                <w:rFonts w:ascii="Arial" w:eastAsia="Cambria" w:hAnsi="Arial" w:cs="Arial"/>
                <w:sz w:val="24"/>
                <w:szCs w:val="24"/>
              </w:rPr>
              <w:t xml:space="preserve"> if he or she is satisfied that</w:t>
            </w:r>
            <w:r w:rsidR="00977A90">
              <w:rPr>
                <w:rFonts w:ascii="Arial" w:eastAsia="Cambria" w:hAnsi="Arial" w:cs="Arial"/>
                <w:sz w:val="24"/>
                <w:szCs w:val="24"/>
              </w:rPr>
              <w:t>:</w:t>
            </w:r>
          </w:p>
        </w:tc>
      </w:tr>
      <w:tr w:rsidR="007B134D" w:rsidRPr="008345EC" w:rsidTr="00587753">
        <w:trPr>
          <w:tblCellSpacing w:w="0" w:type="dxa"/>
        </w:trPr>
        <w:tc>
          <w:tcPr>
            <w:tcW w:w="0" w:type="auto"/>
            <w:gridSpan w:val="2"/>
            <w:vAlign w:val="bottom"/>
          </w:tcPr>
          <w:p w:rsidR="007B134D" w:rsidRPr="008345EC" w:rsidRDefault="007B134D" w:rsidP="00301978">
            <w:pPr>
              <w:pStyle w:val="ListParagraph"/>
              <w:numPr>
                <w:ilvl w:val="1"/>
                <w:numId w:val="4"/>
              </w:numPr>
              <w:spacing w:after="0" w:line="360" w:lineRule="auto"/>
              <w:jc w:val="both"/>
              <w:rPr>
                <w:rFonts w:ascii="Arial" w:eastAsia="Cambria" w:hAnsi="Arial" w:cs="Arial"/>
                <w:sz w:val="24"/>
                <w:szCs w:val="24"/>
              </w:rPr>
            </w:pPr>
            <w:r w:rsidRPr="008345EC">
              <w:rPr>
                <w:rFonts w:ascii="Arial" w:eastAsia="Cambria" w:hAnsi="Arial" w:cs="Arial"/>
                <w:sz w:val="24"/>
                <w:szCs w:val="24"/>
              </w:rPr>
              <w:t>the standard of performance of learners is below the standards prescribed by the National Curriculum Statement and is likely to remain so unless the Head of Department exercises his or her power in terms of this Act;</w:t>
            </w:r>
          </w:p>
        </w:tc>
      </w:tr>
      <w:tr w:rsidR="007B134D" w:rsidRPr="008345EC" w:rsidTr="007B134D">
        <w:trPr>
          <w:tblCellSpacing w:w="0" w:type="dxa"/>
        </w:trPr>
        <w:tc>
          <w:tcPr>
            <w:tcW w:w="9020" w:type="dxa"/>
            <w:vAlign w:val="bottom"/>
            <w:hideMark/>
          </w:tcPr>
          <w:p w:rsidR="00587753" w:rsidRPr="008345EC" w:rsidRDefault="00587753" w:rsidP="00301978">
            <w:pPr>
              <w:pStyle w:val="ListParagraph"/>
              <w:numPr>
                <w:ilvl w:val="1"/>
                <w:numId w:val="4"/>
              </w:numPr>
              <w:spacing w:after="0" w:line="360" w:lineRule="auto"/>
              <w:jc w:val="both"/>
              <w:rPr>
                <w:rFonts w:ascii="Arial" w:eastAsia="Cambria" w:hAnsi="Arial" w:cs="Arial"/>
                <w:sz w:val="24"/>
                <w:szCs w:val="24"/>
              </w:rPr>
            </w:pPr>
            <w:r w:rsidRPr="008345EC">
              <w:rPr>
                <w:rFonts w:ascii="Arial" w:eastAsia="Cambria" w:hAnsi="Arial" w:cs="Arial"/>
                <w:sz w:val="24"/>
                <w:szCs w:val="24"/>
              </w:rPr>
              <w:t> </w:t>
            </w:r>
            <w:proofErr w:type="gramStart"/>
            <w:r w:rsidR="007B134D" w:rsidRPr="008345EC">
              <w:rPr>
                <w:rFonts w:ascii="Arial" w:eastAsia="Cambria" w:hAnsi="Arial" w:cs="Arial"/>
                <w:sz w:val="24"/>
                <w:szCs w:val="24"/>
              </w:rPr>
              <w:t>there</w:t>
            </w:r>
            <w:proofErr w:type="gramEnd"/>
            <w:r w:rsidR="007B134D" w:rsidRPr="008345EC">
              <w:rPr>
                <w:rFonts w:ascii="Arial" w:eastAsia="Cambria" w:hAnsi="Arial" w:cs="Arial"/>
                <w:sz w:val="24"/>
                <w:szCs w:val="24"/>
              </w:rPr>
              <w:t xml:space="preserve"> has been a serious breakdown in the way the school is managed or governed which is prejudicing, or likely to prejudice, th</w:t>
            </w:r>
            <w:r w:rsidR="00977A90">
              <w:rPr>
                <w:rFonts w:ascii="Arial" w:eastAsia="Cambria" w:hAnsi="Arial" w:cs="Arial"/>
                <w:sz w:val="24"/>
                <w:szCs w:val="24"/>
              </w:rPr>
              <w:t xml:space="preserve">e standards of performance; or </w:t>
            </w:r>
            <w:r w:rsidR="007B134D" w:rsidRPr="008345EC">
              <w:rPr>
                <w:rFonts w:ascii="Arial" w:eastAsia="Cambria" w:hAnsi="Arial" w:cs="Arial"/>
                <w:sz w:val="24"/>
                <w:szCs w:val="24"/>
              </w:rPr>
              <w:t>the safety of learners or staff is threatened.</w:t>
            </w:r>
          </w:p>
          <w:p w:rsidR="00301978" w:rsidRDefault="00301978" w:rsidP="00301978">
            <w:pPr>
              <w:pStyle w:val="ListParagraph"/>
              <w:spacing w:after="0" w:line="360" w:lineRule="auto"/>
              <w:ind w:left="1440"/>
              <w:jc w:val="both"/>
              <w:rPr>
                <w:rFonts w:ascii="Arial" w:eastAsia="Cambria" w:hAnsi="Arial" w:cs="Arial"/>
                <w:sz w:val="24"/>
                <w:szCs w:val="24"/>
              </w:rPr>
            </w:pPr>
          </w:p>
          <w:p w:rsidR="008345EC" w:rsidRDefault="008345EC" w:rsidP="00301978">
            <w:pPr>
              <w:pStyle w:val="ListParagraph"/>
              <w:spacing w:after="0" w:line="360" w:lineRule="auto"/>
              <w:ind w:left="1440"/>
              <w:jc w:val="both"/>
              <w:rPr>
                <w:rFonts w:ascii="Arial" w:eastAsia="Cambria" w:hAnsi="Arial" w:cs="Arial"/>
                <w:sz w:val="24"/>
                <w:szCs w:val="24"/>
              </w:rPr>
            </w:pPr>
          </w:p>
          <w:p w:rsidR="008345EC" w:rsidRDefault="008345EC" w:rsidP="00301978">
            <w:pPr>
              <w:pStyle w:val="ListParagraph"/>
              <w:spacing w:after="0" w:line="360" w:lineRule="auto"/>
              <w:ind w:left="1440"/>
              <w:jc w:val="both"/>
              <w:rPr>
                <w:rFonts w:ascii="Arial" w:eastAsia="Cambria" w:hAnsi="Arial" w:cs="Arial"/>
                <w:sz w:val="24"/>
                <w:szCs w:val="24"/>
              </w:rPr>
            </w:pPr>
          </w:p>
          <w:p w:rsidR="008345EC" w:rsidRPr="008345EC" w:rsidRDefault="008345EC" w:rsidP="00301978">
            <w:pPr>
              <w:pStyle w:val="ListParagraph"/>
              <w:spacing w:after="0" w:line="360" w:lineRule="auto"/>
              <w:ind w:left="1440"/>
              <w:jc w:val="both"/>
              <w:rPr>
                <w:rFonts w:ascii="Arial" w:eastAsia="Cambria" w:hAnsi="Arial" w:cs="Arial"/>
                <w:sz w:val="24"/>
                <w:szCs w:val="24"/>
              </w:rPr>
            </w:pPr>
          </w:p>
        </w:tc>
        <w:tc>
          <w:tcPr>
            <w:tcW w:w="0" w:type="auto"/>
            <w:vAlign w:val="bottom"/>
            <w:hideMark/>
          </w:tcPr>
          <w:p w:rsidR="00587753" w:rsidRPr="008345EC" w:rsidRDefault="00587753" w:rsidP="00301978">
            <w:pPr>
              <w:spacing w:after="0" w:line="360" w:lineRule="auto"/>
              <w:jc w:val="both"/>
              <w:rPr>
                <w:rFonts w:ascii="Arial" w:eastAsia="Cambria" w:hAnsi="Arial" w:cs="Arial"/>
                <w:sz w:val="24"/>
                <w:szCs w:val="24"/>
              </w:rPr>
            </w:pPr>
          </w:p>
        </w:tc>
      </w:tr>
    </w:tbl>
    <w:p w:rsidR="00301978" w:rsidRPr="008345EC" w:rsidRDefault="007B134D" w:rsidP="00301978">
      <w:pPr>
        <w:pStyle w:val="ListParagraph"/>
        <w:numPr>
          <w:ilvl w:val="0"/>
          <w:numId w:val="4"/>
        </w:numPr>
        <w:spacing w:after="0" w:line="360" w:lineRule="auto"/>
        <w:jc w:val="both"/>
        <w:rPr>
          <w:rFonts w:ascii="Arial" w:eastAsia="Cambria" w:hAnsi="Arial" w:cs="Arial"/>
          <w:sz w:val="24"/>
          <w:szCs w:val="24"/>
        </w:rPr>
      </w:pPr>
      <w:r w:rsidRPr="008345EC">
        <w:rPr>
          <w:rFonts w:ascii="Arial" w:eastAsia="Cambria" w:hAnsi="Arial" w:cs="Arial"/>
          <w:sz w:val="24"/>
          <w:szCs w:val="24"/>
        </w:rPr>
        <w:t>The written notice contemplated in subsection (2) must</w:t>
      </w:r>
      <w:r w:rsidR="00977A90">
        <w:rPr>
          <w:rFonts w:ascii="Arial" w:eastAsia="Cambria" w:hAnsi="Arial" w:cs="Arial"/>
          <w:sz w:val="24"/>
          <w:szCs w:val="24"/>
        </w:rPr>
        <w:t xml:space="preserve"> inform the school that it must:</w:t>
      </w:r>
    </w:p>
    <w:p w:rsidR="007B134D" w:rsidRPr="008345EC" w:rsidRDefault="007B134D" w:rsidP="00301978">
      <w:pPr>
        <w:pStyle w:val="ListParagraph"/>
        <w:numPr>
          <w:ilvl w:val="0"/>
          <w:numId w:val="6"/>
        </w:numPr>
        <w:spacing w:after="0" w:line="360" w:lineRule="auto"/>
        <w:jc w:val="both"/>
        <w:rPr>
          <w:rFonts w:ascii="Arial" w:eastAsia="Cambria" w:hAnsi="Arial" w:cs="Arial"/>
          <w:sz w:val="24"/>
          <w:szCs w:val="24"/>
        </w:rPr>
      </w:pPr>
      <w:proofErr w:type="gramStart"/>
      <w:r w:rsidRPr="008345EC">
        <w:rPr>
          <w:rFonts w:ascii="Arial" w:eastAsia="Cambria" w:hAnsi="Arial" w:cs="Arial"/>
          <w:sz w:val="24"/>
          <w:szCs w:val="24"/>
        </w:rPr>
        <w:t>within</w:t>
      </w:r>
      <w:proofErr w:type="gramEnd"/>
      <w:r w:rsidRPr="008345EC">
        <w:rPr>
          <w:rFonts w:ascii="Arial" w:eastAsia="Cambria" w:hAnsi="Arial" w:cs="Arial"/>
          <w:sz w:val="24"/>
          <w:szCs w:val="24"/>
        </w:rPr>
        <w:t xml:space="preserve"> 14 days after delivery of the notice, respond to the notice; and</w:t>
      </w:r>
      <w:r w:rsidR="0025052A" w:rsidRPr="008345EC">
        <w:rPr>
          <w:rFonts w:ascii="Arial" w:eastAsia="Cambria" w:hAnsi="Arial" w:cs="Arial"/>
          <w:sz w:val="24"/>
          <w:szCs w:val="24"/>
        </w:rPr>
        <w:t xml:space="preserve"> as soon as possible after that response, provide the Head of Department with a plan for correcting the situation.</w:t>
      </w:r>
    </w:p>
    <w:p w:rsidR="00301978" w:rsidRPr="008345EC" w:rsidRDefault="00301978" w:rsidP="00301978">
      <w:pPr>
        <w:pStyle w:val="ListParagraph"/>
        <w:spacing w:after="0" w:line="360" w:lineRule="auto"/>
        <w:ind w:left="1080"/>
        <w:jc w:val="both"/>
        <w:rPr>
          <w:rFonts w:ascii="Arial" w:eastAsia="Cambria" w:hAnsi="Arial" w:cs="Arial"/>
          <w:sz w:val="24"/>
          <w:szCs w:val="24"/>
        </w:rPr>
      </w:pPr>
    </w:p>
    <w:p w:rsidR="00587753" w:rsidRPr="008345EC" w:rsidRDefault="0025052A" w:rsidP="00301978">
      <w:pPr>
        <w:pStyle w:val="ListParagraph"/>
        <w:numPr>
          <w:ilvl w:val="0"/>
          <w:numId w:val="4"/>
        </w:numPr>
        <w:spacing w:after="0" w:line="360" w:lineRule="auto"/>
        <w:jc w:val="both"/>
        <w:rPr>
          <w:rFonts w:ascii="Arial" w:eastAsia="Cambria" w:hAnsi="Arial" w:cs="Arial"/>
          <w:sz w:val="24"/>
          <w:szCs w:val="24"/>
        </w:rPr>
      </w:pPr>
      <w:r w:rsidRPr="008345EC">
        <w:rPr>
          <w:rFonts w:ascii="Arial" w:eastAsia="Cambria" w:hAnsi="Arial" w:cs="Arial"/>
          <w:sz w:val="24"/>
          <w:szCs w:val="24"/>
        </w:rPr>
        <w:t>The Head of Department must take all reasonable steps to assist a school identified in terms of subsection (1) in addressing the underperformance.</w:t>
      </w:r>
    </w:p>
    <w:p w:rsidR="00587753" w:rsidRPr="008345EC" w:rsidRDefault="00587753" w:rsidP="00301978">
      <w:pPr>
        <w:spacing w:after="0" w:line="360" w:lineRule="auto"/>
        <w:ind w:left="709" w:firstLine="11"/>
        <w:jc w:val="both"/>
        <w:rPr>
          <w:rFonts w:ascii="Arial" w:eastAsia="Cambria" w:hAnsi="Arial" w:cs="Arial"/>
          <w:sz w:val="24"/>
          <w:szCs w:val="24"/>
        </w:rPr>
      </w:pPr>
    </w:p>
    <w:tbl>
      <w:tblPr>
        <w:tblW w:w="9870" w:type="dxa"/>
        <w:tblCellSpacing w:w="0" w:type="dxa"/>
        <w:tblCellMar>
          <w:left w:w="0" w:type="dxa"/>
          <w:right w:w="0" w:type="dxa"/>
        </w:tblCellMar>
        <w:tblLook w:val="04A0" w:firstRow="1" w:lastRow="0" w:firstColumn="1" w:lastColumn="0" w:noHBand="0" w:noVBand="1"/>
      </w:tblPr>
      <w:tblGrid>
        <w:gridCol w:w="6"/>
        <w:gridCol w:w="259"/>
        <w:gridCol w:w="76"/>
        <w:gridCol w:w="9522"/>
        <w:gridCol w:w="7"/>
      </w:tblGrid>
      <w:tr w:rsidR="0025052A" w:rsidRPr="008345EC" w:rsidTr="00301978">
        <w:trPr>
          <w:trHeight w:val="775"/>
          <w:tblCellSpacing w:w="0" w:type="dxa"/>
        </w:trPr>
        <w:tc>
          <w:tcPr>
            <w:tcW w:w="6" w:type="dxa"/>
            <w:vAlign w:val="bottom"/>
            <w:hideMark/>
          </w:tcPr>
          <w:p w:rsidR="00587753" w:rsidRPr="008345EC" w:rsidRDefault="00587753" w:rsidP="00301978">
            <w:pPr>
              <w:pStyle w:val="ListParagraph"/>
              <w:spacing w:after="0" w:line="360" w:lineRule="auto"/>
              <w:ind w:left="1080"/>
              <w:jc w:val="both"/>
              <w:rPr>
                <w:rFonts w:ascii="Arial" w:eastAsia="Cambria" w:hAnsi="Arial" w:cs="Arial"/>
                <w:sz w:val="24"/>
                <w:szCs w:val="24"/>
              </w:rPr>
            </w:pPr>
          </w:p>
        </w:tc>
        <w:tc>
          <w:tcPr>
            <w:tcW w:w="0" w:type="auto"/>
            <w:gridSpan w:val="4"/>
            <w:vAlign w:val="bottom"/>
            <w:hideMark/>
          </w:tcPr>
          <w:p w:rsidR="00587753" w:rsidRPr="008345EC" w:rsidRDefault="00587753" w:rsidP="00301978">
            <w:pPr>
              <w:pStyle w:val="ListParagraph"/>
              <w:numPr>
                <w:ilvl w:val="0"/>
                <w:numId w:val="4"/>
              </w:numPr>
              <w:spacing w:after="0" w:line="360" w:lineRule="auto"/>
              <w:jc w:val="both"/>
              <w:rPr>
                <w:rFonts w:ascii="Arial" w:eastAsia="Cambria" w:hAnsi="Arial" w:cs="Arial"/>
                <w:sz w:val="24"/>
                <w:szCs w:val="24"/>
              </w:rPr>
            </w:pPr>
            <w:r w:rsidRPr="008345EC">
              <w:rPr>
                <w:rFonts w:ascii="Arial" w:eastAsia="Cambria" w:hAnsi="Arial" w:cs="Arial"/>
                <w:sz w:val="24"/>
                <w:szCs w:val="24"/>
              </w:rPr>
              <w:t>Without limiting the nature and extent of the steps contemplated in subsection (4), the Head of Department must consider</w:t>
            </w:r>
            <w:r w:rsidR="00977A90">
              <w:rPr>
                <w:rFonts w:ascii="Arial" w:eastAsia="Cambria" w:hAnsi="Arial" w:cs="Arial"/>
                <w:sz w:val="24"/>
                <w:szCs w:val="24"/>
              </w:rPr>
              <w:t>:</w:t>
            </w:r>
          </w:p>
        </w:tc>
      </w:tr>
      <w:tr w:rsidR="0025052A" w:rsidRPr="008345EC" w:rsidTr="00301978">
        <w:trPr>
          <w:gridBefore w:val="2"/>
          <w:wBefore w:w="343" w:type="dxa"/>
          <w:trHeight w:val="775"/>
          <w:tblCellSpacing w:w="0" w:type="dxa"/>
        </w:trPr>
        <w:tc>
          <w:tcPr>
            <w:tcW w:w="64" w:type="dxa"/>
            <w:vAlign w:val="bottom"/>
            <w:hideMark/>
          </w:tcPr>
          <w:p w:rsidR="00587753" w:rsidRPr="008345EC" w:rsidRDefault="00587753" w:rsidP="00301978">
            <w:pPr>
              <w:spacing w:after="0" w:line="360" w:lineRule="auto"/>
              <w:ind w:left="709" w:firstLine="11"/>
              <w:jc w:val="both"/>
              <w:rPr>
                <w:rFonts w:ascii="Arial" w:eastAsia="Cambria" w:hAnsi="Arial" w:cs="Arial"/>
                <w:sz w:val="24"/>
                <w:szCs w:val="24"/>
              </w:rPr>
            </w:pPr>
          </w:p>
        </w:tc>
        <w:tc>
          <w:tcPr>
            <w:tcW w:w="0" w:type="auto"/>
            <w:gridSpan w:val="2"/>
            <w:vAlign w:val="bottom"/>
            <w:hideMark/>
          </w:tcPr>
          <w:p w:rsidR="00587753" w:rsidRPr="008345EC" w:rsidRDefault="00587753" w:rsidP="00301978">
            <w:pPr>
              <w:pStyle w:val="ListParagraph"/>
              <w:numPr>
                <w:ilvl w:val="0"/>
                <w:numId w:val="3"/>
              </w:numPr>
              <w:spacing w:after="0" w:line="360" w:lineRule="auto"/>
              <w:ind w:left="1028" w:hanging="438"/>
              <w:jc w:val="both"/>
              <w:rPr>
                <w:rFonts w:ascii="Arial" w:eastAsia="Cambria" w:hAnsi="Arial" w:cs="Arial"/>
                <w:sz w:val="24"/>
                <w:szCs w:val="24"/>
              </w:rPr>
            </w:pPr>
            <w:r w:rsidRPr="008345EC">
              <w:rPr>
                <w:rFonts w:ascii="Arial" w:eastAsia="Cambria" w:hAnsi="Arial" w:cs="Arial"/>
                <w:sz w:val="24"/>
                <w:szCs w:val="24"/>
              </w:rPr>
              <w:t>implementing the incapacity code and procedures for poor work performance referred to in section 16 of the Employment of Educators Act, 1998 (Act No. 76 of 1998);</w:t>
            </w:r>
          </w:p>
        </w:tc>
      </w:tr>
      <w:tr w:rsidR="0025052A" w:rsidRPr="008345EC" w:rsidTr="00301978">
        <w:trPr>
          <w:gridBefore w:val="2"/>
          <w:wBefore w:w="343" w:type="dxa"/>
          <w:trHeight w:val="4678"/>
          <w:tblCellSpacing w:w="0" w:type="dxa"/>
        </w:trPr>
        <w:tc>
          <w:tcPr>
            <w:tcW w:w="64" w:type="dxa"/>
            <w:vAlign w:val="bottom"/>
            <w:hideMark/>
          </w:tcPr>
          <w:p w:rsidR="00587753" w:rsidRPr="008345EC" w:rsidRDefault="00587753" w:rsidP="00301978">
            <w:pPr>
              <w:spacing w:after="0" w:line="360" w:lineRule="auto"/>
              <w:ind w:left="709" w:firstLine="11"/>
              <w:jc w:val="both"/>
              <w:rPr>
                <w:rFonts w:ascii="Arial" w:eastAsia="Cambria" w:hAnsi="Arial" w:cs="Arial"/>
                <w:sz w:val="24"/>
                <w:szCs w:val="24"/>
              </w:rPr>
            </w:pPr>
          </w:p>
        </w:tc>
        <w:tc>
          <w:tcPr>
            <w:tcW w:w="0" w:type="auto"/>
            <w:gridSpan w:val="2"/>
            <w:vAlign w:val="bottom"/>
            <w:hideMark/>
          </w:tcPr>
          <w:p w:rsidR="007B134D" w:rsidRPr="008345EC" w:rsidRDefault="00587753" w:rsidP="00301978">
            <w:pPr>
              <w:pStyle w:val="ListParagraph"/>
              <w:numPr>
                <w:ilvl w:val="0"/>
                <w:numId w:val="3"/>
              </w:numPr>
              <w:spacing w:after="0" w:line="360" w:lineRule="auto"/>
              <w:ind w:left="1021" w:hanging="426"/>
              <w:jc w:val="both"/>
              <w:rPr>
                <w:rFonts w:ascii="Arial" w:eastAsia="Cambria" w:hAnsi="Arial" w:cs="Arial"/>
                <w:sz w:val="24"/>
                <w:szCs w:val="24"/>
              </w:rPr>
            </w:pPr>
            <w:r w:rsidRPr="008345EC">
              <w:rPr>
                <w:rFonts w:ascii="Arial" w:eastAsia="Cambria" w:hAnsi="Arial" w:cs="Arial"/>
                <w:sz w:val="24"/>
                <w:szCs w:val="24"/>
              </w:rPr>
              <w:t xml:space="preserve">withdrawing the functions of the governing body in terms of </w:t>
            </w:r>
            <w:hyperlink r:id="rId6" w:history="1">
              <w:r w:rsidRPr="008345EC">
                <w:rPr>
                  <w:rFonts w:ascii="Arial" w:eastAsia="Cambria" w:hAnsi="Arial" w:cs="Arial"/>
                  <w:sz w:val="24"/>
                  <w:szCs w:val="24"/>
                </w:rPr>
                <w:t>section 22</w:t>
              </w:r>
            </w:hyperlink>
            <w:r w:rsidRPr="008345EC">
              <w:rPr>
                <w:rFonts w:ascii="Arial" w:eastAsia="Cambria" w:hAnsi="Arial" w:cs="Arial"/>
                <w:sz w:val="24"/>
                <w:szCs w:val="24"/>
              </w:rPr>
              <w:t>; or</w:t>
            </w:r>
            <w:r w:rsidR="007B134D" w:rsidRPr="008345EC">
              <w:rPr>
                <w:rFonts w:ascii="Arial" w:eastAsia="Cambria" w:hAnsi="Arial" w:cs="Arial"/>
                <w:sz w:val="24"/>
                <w:szCs w:val="24"/>
              </w:rPr>
              <w:t xml:space="preserve"> appointing persons in terms of</w:t>
            </w:r>
            <w:hyperlink r:id="rId7" w:history="1">
              <w:r w:rsidR="007B134D" w:rsidRPr="008345EC">
                <w:rPr>
                  <w:rFonts w:ascii="Arial" w:eastAsia="Cambria" w:hAnsi="Arial" w:cs="Arial"/>
                  <w:sz w:val="24"/>
                  <w:szCs w:val="24"/>
                </w:rPr>
                <w:t xml:space="preserve"> section 25</w:t>
              </w:r>
            </w:hyperlink>
            <w:r w:rsidR="007B134D" w:rsidRPr="008345EC">
              <w:rPr>
                <w:rFonts w:ascii="Arial" w:eastAsia="Cambria" w:hAnsi="Arial" w:cs="Arial"/>
                <w:sz w:val="24"/>
                <w:szCs w:val="24"/>
              </w:rPr>
              <w:t xml:space="preserve"> to perform the functions or specified </w:t>
            </w:r>
            <w:r w:rsidR="00977A90">
              <w:rPr>
                <w:rFonts w:ascii="Arial" w:eastAsia="Cambria" w:hAnsi="Arial" w:cs="Arial"/>
                <w:sz w:val="24"/>
                <w:szCs w:val="24"/>
              </w:rPr>
              <w:t>functions of the governing body; and</w:t>
            </w:r>
          </w:p>
          <w:p w:rsidR="0025052A" w:rsidRPr="008345EC" w:rsidRDefault="007B134D" w:rsidP="009E45A2">
            <w:pPr>
              <w:pStyle w:val="ListParagraph"/>
              <w:numPr>
                <w:ilvl w:val="0"/>
                <w:numId w:val="3"/>
              </w:numPr>
              <w:spacing w:after="0" w:line="360" w:lineRule="auto"/>
              <w:jc w:val="both"/>
              <w:rPr>
                <w:rFonts w:ascii="Arial" w:eastAsia="Cambria" w:hAnsi="Arial" w:cs="Arial"/>
                <w:sz w:val="24"/>
                <w:szCs w:val="24"/>
              </w:rPr>
            </w:pPr>
            <w:r w:rsidRPr="008345EC">
              <w:rPr>
                <w:rFonts w:ascii="Arial" w:eastAsia="Cambria" w:hAnsi="Arial" w:cs="Arial"/>
                <w:sz w:val="24"/>
                <w:szCs w:val="24"/>
              </w:rPr>
              <w:t>The counselling of the principal as contemplated in Item 2(5)(b)(ii) of Schedule 1 to the Employment of Educators Act, 1998 (Act No. 76 of 1998), may include the appointment of an academic mentor to take over the functions and responsibilities of the principal for the period determined by the Head of Department.</w:t>
            </w:r>
          </w:p>
          <w:p w:rsidR="0025052A" w:rsidRPr="008345EC" w:rsidRDefault="0025052A" w:rsidP="00301978">
            <w:pPr>
              <w:pStyle w:val="ListParagraph"/>
              <w:spacing w:after="0" w:line="360" w:lineRule="auto"/>
              <w:ind w:left="360"/>
              <w:jc w:val="both"/>
              <w:rPr>
                <w:rFonts w:ascii="Arial" w:eastAsia="Cambria" w:hAnsi="Arial" w:cs="Arial"/>
                <w:sz w:val="24"/>
                <w:szCs w:val="24"/>
              </w:rPr>
            </w:pPr>
          </w:p>
          <w:p w:rsidR="007B134D" w:rsidRPr="008345EC" w:rsidRDefault="007B134D" w:rsidP="00301978">
            <w:pPr>
              <w:pStyle w:val="ListParagraph"/>
              <w:numPr>
                <w:ilvl w:val="0"/>
                <w:numId w:val="4"/>
              </w:numPr>
              <w:spacing w:after="0" w:line="360" w:lineRule="auto"/>
              <w:ind w:left="595" w:hanging="419"/>
              <w:jc w:val="both"/>
              <w:rPr>
                <w:rFonts w:ascii="Arial" w:eastAsia="Cambria" w:hAnsi="Arial" w:cs="Arial"/>
                <w:sz w:val="24"/>
                <w:szCs w:val="24"/>
              </w:rPr>
            </w:pPr>
            <w:r w:rsidRPr="008345EC">
              <w:rPr>
                <w:rFonts w:ascii="Arial" w:eastAsia="Times New Roman" w:hAnsi="Arial" w:cs="Arial"/>
                <w:sz w:val="24"/>
                <w:szCs w:val="24"/>
                <w:lang w:eastAsia="en-ZA"/>
              </w:rPr>
              <w:t>In order to assist the Minister in carrying out his or her duties referred to in section 8 of the National Education Policy Act, 1996 (Act No. 27 of 1996), the Member of the Executive Council must report to the Minister within three months after the end of a school year on the action taken by the Head of Department in regard to an underperforming public school.</w:t>
            </w:r>
          </w:p>
        </w:tc>
      </w:tr>
      <w:tr w:rsidR="007B134D" w:rsidRPr="008345EC" w:rsidTr="00301978">
        <w:trPr>
          <w:trHeight w:val="380"/>
          <w:tblCellSpacing w:w="0" w:type="dxa"/>
        </w:trPr>
        <w:tc>
          <w:tcPr>
            <w:tcW w:w="8159" w:type="dxa"/>
            <w:gridSpan w:val="4"/>
            <w:vAlign w:val="bottom"/>
            <w:hideMark/>
          </w:tcPr>
          <w:p w:rsidR="00587753" w:rsidRPr="008345EC" w:rsidRDefault="00587753" w:rsidP="00301978">
            <w:pPr>
              <w:spacing w:after="0" w:line="360" w:lineRule="auto"/>
              <w:ind w:left="709" w:firstLine="11"/>
              <w:jc w:val="both"/>
              <w:rPr>
                <w:rFonts w:ascii="Arial" w:eastAsia="Cambria" w:hAnsi="Arial" w:cs="Arial"/>
                <w:sz w:val="24"/>
                <w:szCs w:val="24"/>
              </w:rPr>
            </w:pPr>
          </w:p>
        </w:tc>
        <w:tc>
          <w:tcPr>
            <w:tcW w:w="0" w:type="auto"/>
            <w:vAlign w:val="bottom"/>
            <w:hideMark/>
          </w:tcPr>
          <w:p w:rsidR="00587753" w:rsidRPr="008345EC" w:rsidRDefault="00587753" w:rsidP="00301978">
            <w:pPr>
              <w:spacing w:after="0" w:line="360" w:lineRule="auto"/>
              <w:ind w:left="709" w:firstLine="11"/>
              <w:jc w:val="both"/>
              <w:rPr>
                <w:rFonts w:ascii="Arial" w:eastAsia="Cambria" w:hAnsi="Arial" w:cs="Arial"/>
                <w:sz w:val="24"/>
                <w:szCs w:val="24"/>
              </w:rPr>
            </w:pPr>
          </w:p>
        </w:tc>
      </w:tr>
    </w:tbl>
    <w:p w:rsidR="00977A90" w:rsidRDefault="00DF2055" w:rsidP="00301978">
      <w:pPr>
        <w:spacing w:after="0" w:line="360" w:lineRule="auto"/>
        <w:ind w:left="709" w:firstLine="11"/>
        <w:jc w:val="both"/>
        <w:rPr>
          <w:rFonts w:ascii="Arial" w:eastAsia="Cambria" w:hAnsi="Arial" w:cs="Arial"/>
          <w:sz w:val="24"/>
          <w:szCs w:val="24"/>
        </w:rPr>
      </w:pPr>
      <w:r w:rsidRPr="008345EC">
        <w:rPr>
          <w:rFonts w:ascii="Arial" w:eastAsia="Cambria" w:hAnsi="Arial" w:cs="Arial"/>
          <w:sz w:val="24"/>
          <w:szCs w:val="24"/>
        </w:rPr>
        <w:t xml:space="preserve">In addition, the DBE will provide additional curriculum support to Isivivani Senior Secondary School, as part of the broader plan to support all underperforming schools to improve learner outcomes. </w:t>
      </w:r>
    </w:p>
    <w:p w:rsidR="00DF2055" w:rsidRPr="008345EC" w:rsidRDefault="00DF2055" w:rsidP="00301978">
      <w:pPr>
        <w:spacing w:after="0" w:line="360" w:lineRule="auto"/>
        <w:ind w:left="709" w:firstLine="11"/>
        <w:jc w:val="both"/>
        <w:rPr>
          <w:rFonts w:ascii="Arial" w:eastAsia="Cambria" w:hAnsi="Arial" w:cs="Arial"/>
          <w:sz w:val="24"/>
          <w:szCs w:val="24"/>
        </w:rPr>
      </w:pPr>
      <w:r w:rsidRPr="008345EC">
        <w:rPr>
          <w:rFonts w:ascii="Arial" w:eastAsia="Cambria" w:hAnsi="Arial" w:cs="Arial"/>
          <w:sz w:val="24"/>
          <w:szCs w:val="24"/>
        </w:rPr>
        <w:lastRenderedPageBreak/>
        <w:t>This includes the provision of study guides for all high enrolment subjects</w:t>
      </w:r>
      <w:r w:rsidR="00875D77" w:rsidRPr="008345EC">
        <w:rPr>
          <w:rFonts w:ascii="Arial" w:eastAsia="Cambria" w:hAnsi="Arial" w:cs="Arial"/>
          <w:sz w:val="24"/>
          <w:szCs w:val="24"/>
        </w:rPr>
        <w:t>,</w:t>
      </w:r>
      <w:r w:rsidRPr="008345EC">
        <w:rPr>
          <w:rFonts w:ascii="Arial" w:eastAsia="Cambria" w:hAnsi="Arial" w:cs="Arial"/>
          <w:sz w:val="24"/>
          <w:szCs w:val="24"/>
        </w:rPr>
        <w:t xml:space="preserve"> as well as a Home Language Revision guide</w:t>
      </w:r>
      <w:r w:rsidR="00C50D3D" w:rsidRPr="008345EC">
        <w:rPr>
          <w:rFonts w:ascii="Arial" w:eastAsia="Cambria" w:hAnsi="Arial" w:cs="Arial"/>
          <w:sz w:val="24"/>
          <w:szCs w:val="24"/>
        </w:rPr>
        <w:t xml:space="preserve"> </w:t>
      </w:r>
      <w:r w:rsidR="00875D77" w:rsidRPr="008345EC">
        <w:rPr>
          <w:rFonts w:ascii="Arial" w:eastAsia="Cambria" w:hAnsi="Arial" w:cs="Arial"/>
          <w:sz w:val="24"/>
          <w:szCs w:val="24"/>
        </w:rPr>
        <w:t>and</w:t>
      </w:r>
      <w:r w:rsidR="00C50D3D" w:rsidRPr="008345EC">
        <w:rPr>
          <w:rFonts w:ascii="Arial" w:eastAsia="Cambria" w:hAnsi="Arial" w:cs="Arial"/>
          <w:sz w:val="24"/>
          <w:szCs w:val="24"/>
        </w:rPr>
        <w:t xml:space="preserve"> literature guide</w:t>
      </w:r>
      <w:r w:rsidRPr="008345EC">
        <w:rPr>
          <w:rFonts w:ascii="Arial" w:eastAsia="Cambria" w:hAnsi="Arial" w:cs="Arial"/>
          <w:sz w:val="24"/>
          <w:szCs w:val="24"/>
        </w:rPr>
        <w:t xml:space="preserve">. In addition, based on the subject offering of the school, teachers will be supplied with </w:t>
      </w:r>
      <w:r w:rsidR="00875D77" w:rsidRPr="008345EC">
        <w:rPr>
          <w:rFonts w:ascii="Arial" w:eastAsia="Cambria" w:hAnsi="Arial" w:cs="Arial"/>
          <w:sz w:val="24"/>
          <w:szCs w:val="24"/>
        </w:rPr>
        <w:t>School Based Assessment (SBA)</w:t>
      </w:r>
      <w:r w:rsidRPr="008345EC">
        <w:rPr>
          <w:rFonts w:ascii="Arial" w:eastAsia="Cambria" w:hAnsi="Arial" w:cs="Arial"/>
          <w:sz w:val="24"/>
          <w:szCs w:val="24"/>
        </w:rPr>
        <w:t xml:space="preserve"> exemplar guides to illustrate best practices in terms of formal and informal assessment.</w:t>
      </w:r>
    </w:p>
    <w:p w:rsidR="00C660E9" w:rsidRPr="008345EC" w:rsidRDefault="00C660E9" w:rsidP="00301978">
      <w:pPr>
        <w:spacing w:after="0" w:line="360" w:lineRule="auto"/>
        <w:ind w:left="709" w:firstLine="11"/>
        <w:jc w:val="both"/>
        <w:rPr>
          <w:rFonts w:ascii="Arial" w:eastAsia="Cambria" w:hAnsi="Arial" w:cs="Arial"/>
          <w:sz w:val="24"/>
          <w:szCs w:val="24"/>
        </w:rPr>
      </w:pPr>
    </w:p>
    <w:p w:rsidR="0025052A" w:rsidRPr="008345EC" w:rsidRDefault="0025052A" w:rsidP="00301978">
      <w:pPr>
        <w:spacing w:after="0" w:line="360" w:lineRule="auto"/>
        <w:ind w:left="709" w:firstLine="11"/>
        <w:jc w:val="both"/>
        <w:rPr>
          <w:rFonts w:ascii="Arial" w:eastAsia="Cambria" w:hAnsi="Arial" w:cs="Arial"/>
          <w:sz w:val="24"/>
          <w:szCs w:val="24"/>
        </w:rPr>
      </w:pPr>
      <w:r w:rsidRPr="008345EC">
        <w:rPr>
          <w:rFonts w:ascii="Arial" w:eastAsia="Cambria" w:hAnsi="Arial" w:cs="Arial"/>
          <w:sz w:val="24"/>
          <w:szCs w:val="24"/>
        </w:rPr>
        <w:t>The sector implements the National Strategy for Learner Attainment (NSLA)</w:t>
      </w:r>
      <w:r w:rsidR="00C660E9" w:rsidRPr="008345EC">
        <w:rPr>
          <w:rFonts w:ascii="Arial" w:eastAsia="Cambria" w:hAnsi="Arial" w:cs="Arial"/>
          <w:sz w:val="24"/>
          <w:szCs w:val="24"/>
        </w:rPr>
        <w:t xml:space="preserve"> in all provinces, and </w:t>
      </w:r>
      <w:r w:rsidR="00B6085A">
        <w:rPr>
          <w:rFonts w:ascii="Arial" w:eastAsia="Cambria" w:hAnsi="Arial" w:cs="Arial"/>
          <w:sz w:val="24"/>
          <w:szCs w:val="24"/>
        </w:rPr>
        <w:t>p</w:t>
      </w:r>
      <w:r w:rsidR="00C660E9" w:rsidRPr="008345EC">
        <w:rPr>
          <w:rFonts w:ascii="Arial" w:eastAsia="Cambria" w:hAnsi="Arial" w:cs="Arial"/>
          <w:sz w:val="24"/>
          <w:szCs w:val="24"/>
        </w:rPr>
        <w:t xml:space="preserve">rovinces </w:t>
      </w:r>
      <w:r w:rsidRPr="008345EC">
        <w:rPr>
          <w:rFonts w:ascii="Arial" w:eastAsia="Cambria" w:hAnsi="Arial" w:cs="Arial"/>
          <w:sz w:val="24"/>
          <w:szCs w:val="24"/>
        </w:rPr>
        <w:t xml:space="preserve">report </w:t>
      </w:r>
      <w:r w:rsidR="00C660E9" w:rsidRPr="008345EC">
        <w:rPr>
          <w:rFonts w:ascii="Arial" w:eastAsia="Cambria" w:hAnsi="Arial" w:cs="Arial"/>
          <w:sz w:val="24"/>
          <w:szCs w:val="24"/>
        </w:rPr>
        <w:t xml:space="preserve">quarterly </w:t>
      </w:r>
      <w:r w:rsidRPr="008345EC">
        <w:rPr>
          <w:rFonts w:ascii="Arial" w:eastAsia="Cambria" w:hAnsi="Arial" w:cs="Arial"/>
          <w:sz w:val="24"/>
          <w:szCs w:val="24"/>
        </w:rPr>
        <w:t>on intervention programmes to support underperforming schools.</w:t>
      </w:r>
      <w:r w:rsidR="00C660E9" w:rsidRPr="008345EC">
        <w:rPr>
          <w:rFonts w:ascii="Arial" w:eastAsia="Cambria" w:hAnsi="Arial" w:cs="Arial"/>
          <w:sz w:val="24"/>
          <w:szCs w:val="24"/>
        </w:rPr>
        <w:t xml:space="preserve"> These reports are analysed against set performance indicators and feedback reports are provided to each province for implementation. Further to that, the DBE conducts quarterly oversight meetings to monitor progress and verify reports. </w:t>
      </w:r>
    </w:p>
    <w:p w:rsidR="00BD18EA" w:rsidRPr="008345EC" w:rsidRDefault="00BD18EA" w:rsidP="00301978">
      <w:pPr>
        <w:spacing w:after="0" w:line="360" w:lineRule="auto"/>
        <w:ind w:left="709" w:firstLine="11"/>
        <w:jc w:val="both"/>
        <w:rPr>
          <w:rFonts w:ascii="Arial" w:eastAsia="Cambria" w:hAnsi="Arial" w:cs="Arial"/>
          <w:sz w:val="24"/>
          <w:szCs w:val="24"/>
        </w:rPr>
      </w:pPr>
    </w:p>
    <w:p w:rsidR="009B6A31" w:rsidRDefault="009B6A31"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8345EC" w:rsidRDefault="008345EC" w:rsidP="00301978">
      <w:pPr>
        <w:spacing w:after="0" w:line="360" w:lineRule="auto"/>
        <w:ind w:left="709" w:firstLine="11"/>
        <w:jc w:val="both"/>
        <w:rPr>
          <w:rFonts w:ascii="Times New Roman" w:eastAsia="Cambria" w:hAnsi="Times New Roman" w:cs="Times New Roman"/>
          <w:sz w:val="24"/>
          <w:szCs w:val="24"/>
        </w:rPr>
      </w:pPr>
    </w:p>
    <w:p w:rsidR="00301978" w:rsidRDefault="00301978" w:rsidP="00FB1761">
      <w:pPr>
        <w:spacing w:after="0" w:line="360" w:lineRule="auto"/>
        <w:jc w:val="both"/>
        <w:rPr>
          <w:rFonts w:ascii="Times New Roman" w:eastAsia="Cambria" w:hAnsi="Times New Roman" w:cs="Times New Roman"/>
          <w:sz w:val="24"/>
          <w:szCs w:val="24"/>
        </w:rPr>
      </w:pPr>
      <w:bookmarkStart w:id="0" w:name="_GoBack"/>
      <w:bookmarkEnd w:id="0"/>
    </w:p>
    <w:sectPr w:rsidR="00301978" w:rsidSect="005A6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4567B"/>
    <w:multiLevelType w:val="multilevel"/>
    <w:tmpl w:val="057CD7D6"/>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48812F61"/>
    <w:multiLevelType w:val="hybridMultilevel"/>
    <w:tmpl w:val="B21C89DE"/>
    <w:lvl w:ilvl="0" w:tplc="4B5202C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5B1D3BFC"/>
    <w:multiLevelType w:val="hybridMultilevel"/>
    <w:tmpl w:val="C16A770A"/>
    <w:lvl w:ilvl="0" w:tplc="1C090003">
      <w:start w:val="1"/>
      <w:numFmt w:val="bullet"/>
      <w:lvlText w:val="o"/>
      <w:lvlJc w:val="left"/>
      <w:pPr>
        <w:ind w:left="1860" w:hanging="360"/>
      </w:pPr>
      <w:rPr>
        <w:rFonts w:ascii="Courier New" w:hAnsi="Courier New" w:cs="Courier New"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3" w15:restartNumberingAfterBreak="0">
    <w:nsid w:val="5DF00F64"/>
    <w:multiLevelType w:val="hybridMultilevel"/>
    <w:tmpl w:val="3CF02E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DEF4ADB"/>
    <w:multiLevelType w:val="hybridMultilevel"/>
    <w:tmpl w:val="962C863E"/>
    <w:lvl w:ilvl="0" w:tplc="04090001">
      <w:start w:val="1"/>
      <w:numFmt w:val="bullet"/>
      <w:lvlText w:val=""/>
      <w:lvlJc w:val="left"/>
      <w:pPr>
        <w:ind w:left="99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DC01071"/>
    <w:multiLevelType w:val="hybridMultilevel"/>
    <w:tmpl w:val="37B20094"/>
    <w:lvl w:ilvl="0" w:tplc="4AF612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7B63"/>
    <w:rsid w:val="00015890"/>
    <w:rsid w:val="00040D70"/>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5052A"/>
    <w:rsid w:val="0027063B"/>
    <w:rsid w:val="002C32A6"/>
    <w:rsid w:val="002D1513"/>
    <w:rsid w:val="00301978"/>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A2F02"/>
    <w:rsid w:val="004B34AC"/>
    <w:rsid w:val="004C0316"/>
    <w:rsid w:val="004E39FB"/>
    <w:rsid w:val="005676F7"/>
    <w:rsid w:val="00570560"/>
    <w:rsid w:val="005827AF"/>
    <w:rsid w:val="005829B8"/>
    <w:rsid w:val="00587753"/>
    <w:rsid w:val="0059663A"/>
    <w:rsid w:val="005A68A4"/>
    <w:rsid w:val="005C4AB6"/>
    <w:rsid w:val="00607436"/>
    <w:rsid w:val="00613631"/>
    <w:rsid w:val="00615A3B"/>
    <w:rsid w:val="00641B51"/>
    <w:rsid w:val="00646D0A"/>
    <w:rsid w:val="00666324"/>
    <w:rsid w:val="00667A76"/>
    <w:rsid w:val="00692B11"/>
    <w:rsid w:val="006C1F10"/>
    <w:rsid w:val="006D7B63"/>
    <w:rsid w:val="006F297B"/>
    <w:rsid w:val="00720CC4"/>
    <w:rsid w:val="007A4190"/>
    <w:rsid w:val="007B134D"/>
    <w:rsid w:val="007F25CB"/>
    <w:rsid w:val="008015CE"/>
    <w:rsid w:val="00830D56"/>
    <w:rsid w:val="00830FC7"/>
    <w:rsid w:val="008345EC"/>
    <w:rsid w:val="00857A1D"/>
    <w:rsid w:val="00875D77"/>
    <w:rsid w:val="008E742B"/>
    <w:rsid w:val="009132A2"/>
    <w:rsid w:val="009434F5"/>
    <w:rsid w:val="00975403"/>
    <w:rsid w:val="009771A8"/>
    <w:rsid w:val="00977A90"/>
    <w:rsid w:val="00996F09"/>
    <w:rsid w:val="009B6115"/>
    <w:rsid w:val="009B6A31"/>
    <w:rsid w:val="009C2773"/>
    <w:rsid w:val="009D302C"/>
    <w:rsid w:val="009E45A2"/>
    <w:rsid w:val="00A20079"/>
    <w:rsid w:val="00A377B1"/>
    <w:rsid w:val="00A451EB"/>
    <w:rsid w:val="00A603D7"/>
    <w:rsid w:val="00A62005"/>
    <w:rsid w:val="00A666AB"/>
    <w:rsid w:val="00AE1828"/>
    <w:rsid w:val="00B24120"/>
    <w:rsid w:val="00B6085A"/>
    <w:rsid w:val="00B6783D"/>
    <w:rsid w:val="00B81D4D"/>
    <w:rsid w:val="00BA70AC"/>
    <w:rsid w:val="00BB721A"/>
    <w:rsid w:val="00BD18EA"/>
    <w:rsid w:val="00C00DC4"/>
    <w:rsid w:val="00C50D3D"/>
    <w:rsid w:val="00C660E9"/>
    <w:rsid w:val="00C8671D"/>
    <w:rsid w:val="00C90C8F"/>
    <w:rsid w:val="00CA6DE2"/>
    <w:rsid w:val="00CF77FA"/>
    <w:rsid w:val="00D13D42"/>
    <w:rsid w:val="00D34C31"/>
    <w:rsid w:val="00D6328E"/>
    <w:rsid w:val="00D713FC"/>
    <w:rsid w:val="00D9276C"/>
    <w:rsid w:val="00D94B1F"/>
    <w:rsid w:val="00D97E99"/>
    <w:rsid w:val="00DF2055"/>
    <w:rsid w:val="00E34908"/>
    <w:rsid w:val="00E67F6F"/>
    <w:rsid w:val="00EA485B"/>
    <w:rsid w:val="00EB5AFE"/>
    <w:rsid w:val="00EC7F74"/>
    <w:rsid w:val="00EF5B30"/>
    <w:rsid w:val="00F11816"/>
    <w:rsid w:val="00F5012D"/>
    <w:rsid w:val="00F574BB"/>
    <w:rsid w:val="00F854F1"/>
    <w:rsid w:val="00FA6EFF"/>
    <w:rsid w:val="00FB1761"/>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32C1-CCD0-4839-832C-E1973A7E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D3D"/>
    <w:rPr>
      <w:rFonts w:ascii="Segoe UI" w:hAnsi="Segoe UI" w:cs="Segoe UI"/>
      <w:sz w:val="18"/>
      <w:szCs w:val="18"/>
    </w:rPr>
  </w:style>
  <w:style w:type="character" w:styleId="Hyperlink">
    <w:name w:val="Hyperlink"/>
    <w:basedOn w:val="DefaultParagraphFont"/>
    <w:uiPriority w:val="99"/>
    <w:semiHidden/>
    <w:unhideWhenUsed/>
    <w:rsid w:val="00587753"/>
    <w:rPr>
      <w:color w:val="0000FF"/>
      <w:u w:val="single"/>
    </w:rPr>
  </w:style>
  <w:style w:type="paragraph" w:styleId="NormalWeb">
    <w:name w:val="Normal (Web)"/>
    <w:basedOn w:val="Normal"/>
    <w:uiPriority w:val="99"/>
    <w:semiHidden/>
    <w:unhideWhenUsed/>
    <w:rsid w:val="0058775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58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4617">
      <w:bodyDiv w:val="1"/>
      <w:marLeft w:val="0"/>
      <w:marRight w:val="0"/>
      <w:marTop w:val="0"/>
      <w:marBottom w:val="0"/>
      <w:divBdr>
        <w:top w:val="none" w:sz="0" w:space="0" w:color="auto"/>
        <w:left w:val="none" w:sz="0" w:space="0" w:color="auto"/>
        <w:bottom w:val="none" w:sz="0" w:space="0" w:color="auto"/>
        <w:right w:val="none" w:sz="0" w:space="0" w:color="auto"/>
      </w:divBdr>
      <w:divsChild>
        <w:div w:id="314140686">
          <w:marLeft w:val="0"/>
          <w:marRight w:val="0"/>
          <w:marTop w:val="0"/>
          <w:marBottom w:val="0"/>
          <w:divBdr>
            <w:top w:val="none" w:sz="0" w:space="0" w:color="auto"/>
            <w:left w:val="none" w:sz="0" w:space="0" w:color="auto"/>
            <w:bottom w:val="none" w:sz="0" w:space="0" w:color="auto"/>
            <w:right w:val="none" w:sz="0" w:space="0" w:color="auto"/>
          </w:divBdr>
          <w:divsChild>
            <w:div w:id="1276324450">
              <w:marLeft w:val="0"/>
              <w:marRight w:val="0"/>
              <w:marTop w:val="0"/>
              <w:marBottom w:val="0"/>
              <w:divBdr>
                <w:top w:val="none" w:sz="0" w:space="0" w:color="auto"/>
                <w:left w:val="none" w:sz="0" w:space="0" w:color="auto"/>
                <w:bottom w:val="none" w:sz="0" w:space="0" w:color="auto"/>
                <w:right w:val="none" w:sz="0" w:space="0" w:color="auto"/>
              </w:divBdr>
              <w:divsChild>
                <w:div w:id="571544536">
                  <w:marLeft w:val="0"/>
                  <w:marRight w:val="0"/>
                  <w:marTop w:val="0"/>
                  <w:marBottom w:val="0"/>
                  <w:divBdr>
                    <w:top w:val="none" w:sz="0" w:space="0" w:color="auto"/>
                    <w:left w:val="none" w:sz="0" w:space="0" w:color="auto"/>
                    <w:bottom w:val="none" w:sz="0" w:space="0" w:color="auto"/>
                    <w:right w:val="none" w:sz="0" w:space="0" w:color="auto"/>
                  </w:divBdr>
                  <w:divsChild>
                    <w:div w:id="1408070872">
                      <w:marLeft w:val="0"/>
                      <w:marRight w:val="0"/>
                      <w:marTop w:val="0"/>
                      <w:marBottom w:val="0"/>
                      <w:divBdr>
                        <w:top w:val="none" w:sz="0" w:space="0" w:color="auto"/>
                        <w:left w:val="none" w:sz="0" w:space="0" w:color="auto"/>
                        <w:bottom w:val="none" w:sz="0" w:space="0" w:color="auto"/>
                        <w:right w:val="none" w:sz="0" w:space="0" w:color="auto"/>
                      </w:divBdr>
                      <w:divsChild>
                        <w:div w:id="314265090">
                          <w:marLeft w:val="0"/>
                          <w:marRight w:val="0"/>
                          <w:marTop w:val="0"/>
                          <w:marBottom w:val="0"/>
                          <w:divBdr>
                            <w:top w:val="none" w:sz="0" w:space="0" w:color="auto"/>
                            <w:left w:val="none" w:sz="0" w:space="0" w:color="auto"/>
                            <w:bottom w:val="none" w:sz="0" w:space="0" w:color="auto"/>
                            <w:right w:val="none" w:sz="0" w:space="0" w:color="auto"/>
                          </w:divBdr>
                          <w:divsChild>
                            <w:div w:id="1734696891">
                              <w:marLeft w:val="705"/>
                              <w:marRight w:val="0"/>
                              <w:marTop w:val="0"/>
                              <w:marBottom w:val="0"/>
                              <w:divBdr>
                                <w:top w:val="none" w:sz="0" w:space="0" w:color="auto"/>
                                <w:left w:val="none" w:sz="0" w:space="0" w:color="auto"/>
                                <w:bottom w:val="none" w:sz="0" w:space="0" w:color="auto"/>
                                <w:right w:val="none" w:sz="0" w:space="0" w:color="auto"/>
                              </w:divBdr>
                            </w:div>
                            <w:div w:id="1143501657">
                              <w:marLeft w:val="705"/>
                              <w:marRight w:val="0"/>
                              <w:marTop w:val="0"/>
                              <w:marBottom w:val="0"/>
                              <w:divBdr>
                                <w:top w:val="none" w:sz="0" w:space="0" w:color="auto"/>
                                <w:left w:val="none" w:sz="0" w:space="0" w:color="auto"/>
                                <w:bottom w:val="none" w:sz="0" w:space="0" w:color="auto"/>
                                <w:right w:val="none" w:sz="0" w:space="0" w:color="auto"/>
                              </w:divBdr>
                            </w:div>
                            <w:div w:id="2078506086">
                              <w:marLeft w:val="705"/>
                              <w:marRight w:val="0"/>
                              <w:marTop w:val="0"/>
                              <w:marBottom w:val="0"/>
                              <w:divBdr>
                                <w:top w:val="none" w:sz="0" w:space="0" w:color="auto"/>
                                <w:left w:val="none" w:sz="0" w:space="0" w:color="auto"/>
                                <w:bottom w:val="none" w:sz="0" w:space="0" w:color="auto"/>
                                <w:right w:val="none" w:sz="0" w:space="0" w:color="auto"/>
                              </w:divBdr>
                            </w:div>
                            <w:div w:id="2106730700">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s.co.za/south-african-schools-/south_african_schools_act_1996_.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s.co.za/south-african-schools-/22_withdrawal_of_functions_from_governing_bodies.php" TargetMode="External"/><Relationship Id="rId5" Type="http://schemas.openxmlformats.org/officeDocument/2006/relationships/hyperlink" Target="https://www.acts.co.za/south-african-schools-/south_african_schools_act_1996_chapter_3_public_schools_16a_functions_and_responsibilities_of_principal_of_public_school.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2018-03-02T10:57:00Z</cp:lastPrinted>
  <dcterms:created xsi:type="dcterms:W3CDTF">2018-03-01T06:02:00Z</dcterms:created>
  <dcterms:modified xsi:type="dcterms:W3CDTF">2018-03-23T05:16:00Z</dcterms:modified>
</cp:coreProperties>
</file>