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BF" w:rsidRDefault="001B3DBF">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182360" r:id="rId8"/>
        </w:pict>
      </w:r>
    </w:p>
    <w:p w:rsidR="001B3DBF" w:rsidRDefault="001B3DBF">
      <w:pPr>
        <w:rPr>
          <w:rFonts w:ascii="Arial" w:hAnsi="Arial" w:cs="Arial"/>
          <w:sz w:val="24"/>
        </w:rPr>
      </w:pPr>
    </w:p>
    <w:p w:rsidR="001B3DBF" w:rsidRDefault="001B3DBF">
      <w:pPr>
        <w:rPr>
          <w:rFonts w:ascii="Arial" w:hAnsi="Arial" w:cs="Arial"/>
          <w:sz w:val="24"/>
        </w:rPr>
      </w:pPr>
    </w:p>
    <w:p w:rsidR="001B3DBF" w:rsidRPr="00D26F9E" w:rsidRDefault="001B3DBF">
      <w:pPr>
        <w:jc w:val="center"/>
        <w:rPr>
          <w:rFonts w:ascii="Arial" w:hAnsi="Arial" w:cs="Arial"/>
          <w:b/>
          <w:bCs/>
          <w:sz w:val="24"/>
        </w:rPr>
      </w:pPr>
    </w:p>
    <w:p w:rsidR="001B3DBF" w:rsidRDefault="001B3DBF">
      <w:pPr>
        <w:jc w:val="center"/>
        <w:rPr>
          <w:rFonts w:ascii="Arial" w:hAnsi="Arial" w:cs="Arial"/>
          <w:b/>
          <w:bCs/>
          <w:sz w:val="24"/>
        </w:rPr>
      </w:pPr>
    </w:p>
    <w:p w:rsidR="001B3DBF" w:rsidRPr="00D26F9E" w:rsidRDefault="001B3DBF">
      <w:pPr>
        <w:jc w:val="center"/>
        <w:rPr>
          <w:rFonts w:ascii="Arial" w:hAnsi="Arial" w:cs="Arial"/>
          <w:b/>
          <w:bCs/>
          <w:sz w:val="24"/>
        </w:rPr>
      </w:pPr>
      <w:r w:rsidRPr="00D26F9E">
        <w:rPr>
          <w:rFonts w:ascii="Arial" w:hAnsi="Arial" w:cs="Arial"/>
          <w:b/>
          <w:bCs/>
          <w:sz w:val="24"/>
        </w:rPr>
        <w:t>MINISTRY</w:t>
      </w:r>
      <w:r>
        <w:rPr>
          <w:rFonts w:ascii="Arial" w:hAnsi="Arial" w:cs="Arial"/>
          <w:b/>
          <w:bCs/>
          <w:sz w:val="24"/>
        </w:rPr>
        <w:t xml:space="preserve"> FOR</w:t>
      </w:r>
      <w:r w:rsidRPr="00D26F9E">
        <w:rPr>
          <w:rFonts w:ascii="Arial" w:hAnsi="Arial" w:cs="Arial"/>
          <w:b/>
          <w:bCs/>
          <w:sz w:val="24"/>
        </w:rPr>
        <w:t xml:space="preserve"> </w:t>
      </w:r>
      <w:r>
        <w:rPr>
          <w:rFonts w:ascii="Arial" w:hAnsi="Arial" w:cs="Arial"/>
          <w:b/>
          <w:bCs/>
          <w:sz w:val="24"/>
        </w:rPr>
        <w:t>HUMAN SETTLEMENTS</w:t>
      </w:r>
    </w:p>
    <w:p w:rsidR="001B3DBF" w:rsidRPr="00D26F9E" w:rsidRDefault="001B3DBF">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1B3DBF" w:rsidRPr="00D26F9E" w:rsidRDefault="001B3DBF">
      <w:pPr>
        <w:jc w:val="center"/>
        <w:rPr>
          <w:rFonts w:ascii="Arial" w:hAnsi="Arial" w:cs="Arial"/>
          <w:b/>
          <w:bCs/>
          <w:sz w:val="24"/>
        </w:rPr>
      </w:pPr>
    </w:p>
    <w:p w:rsidR="001B3DBF" w:rsidRPr="005F4728" w:rsidRDefault="001B3DBF" w:rsidP="001B3DBF">
      <w:pPr>
        <w:rPr>
          <w:b/>
          <w:bCs/>
          <w:sz w:val="24"/>
          <w:szCs w:val="24"/>
        </w:rPr>
      </w:pPr>
    </w:p>
    <w:p w:rsidR="001B3DBF" w:rsidRPr="0055709D" w:rsidRDefault="001B3DBF" w:rsidP="001B3DBF">
      <w:pPr>
        <w:rPr>
          <w:b/>
          <w:sz w:val="24"/>
          <w:szCs w:val="24"/>
        </w:rPr>
      </w:pPr>
      <w:r w:rsidRPr="0055709D">
        <w:rPr>
          <w:b/>
          <w:sz w:val="24"/>
          <w:szCs w:val="24"/>
        </w:rPr>
        <w:t>NATIONAL ASSEMBLY</w:t>
      </w:r>
    </w:p>
    <w:p w:rsidR="001B3DBF" w:rsidRPr="0055709D" w:rsidRDefault="001B3DBF" w:rsidP="001B3DBF">
      <w:pPr>
        <w:jc w:val="center"/>
        <w:rPr>
          <w:b/>
          <w:sz w:val="24"/>
          <w:szCs w:val="24"/>
        </w:rPr>
      </w:pPr>
    </w:p>
    <w:p w:rsidR="001B3DBF" w:rsidRPr="0055709D" w:rsidRDefault="001B3DBF" w:rsidP="001B3DBF">
      <w:pPr>
        <w:rPr>
          <w:b/>
          <w:sz w:val="24"/>
          <w:szCs w:val="24"/>
        </w:rPr>
      </w:pPr>
      <w:r w:rsidRPr="0055709D">
        <w:rPr>
          <w:b/>
          <w:sz w:val="24"/>
          <w:szCs w:val="24"/>
        </w:rPr>
        <w:t>QUESTION FOR WRITTEN REPLY</w:t>
      </w:r>
    </w:p>
    <w:p w:rsidR="001B3DBF" w:rsidRPr="0055709D" w:rsidRDefault="001B3DBF" w:rsidP="001B3DBF">
      <w:pPr>
        <w:rPr>
          <w:b/>
          <w:sz w:val="24"/>
          <w:szCs w:val="24"/>
        </w:rPr>
      </w:pPr>
    </w:p>
    <w:p w:rsidR="001B3DBF" w:rsidRDefault="001B3DBF" w:rsidP="001B3DBF">
      <w:pPr>
        <w:tabs>
          <w:tab w:val="left" w:pos="2910"/>
        </w:tabs>
        <w:rPr>
          <w:b/>
          <w:sz w:val="24"/>
          <w:szCs w:val="24"/>
          <w:lang w:val="af-ZA"/>
        </w:rPr>
      </w:pPr>
      <w:r w:rsidRPr="0055709D">
        <w:rPr>
          <w:b/>
          <w:sz w:val="24"/>
          <w:szCs w:val="24"/>
        </w:rPr>
        <w:t>QUESTION NO</w:t>
      </w:r>
      <w:r w:rsidRPr="003B62B6">
        <w:rPr>
          <w:b/>
          <w:sz w:val="24"/>
          <w:szCs w:val="24"/>
        </w:rPr>
        <w:t>.:</w:t>
      </w:r>
      <w:r w:rsidRPr="003B62B6">
        <w:rPr>
          <w:b/>
          <w:sz w:val="24"/>
          <w:szCs w:val="24"/>
          <w:lang w:val="af-ZA"/>
        </w:rPr>
        <w:t xml:space="preserve"> </w:t>
      </w:r>
      <w:r>
        <w:rPr>
          <w:b/>
          <w:sz w:val="24"/>
          <w:szCs w:val="24"/>
          <w:lang w:val="af-ZA"/>
        </w:rPr>
        <w:t>4211</w:t>
      </w:r>
    </w:p>
    <w:p w:rsidR="001B3DBF" w:rsidRPr="0055709D" w:rsidRDefault="001B3DBF" w:rsidP="001B3DBF">
      <w:pPr>
        <w:tabs>
          <w:tab w:val="left" w:pos="2910"/>
        </w:tabs>
        <w:rPr>
          <w:b/>
          <w:sz w:val="24"/>
          <w:szCs w:val="24"/>
        </w:rPr>
      </w:pPr>
    </w:p>
    <w:p w:rsidR="001B3DBF" w:rsidRDefault="001B3DBF" w:rsidP="001B3DBF">
      <w:pPr>
        <w:rPr>
          <w:b/>
          <w:sz w:val="24"/>
          <w:szCs w:val="24"/>
        </w:rPr>
      </w:pPr>
      <w:r w:rsidRPr="0055709D">
        <w:rPr>
          <w:b/>
          <w:sz w:val="24"/>
          <w:szCs w:val="24"/>
        </w:rPr>
        <w:t>DATE OF PUBLICATION:</w:t>
      </w:r>
      <w:r>
        <w:rPr>
          <w:b/>
          <w:sz w:val="24"/>
          <w:szCs w:val="24"/>
        </w:rPr>
        <w:t xml:space="preserve"> 30 NOVEMBER 2015 </w:t>
      </w:r>
    </w:p>
    <w:p w:rsidR="001B3DBF" w:rsidRDefault="001B3DBF" w:rsidP="001B3DBF">
      <w:pPr>
        <w:rPr>
          <w:b/>
          <w:sz w:val="24"/>
          <w:szCs w:val="24"/>
        </w:rPr>
      </w:pPr>
    </w:p>
    <w:p w:rsidR="001B3DBF" w:rsidRPr="00D41BC8" w:rsidRDefault="001B3DBF" w:rsidP="001B3DBF">
      <w:pPr>
        <w:tabs>
          <w:tab w:val="left" w:pos="851"/>
        </w:tabs>
        <w:spacing w:before="100" w:beforeAutospacing="1" w:after="100" w:afterAutospacing="1"/>
        <w:jc w:val="both"/>
        <w:rPr>
          <w:b/>
          <w:sz w:val="24"/>
          <w:szCs w:val="24"/>
          <w:lang w:val="en-ZA"/>
        </w:rPr>
      </w:pPr>
      <w:r w:rsidRPr="00D41BC8">
        <w:rPr>
          <w:b/>
          <w:sz w:val="24"/>
          <w:szCs w:val="24"/>
          <w:lang w:val="en-ZA"/>
        </w:rPr>
        <w:t>Mr S M Gana (DA) to ask the Minister of Human Settlements:</w:t>
      </w:r>
    </w:p>
    <w:p w:rsidR="001B3DBF" w:rsidRPr="00D41BC8" w:rsidRDefault="001B3DBF" w:rsidP="001B3DBF">
      <w:pPr>
        <w:spacing w:line="360" w:lineRule="auto"/>
        <w:ind w:left="720" w:hanging="720"/>
        <w:jc w:val="both"/>
        <w:outlineLvl w:val="0"/>
        <w:rPr>
          <w:sz w:val="24"/>
          <w:szCs w:val="24"/>
        </w:rPr>
      </w:pPr>
      <w:r w:rsidRPr="00D41BC8">
        <w:rPr>
          <w:sz w:val="24"/>
          <w:szCs w:val="24"/>
        </w:rPr>
        <w:t>(1)</w:t>
      </w:r>
      <w:r w:rsidRPr="00D41BC8">
        <w:rPr>
          <w:sz w:val="24"/>
          <w:szCs w:val="24"/>
        </w:rPr>
        <w:tab/>
        <w:t xml:space="preserve">What was the cost to her department in terms of assisting the families of </w:t>
      </w:r>
      <w:r w:rsidRPr="00D41BC8">
        <w:rPr>
          <w:sz w:val="24"/>
          <w:szCs w:val="24"/>
          <w:lang w:val="en-ZA"/>
        </w:rPr>
        <w:t>persons</w:t>
      </w:r>
      <w:r w:rsidRPr="00D41BC8">
        <w:rPr>
          <w:sz w:val="24"/>
          <w:szCs w:val="24"/>
        </w:rPr>
        <w:t xml:space="preserve"> who were affected by shack fires in informal settlements in the (a) 2012-13, (b) 2013-14 and (c) 2014-15 financial years;</w:t>
      </w:r>
    </w:p>
    <w:p w:rsidR="001B3DBF" w:rsidRPr="00D41BC8" w:rsidRDefault="001B3DBF" w:rsidP="001B3DBF">
      <w:pPr>
        <w:spacing w:line="360" w:lineRule="auto"/>
        <w:ind w:left="720" w:hanging="720"/>
        <w:jc w:val="both"/>
        <w:outlineLvl w:val="0"/>
        <w:rPr>
          <w:sz w:val="24"/>
          <w:szCs w:val="24"/>
        </w:rPr>
      </w:pPr>
      <w:r w:rsidRPr="00D41BC8">
        <w:rPr>
          <w:sz w:val="24"/>
          <w:szCs w:val="24"/>
        </w:rPr>
        <w:t>(2)</w:t>
      </w:r>
      <w:r w:rsidRPr="00D41BC8">
        <w:rPr>
          <w:sz w:val="24"/>
          <w:szCs w:val="24"/>
        </w:rPr>
        <w:tab/>
      </w:r>
      <w:proofErr w:type="gramStart"/>
      <w:r w:rsidRPr="00D41BC8">
        <w:rPr>
          <w:sz w:val="24"/>
          <w:szCs w:val="24"/>
        </w:rPr>
        <w:t>whether</w:t>
      </w:r>
      <w:proofErr w:type="gramEnd"/>
      <w:r w:rsidRPr="00D41BC8">
        <w:rPr>
          <w:sz w:val="24"/>
          <w:szCs w:val="24"/>
        </w:rPr>
        <w:t xml:space="preserve"> her department has any strategies in place to combat the impact of shack fires in informal settlements; if not, why not; if so, what kind of assistance is given to the victims of shack fires;</w:t>
      </w:r>
    </w:p>
    <w:p w:rsidR="001B3DBF" w:rsidRPr="00AF7CC9" w:rsidRDefault="001B3DBF" w:rsidP="001B3DBF">
      <w:pPr>
        <w:spacing w:line="360" w:lineRule="auto"/>
        <w:ind w:left="720" w:hanging="720"/>
        <w:jc w:val="both"/>
        <w:outlineLvl w:val="0"/>
      </w:pPr>
      <w:r w:rsidRPr="00D41BC8">
        <w:rPr>
          <w:sz w:val="24"/>
          <w:szCs w:val="24"/>
        </w:rPr>
        <w:t xml:space="preserve">(3) </w:t>
      </w:r>
      <w:r w:rsidRPr="00D41BC8">
        <w:rPr>
          <w:sz w:val="24"/>
          <w:szCs w:val="24"/>
        </w:rPr>
        <w:tab/>
      </w:r>
      <w:proofErr w:type="gramStart"/>
      <w:r w:rsidRPr="00D41BC8">
        <w:rPr>
          <w:sz w:val="24"/>
          <w:szCs w:val="24"/>
        </w:rPr>
        <w:t>whether</w:t>
      </w:r>
      <w:proofErr w:type="gramEnd"/>
      <w:r w:rsidRPr="00D41BC8">
        <w:rPr>
          <w:sz w:val="24"/>
          <w:szCs w:val="24"/>
        </w:rPr>
        <w:t xml:space="preserve"> her department has any strategies in place to provide assistance to the </w:t>
      </w:r>
      <w:r w:rsidRPr="00D41BC8">
        <w:rPr>
          <w:sz w:val="24"/>
          <w:szCs w:val="24"/>
          <w:lang w:val="en-ZA"/>
        </w:rPr>
        <w:t>families</w:t>
      </w:r>
      <w:r w:rsidRPr="00D41BC8">
        <w:rPr>
          <w:sz w:val="24"/>
          <w:szCs w:val="24"/>
        </w:rPr>
        <w:t xml:space="preserve"> of persons who were affected by shack fires; if not, why not; if so, what are the relevant details?</w:t>
      </w:r>
      <w:r w:rsidRPr="00AF7CC9">
        <w:tab/>
      </w:r>
      <w:r w:rsidRPr="00AF7CC9">
        <w:tab/>
      </w:r>
      <w:r w:rsidRPr="00AF7CC9">
        <w:tab/>
      </w:r>
      <w:r w:rsidRPr="00AF7CC9">
        <w:tab/>
      </w:r>
      <w:r>
        <w:tab/>
      </w:r>
      <w:r>
        <w:tab/>
      </w:r>
      <w:r>
        <w:tab/>
      </w:r>
      <w:r>
        <w:tab/>
      </w:r>
      <w:r>
        <w:tab/>
      </w:r>
      <w:r>
        <w:tab/>
      </w:r>
      <w:r>
        <w:tab/>
      </w:r>
      <w:r>
        <w:tab/>
        <w:t xml:space="preserve">           </w:t>
      </w:r>
      <w:r w:rsidRPr="00AF7CC9">
        <w:t>NW5088E</w:t>
      </w:r>
    </w:p>
    <w:p w:rsidR="001B3DBF" w:rsidRDefault="001B3DBF" w:rsidP="001B3DBF">
      <w:pPr>
        <w:tabs>
          <w:tab w:val="left" w:pos="432"/>
          <w:tab w:val="left" w:pos="864"/>
        </w:tabs>
        <w:spacing w:before="100" w:beforeAutospacing="1" w:line="360" w:lineRule="auto"/>
        <w:jc w:val="center"/>
        <w:rPr>
          <w:rFonts w:ascii="Arial" w:hAnsi="Arial" w:cs="Arial"/>
          <w:b/>
          <w:sz w:val="22"/>
          <w:szCs w:val="22"/>
        </w:rPr>
      </w:pPr>
    </w:p>
    <w:p w:rsidR="001B3DBF" w:rsidRPr="00C309C3" w:rsidRDefault="001B3DBF" w:rsidP="001B3DBF">
      <w:pPr>
        <w:tabs>
          <w:tab w:val="left" w:pos="432"/>
          <w:tab w:val="left" w:pos="864"/>
        </w:tabs>
        <w:spacing w:before="100" w:beforeAutospacing="1" w:line="360" w:lineRule="auto"/>
        <w:rPr>
          <w:b/>
          <w:sz w:val="22"/>
          <w:szCs w:val="22"/>
        </w:rPr>
      </w:pPr>
      <w:r w:rsidRPr="00C309C3">
        <w:rPr>
          <w:b/>
          <w:sz w:val="22"/>
          <w:szCs w:val="22"/>
        </w:rPr>
        <w:t>REPLY:</w:t>
      </w:r>
    </w:p>
    <w:p w:rsidR="001B3DBF" w:rsidRPr="00C309C3" w:rsidRDefault="001B3DBF" w:rsidP="001B3DBF">
      <w:pPr>
        <w:pStyle w:val="B"/>
      </w:pPr>
    </w:p>
    <w:p w:rsidR="001B3DBF" w:rsidRPr="00C309C3" w:rsidRDefault="001B3DBF" w:rsidP="001B3DBF">
      <w:pPr>
        <w:tabs>
          <w:tab w:val="left" w:pos="432"/>
          <w:tab w:val="left" w:pos="864"/>
        </w:tabs>
        <w:spacing w:before="100" w:beforeAutospacing="1" w:line="360" w:lineRule="auto"/>
        <w:ind w:left="432" w:hanging="432"/>
        <w:jc w:val="both"/>
        <w:rPr>
          <w:sz w:val="22"/>
        </w:rPr>
      </w:pPr>
      <w:r w:rsidRPr="00C309C3">
        <w:rPr>
          <w:sz w:val="22"/>
        </w:rPr>
        <w:t>(1)</w:t>
      </w:r>
      <w:r w:rsidRPr="00C309C3">
        <w:rPr>
          <w:sz w:val="22"/>
        </w:rPr>
        <w:tab/>
        <w:t xml:space="preserve">The Department of Human Settlements does not keep records of families </w:t>
      </w:r>
      <w:r>
        <w:rPr>
          <w:sz w:val="22"/>
        </w:rPr>
        <w:t xml:space="preserve">or </w:t>
      </w:r>
      <w:r w:rsidRPr="00C309C3">
        <w:rPr>
          <w:sz w:val="22"/>
          <w:lang w:val="en-ZA"/>
        </w:rPr>
        <w:t>persons</w:t>
      </w:r>
      <w:r w:rsidRPr="00C309C3">
        <w:rPr>
          <w:sz w:val="22"/>
        </w:rPr>
        <w:t xml:space="preserve"> who were affected by shack fires in informal settlements and the related costs. However, the Department does keep track of these incidents through its interaction with Municipalities and Provinces</w:t>
      </w:r>
      <w:r>
        <w:rPr>
          <w:sz w:val="22"/>
        </w:rPr>
        <w:t xml:space="preserve">.  </w:t>
      </w:r>
      <w:r w:rsidRPr="00C309C3">
        <w:rPr>
          <w:sz w:val="22"/>
        </w:rPr>
        <w:t>An important source of information, which the Department relies upon, is the published reports of the Fire Protection Association of Southern Africa (FPASA). Currently, published information by the FPASA is available for four years being 2010 until 2013. The 2014 statistics will be available in March 2016 and the 2015 statistics will be available in March 2017.</w:t>
      </w:r>
    </w:p>
    <w:p w:rsidR="001B3DBF" w:rsidRPr="00C309C3" w:rsidRDefault="001B3DBF" w:rsidP="001B3DBF">
      <w:pPr>
        <w:spacing w:line="360" w:lineRule="auto"/>
        <w:jc w:val="both"/>
        <w:rPr>
          <w:rFonts w:eastAsia="Calibri"/>
          <w:b/>
          <w:sz w:val="22"/>
          <w:lang w:val="en-ZA"/>
        </w:rPr>
      </w:pPr>
    </w:p>
    <w:p w:rsidR="001B3DBF" w:rsidRDefault="001B3DBF" w:rsidP="001B3DBF">
      <w:pPr>
        <w:spacing w:line="360" w:lineRule="auto"/>
        <w:jc w:val="both"/>
        <w:rPr>
          <w:rFonts w:eastAsia="Calibri"/>
          <w:b/>
          <w:sz w:val="22"/>
          <w:lang w:val="en-ZA"/>
        </w:rPr>
      </w:pPr>
    </w:p>
    <w:p w:rsidR="001B3DBF" w:rsidRPr="00C309C3" w:rsidRDefault="001B3DBF" w:rsidP="001B3DBF">
      <w:pPr>
        <w:spacing w:line="360" w:lineRule="auto"/>
        <w:ind w:firstLine="720"/>
        <w:jc w:val="both"/>
        <w:rPr>
          <w:rFonts w:eastAsia="Calibri"/>
          <w:b/>
          <w:sz w:val="22"/>
          <w:lang w:val="en-ZA"/>
        </w:rPr>
      </w:pPr>
      <w:r w:rsidRPr="00C309C3">
        <w:rPr>
          <w:rFonts w:eastAsia="Calibri"/>
          <w:b/>
          <w:sz w:val="22"/>
          <w:lang w:val="en-ZA"/>
        </w:rPr>
        <w:lastRenderedPageBreak/>
        <w:t>2010 - 2013 Fire Incidents Report</w:t>
      </w:r>
    </w:p>
    <w:tbl>
      <w:tblPr>
        <w:tblW w:w="9313"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350"/>
        <w:gridCol w:w="1710"/>
        <w:gridCol w:w="2520"/>
        <w:gridCol w:w="2430"/>
      </w:tblGrid>
      <w:tr w:rsidR="001B3DBF" w:rsidRPr="00C309C3" w:rsidTr="00D17408">
        <w:trPr>
          <w:trHeight w:val="540"/>
        </w:trPr>
        <w:tc>
          <w:tcPr>
            <w:tcW w:w="1303" w:type="dxa"/>
            <w:vMerge w:val="restart"/>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Year</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No of fire incidents</w:t>
            </w:r>
          </w:p>
        </w:tc>
        <w:tc>
          <w:tcPr>
            <w:tcW w:w="6660" w:type="dxa"/>
            <w:gridSpan w:val="3"/>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Financial damage/losses</w:t>
            </w:r>
          </w:p>
        </w:tc>
      </w:tr>
      <w:tr w:rsidR="001B3DBF" w:rsidRPr="00C309C3" w:rsidTr="001B3DBF">
        <w:trPr>
          <w:trHeight w:val="309"/>
        </w:trPr>
        <w:tc>
          <w:tcPr>
            <w:tcW w:w="1303" w:type="dxa"/>
            <w:vMerge/>
            <w:tcBorders>
              <w:top w:val="single" w:sz="4" w:space="0" w:color="auto"/>
              <w:left w:val="single" w:sz="4" w:space="0" w:color="auto"/>
              <w:bottom w:val="single" w:sz="4" w:space="0" w:color="auto"/>
              <w:right w:val="single" w:sz="4" w:space="0" w:color="auto"/>
            </w:tcBorders>
            <w:vAlign w:val="center"/>
          </w:tcPr>
          <w:p w:rsidR="001B3DBF" w:rsidRPr="00C309C3" w:rsidRDefault="001B3DBF">
            <w:pPr>
              <w:spacing w:line="276" w:lineRule="auto"/>
              <w:rPr>
                <w:rFonts w:eastAsia="Calibri"/>
                <w:szCs w:val="24"/>
                <w:lang w:val="en-ZA"/>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Formal</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Informal</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Formal</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1B3DBF" w:rsidRPr="00C309C3" w:rsidRDefault="001B3DBF">
            <w:pPr>
              <w:spacing w:line="360" w:lineRule="auto"/>
              <w:jc w:val="both"/>
              <w:rPr>
                <w:rFonts w:eastAsia="Calibri"/>
                <w:lang w:val="en-ZA"/>
              </w:rPr>
            </w:pPr>
            <w:r w:rsidRPr="00C309C3">
              <w:rPr>
                <w:rFonts w:eastAsia="Calibri"/>
                <w:lang w:val="en-ZA"/>
              </w:rPr>
              <w:t>Informal</w:t>
            </w:r>
          </w:p>
        </w:tc>
      </w:tr>
      <w:tr w:rsidR="001B3DBF" w:rsidRPr="00C309C3" w:rsidTr="001B3DBF">
        <w:tc>
          <w:tcPr>
            <w:tcW w:w="1303"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2010</w:t>
            </w:r>
          </w:p>
          <w:p w:rsidR="001B3DBF" w:rsidRPr="00C309C3" w:rsidRDefault="001B3DBF">
            <w:pPr>
              <w:spacing w:line="360" w:lineRule="auto"/>
              <w:jc w:val="both"/>
              <w:rPr>
                <w:rFonts w:eastAsia="Calibri"/>
                <w:lang w:val="en-ZA"/>
              </w:rPr>
            </w:pPr>
          </w:p>
        </w:tc>
        <w:tc>
          <w:tcPr>
            <w:tcW w:w="135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2 578</w:t>
            </w:r>
          </w:p>
        </w:tc>
        <w:tc>
          <w:tcPr>
            <w:tcW w:w="171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2 590</w:t>
            </w:r>
          </w:p>
        </w:tc>
        <w:tc>
          <w:tcPr>
            <w:tcW w:w="252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525 406 578</w:t>
            </w:r>
          </w:p>
        </w:tc>
        <w:tc>
          <w:tcPr>
            <w:tcW w:w="243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64 719 575</w:t>
            </w:r>
          </w:p>
        </w:tc>
      </w:tr>
      <w:tr w:rsidR="001B3DBF" w:rsidRPr="00C309C3" w:rsidTr="001B3DBF">
        <w:tc>
          <w:tcPr>
            <w:tcW w:w="1303"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2011</w:t>
            </w:r>
          </w:p>
          <w:p w:rsidR="001B3DBF" w:rsidRPr="00C309C3" w:rsidRDefault="001B3DBF">
            <w:pPr>
              <w:spacing w:line="360" w:lineRule="auto"/>
              <w:jc w:val="both"/>
              <w:rPr>
                <w:rFonts w:eastAsia="Calibri"/>
                <w:lang w:val="en-ZA"/>
              </w:rPr>
            </w:pPr>
          </w:p>
        </w:tc>
        <w:tc>
          <w:tcPr>
            <w:tcW w:w="135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3 943</w:t>
            </w:r>
          </w:p>
        </w:tc>
        <w:tc>
          <w:tcPr>
            <w:tcW w:w="171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4 046</w:t>
            </w:r>
          </w:p>
        </w:tc>
        <w:tc>
          <w:tcPr>
            <w:tcW w:w="252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576 242 642</w:t>
            </w:r>
          </w:p>
        </w:tc>
        <w:tc>
          <w:tcPr>
            <w:tcW w:w="243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102 389 740</w:t>
            </w:r>
          </w:p>
        </w:tc>
      </w:tr>
      <w:tr w:rsidR="001B3DBF" w:rsidRPr="00C309C3" w:rsidTr="001B3DBF">
        <w:tc>
          <w:tcPr>
            <w:tcW w:w="1303"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2012</w:t>
            </w:r>
          </w:p>
          <w:p w:rsidR="001B3DBF" w:rsidRPr="00C309C3" w:rsidRDefault="001B3DBF">
            <w:pPr>
              <w:spacing w:line="360" w:lineRule="auto"/>
              <w:jc w:val="both"/>
              <w:rPr>
                <w:rFonts w:eastAsia="Calibri"/>
                <w:lang w:val="en-ZA"/>
              </w:rPr>
            </w:pPr>
          </w:p>
        </w:tc>
        <w:tc>
          <w:tcPr>
            <w:tcW w:w="135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4 593</w:t>
            </w:r>
          </w:p>
        </w:tc>
        <w:tc>
          <w:tcPr>
            <w:tcW w:w="171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4 516</w:t>
            </w:r>
          </w:p>
        </w:tc>
        <w:tc>
          <w:tcPr>
            <w:tcW w:w="252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556 062 426</w:t>
            </w:r>
          </w:p>
        </w:tc>
        <w:tc>
          <w:tcPr>
            <w:tcW w:w="243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114 556 248</w:t>
            </w:r>
          </w:p>
        </w:tc>
      </w:tr>
      <w:tr w:rsidR="001B3DBF" w:rsidRPr="00C309C3" w:rsidTr="001B3DBF">
        <w:tc>
          <w:tcPr>
            <w:tcW w:w="1303"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2013</w:t>
            </w:r>
          </w:p>
          <w:p w:rsidR="001B3DBF" w:rsidRPr="00C309C3" w:rsidRDefault="001B3DBF">
            <w:pPr>
              <w:spacing w:line="360" w:lineRule="auto"/>
              <w:jc w:val="both"/>
              <w:rPr>
                <w:rFonts w:eastAsia="Calibri"/>
                <w:lang w:val="en-ZA"/>
              </w:rPr>
            </w:pPr>
          </w:p>
        </w:tc>
        <w:tc>
          <w:tcPr>
            <w:tcW w:w="135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4 859</w:t>
            </w:r>
          </w:p>
        </w:tc>
        <w:tc>
          <w:tcPr>
            <w:tcW w:w="171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4 886</w:t>
            </w:r>
          </w:p>
        </w:tc>
        <w:tc>
          <w:tcPr>
            <w:tcW w:w="252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770 392 753</w:t>
            </w:r>
          </w:p>
        </w:tc>
        <w:tc>
          <w:tcPr>
            <w:tcW w:w="2430" w:type="dxa"/>
            <w:tcBorders>
              <w:top w:val="single" w:sz="4" w:space="0" w:color="auto"/>
              <w:left w:val="single" w:sz="4" w:space="0" w:color="auto"/>
              <w:bottom w:val="single" w:sz="4" w:space="0" w:color="auto"/>
              <w:right w:val="single" w:sz="4" w:space="0" w:color="auto"/>
            </w:tcBorders>
          </w:tcPr>
          <w:p w:rsidR="001B3DBF" w:rsidRPr="00C309C3" w:rsidRDefault="001B3DBF">
            <w:pPr>
              <w:spacing w:line="360" w:lineRule="auto"/>
              <w:jc w:val="both"/>
              <w:rPr>
                <w:rFonts w:eastAsia="Calibri"/>
                <w:lang w:val="en-ZA"/>
              </w:rPr>
            </w:pPr>
            <w:r w:rsidRPr="00C309C3">
              <w:rPr>
                <w:rFonts w:eastAsia="Calibri"/>
                <w:lang w:val="en-ZA"/>
              </w:rPr>
              <w:t>R 117 693 080</w:t>
            </w:r>
          </w:p>
        </w:tc>
      </w:tr>
    </w:tbl>
    <w:p w:rsidR="001B3DBF" w:rsidRDefault="001B3DBF" w:rsidP="001B3DBF">
      <w:pPr>
        <w:autoSpaceDE w:val="0"/>
        <w:autoSpaceDN w:val="0"/>
        <w:adjustRightInd w:val="0"/>
        <w:spacing w:line="360" w:lineRule="auto"/>
        <w:ind w:left="720" w:hanging="720"/>
        <w:jc w:val="both"/>
        <w:rPr>
          <w:rFonts w:eastAsia="Calibri"/>
          <w:sz w:val="22"/>
          <w:lang w:val="en-ZA"/>
        </w:rPr>
      </w:pPr>
    </w:p>
    <w:p w:rsidR="001B3DBF" w:rsidRPr="00C309C3" w:rsidRDefault="001B3DBF" w:rsidP="001B3DBF">
      <w:pPr>
        <w:autoSpaceDE w:val="0"/>
        <w:autoSpaceDN w:val="0"/>
        <w:adjustRightInd w:val="0"/>
        <w:spacing w:line="360" w:lineRule="auto"/>
        <w:ind w:left="720" w:hanging="720"/>
        <w:jc w:val="both"/>
        <w:rPr>
          <w:rFonts w:eastAsia="Calibri"/>
          <w:sz w:val="22"/>
          <w:lang w:val="en-ZA"/>
        </w:rPr>
      </w:pPr>
      <w:r w:rsidRPr="00C309C3">
        <w:rPr>
          <w:rFonts w:eastAsia="Calibri"/>
          <w:sz w:val="22"/>
          <w:lang w:val="en-ZA"/>
        </w:rPr>
        <w:t xml:space="preserve">(2) </w:t>
      </w:r>
      <w:r w:rsidRPr="00C309C3">
        <w:rPr>
          <w:rFonts w:eastAsia="Calibri"/>
          <w:sz w:val="22"/>
          <w:lang w:val="en-ZA"/>
        </w:rPr>
        <w:tab/>
        <w:t xml:space="preserve">The Department has the Informal Settlements Upgrading Programme (ISUP) whose primary objective is to cater for improving the basic infrastructure and dwelling standards and quality of life of households living in informal settlements. The ISUP for the current MTSF aims to ensure that 750 000 households living in 2200 informal settlements benefit from improved living conditions, and this include preventative measures from the threats and causes of fires. </w:t>
      </w:r>
    </w:p>
    <w:p w:rsidR="001B3DBF" w:rsidRPr="00C309C3" w:rsidRDefault="001B3DBF" w:rsidP="001B3DBF">
      <w:pPr>
        <w:autoSpaceDE w:val="0"/>
        <w:autoSpaceDN w:val="0"/>
        <w:adjustRightInd w:val="0"/>
        <w:spacing w:line="360" w:lineRule="auto"/>
        <w:jc w:val="both"/>
        <w:rPr>
          <w:rFonts w:eastAsia="Calibri"/>
          <w:sz w:val="22"/>
          <w:lang w:val="en-ZA"/>
        </w:rPr>
      </w:pPr>
    </w:p>
    <w:p w:rsidR="001B3DBF" w:rsidRPr="00C309C3" w:rsidRDefault="001B3DBF" w:rsidP="001B3DBF">
      <w:pPr>
        <w:autoSpaceDE w:val="0"/>
        <w:autoSpaceDN w:val="0"/>
        <w:adjustRightInd w:val="0"/>
        <w:spacing w:line="360" w:lineRule="auto"/>
        <w:ind w:left="720" w:hanging="720"/>
        <w:jc w:val="both"/>
        <w:rPr>
          <w:rFonts w:eastAsia="Calibri"/>
          <w:sz w:val="22"/>
          <w:lang w:val="en-ZA"/>
        </w:rPr>
      </w:pPr>
      <w:r w:rsidRPr="00C309C3">
        <w:rPr>
          <w:rFonts w:eastAsia="Calibri"/>
          <w:sz w:val="22"/>
          <w:lang w:val="en-ZA"/>
        </w:rPr>
        <w:t>(3)</w:t>
      </w:r>
      <w:r w:rsidRPr="00C309C3">
        <w:rPr>
          <w:rFonts w:eastAsia="Calibri"/>
          <w:sz w:val="22"/>
          <w:lang w:val="en-ZA"/>
        </w:rPr>
        <w:tab/>
        <w:t xml:space="preserve">The Department has made grant funding available </w:t>
      </w:r>
      <w:r w:rsidRPr="00D17408">
        <w:rPr>
          <w:rFonts w:eastAsia="Calibri"/>
          <w:sz w:val="22"/>
          <w:lang w:val="en-ZA"/>
        </w:rPr>
        <w:t xml:space="preserve">and </w:t>
      </w:r>
      <w:r w:rsidRPr="00D17408">
        <w:rPr>
          <w:rFonts w:eastAsia="Calibri"/>
          <w:sz w:val="22"/>
          <w:lang w:val="en-US"/>
        </w:rPr>
        <w:t xml:space="preserve">through the municipalities, </w:t>
      </w:r>
      <w:r w:rsidRPr="00D17408">
        <w:rPr>
          <w:sz w:val="22"/>
        </w:rPr>
        <w:t>provide</w:t>
      </w:r>
      <w:r w:rsidRPr="00D17408">
        <w:rPr>
          <w:sz w:val="22"/>
          <w:lang w:val="en-US"/>
        </w:rPr>
        <w:t>s</w:t>
      </w:r>
      <w:r w:rsidRPr="00D17408">
        <w:rPr>
          <w:sz w:val="22"/>
        </w:rPr>
        <w:t xml:space="preserve"> assistance to the </w:t>
      </w:r>
      <w:r w:rsidRPr="00D17408">
        <w:rPr>
          <w:sz w:val="22"/>
          <w:lang w:val="en-ZA"/>
        </w:rPr>
        <w:t>families</w:t>
      </w:r>
      <w:r w:rsidRPr="00D17408">
        <w:rPr>
          <w:sz w:val="22"/>
        </w:rPr>
        <w:t xml:space="preserve"> of persons who were affected by shack fires</w:t>
      </w:r>
      <w:r w:rsidRPr="00D17408">
        <w:rPr>
          <w:rFonts w:eastAsia="Calibri"/>
          <w:sz w:val="22"/>
          <w:lang w:val="en-US"/>
        </w:rPr>
        <w:t>. The Programme involves</w:t>
      </w:r>
      <w:r w:rsidRPr="00D17408">
        <w:rPr>
          <w:rFonts w:eastAsia="Calibri"/>
          <w:sz w:val="22"/>
          <w:lang w:val="en-ZA"/>
        </w:rPr>
        <w:t xml:space="preserve"> fast</w:t>
      </w:r>
      <w:r w:rsidRPr="00C309C3">
        <w:rPr>
          <w:rFonts w:eastAsia="Calibri"/>
          <w:sz w:val="22"/>
          <w:lang w:val="en-ZA"/>
        </w:rPr>
        <w:t xml:space="preserve"> tracking the provision of security of tenure, basic municipal services, social and economic amenities and the empowerment of residents in informal settlements to take control of housing development directly applicable to them. The grants include the Human Settlements Development Grant (HSDG) as well as the Urban Settlements Development Grant (USDG).</w:t>
      </w:r>
    </w:p>
    <w:p w:rsidR="001B3DBF" w:rsidRPr="00C309C3" w:rsidRDefault="001B3DBF" w:rsidP="001B3DBF">
      <w:pPr>
        <w:autoSpaceDE w:val="0"/>
        <w:autoSpaceDN w:val="0"/>
        <w:adjustRightInd w:val="0"/>
        <w:spacing w:line="360" w:lineRule="auto"/>
        <w:ind w:left="720" w:hanging="720"/>
        <w:jc w:val="both"/>
        <w:rPr>
          <w:rFonts w:eastAsia="Calibri"/>
          <w:sz w:val="22"/>
          <w:lang w:val="en-ZA"/>
        </w:rPr>
      </w:pPr>
    </w:p>
    <w:p w:rsidR="001B3DBF" w:rsidRPr="00C309C3" w:rsidRDefault="001B3DBF" w:rsidP="001B3DBF">
      <w:pPr>
        <w:autoSpaceDE w:val="0"/>
        <w:autoSpaceDN w:val="0"/>
        <w:adjustRightInd w:val="0"/>
        <w:spacing w:line="360" w:lineRule="auto"/>
        <w:ind w:left="720" w:hanging="720"/>
        <w:jc w:val="both"/>
        <w:rPr>
          <w:rFonts w:eastAsia="Calibri"/>
          <w:sz w:val="22"/>
          <w:lang w:val="en-ZA"/>
        </w:rPr>
      </w:pPr>
      <w:r w:rsidRPr="00C309C3">
        <w:rPr>
          <w:rFonts w:eastAsia="Calibri"/>
          <w:sz w:val="22"/>
          <w:lang w:val="en-ZA"/>
        </w:rPr>
        <w:tab/>
        <w:t>In the case of where a fire destroys a “shack”, the relevant grants provided by the Department are flexible enough to allow for the reconstruction and/or construction of temporary housing and related relief for households to recover from the effects of a fire. This includes the enlisting of the support of Departments of Social Development and Home Affairs and private donors to support recovery efforts.</w:t>
      </w:r>
    </w:p>
    <w:p w:rsidR="001B3DBF" w:rsidRPr="00C309C3" w:rsidRDefault="001B3DBF" w:rsidP="001B3DBF">
      <w:pPr>
        <w:autoSpaceDE w:val="0"/>
        <w:autoSpaceDN w:val="0"/>
        <w:adjustRightInd w:val="0"/>
        <w:spacing w:line="360" w:lineRule="auto"/>
        <w:jc w:val="both"/>
        <w:rPr>
          <w:rFonts w:eastAsia="Calibri"/>
          <w:sz w:val="22"/>
          <w:lang w:val="en-ZA"/>
        </w:rPr>
      </w:pPr>
    </w:p>
    <w:p w:rsidR="001B3DBF" w:rsidRPr="00C309C3" w:rsidRDefault="001B3DBF" w:rsidP="001B3DBF">
      <w:pPr>
        <w:autoSpaceDE w:val="0"/>
        <w:autoSpaceDN w:val="0"/>
        <w:adjustRightInd w:val="0"/>
        <w:spacing w:line="360" w:lineRule="auto"/>
        <w:ind w:left="720"/>
        <w:jc w:val="both"/>
        <w:rPr>
          <w:rFonts w:eastAsia="Calibri"/>
          <w:sz w:val="22"/>
          <w:lang w:val="en-ZA"/>
        </w:rPr>
      </w:pPr>
      <w:r w:rsidRPr="00C309C3">
        <w:rPr>
          <w:rFonts w:eastAsia="Calibri"/>
          <w:sz w:val="22"/>
          <w:lang w:val="en-ZA"/>
        </w:rPr>
        <w:t xml:space="preserve">In the Metropolitan areas the Department in conjunction with the Metropolitan Municipalities are funding the roll-out of solar lighting as well as improved cooking facilities for households, in order to limit the use of fossil fuels and liquid fuels, which are a major cause of fires in informal settlements.  </w:t>
      </w:r>
    </w:p>
    <w:p w:rsidR="001B3DBF" w:rsidRPr="005A3932" w:rsidRDefault="001B3DBF" w:rsidP="001B3DBF">
      <w:pPr>
        <w:pStyle w:val="B"/>
        <w:spacing w:line="360" w:lineRule="auto"/>
        <w:ind w:left="720" w:hanging="720"/>
        <w:jc w:val="both"/>
        <w:rPr>
          <w:sz w:val="24"/>
          <w:szCs w:val="24"/>
        </w:rPr>
      </w:pPr>
    </w:p>
    <w:sectPr w:rsidR="001B3DBF" w:rsidRPr="005A3932" w:rsidSect="001B3DBF">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47" w:rsidRDefault="002C1247" w:rsidP="001B3DBF">
      <w:r>
        <w:separator/>
      </w:r>
    </w:p>
  </w:endnote>
  <w:endnote w:type="continuationSeparator" w:id="0">
    <w:p w:rsidR="002C1247" w:rsidRDefault="002C1247" w:rsidP="001B3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47" w:rsidRDefault="002C1247" w:rsidP="001B3DBF">
      <w:r>
        <w:separator/>
      </w:r>
    </w:p>
  </w:footnote>
  <w:footnote w:type="continuationSeparator" w:id="0">
    <w:p w:rsidR="002C1247" w:rsidRDefault="002C1247" w:rsidP="001B3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BF" w:rsidRPr="00526E7D" w:rsidRDefault="001B3DBF" w:rsidP="001B3DBF">
    <w:pPr>
      <w:pStyle w:val="Header"/>
      <w:jc w:val="right"/>
    </w:pPr>
    <w:r w:rsidRPr="00526E7D">
      <w:t xml:space="preserve">Question </w:t>
    </w:r>
    <w:r>
      <w:t xml:space="preserve">4211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71F75C6F"/>
    <w:multiLevelType w:val="hybridMultilevel"/>
    <w:tmpl w:val="2EC0F4DC"/>
    <w:lvl w:ilvl="0">
      <w:start w:val="3"/>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77845E0E"/>
    <w:multiLevelType w:val="hybridMultilevel"/>
    <w:tmpl w:val="169C9E5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1B3DBF"/>
    <w:rsid w:val="00222597"/>
    <w:rsid w:val="002C1247"/>
    <w:rsid w:val="00471226"/>
    <w:rsid w:val="00477A2C"/>
    <w:rsid w:val="00D174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
    <w:name w:val="B"/>
    <w:uiPriority w:val="1"/>
    <w:qFormat/>
    <w:rsid w:val="005A3932"/>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2016-02-05T11:00:00Z</dcterms:created>
  <dcterms:modified xsi:type="dcterms:W3CDTF">2016-02-05T11:00:00Z</dcterms:modified>
</cp:coreProperties>
</file>