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BC" w:rsidRPr="004722F6" w:rsidRDefault="00A744BC" w:rsidP="004722F6">
      <w:pPr>
        <w:rPr>
          <w:rFonts w:ascii="Arial" w:hAnsi="Arial" w:cs="Arial"/>
        </w:rPr>
      </w:pPr>
    </w:p>
    <w:p w:rsidR="00A744BC" w:rsidRDefault="00A744BC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348408" r:id="rId8"/>
        </w:pict>
      </w:r>
    </w:p>
    <w:p w:rsidR="00A744BC" w:rsidRDefault="00A744BC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744BC" w:rsidRDefault="00A744BC" w:rsidP="00A36976">
      <w:pPr>
        <w:rPr>
          <w:rFonts w:ascii="Arial" w:hAnsi="Arial" w:cs="Arial"/>
        </w:rPr>
      </w:pPr>
    </w:p>
    <w:p w:rsidR="00A744BC" w:rsidRDefault="00A744BC" w:rsidP="00A36976">
      <w:pPr>
        <w:rPr>
          <w:rFonts w:ascii="Arial" w:hAnsi="Arial" w:cs="Arial"/>
        </w:rPr>
      </w:pPr>
    </w:p>
    <w:p w:rsidR="00A744BC" w:rsidRPr="0059608D" w:rsidRDefault="00A744BC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744BC" w:rsidRPr="0059608D" w:rsidRDefault="00A744BC" w:rsidP="00A36976">
      <w:pPr>
        <w:jc w:val="center"/>
        <w:rPr>
          <w:rFonts w:ascii="Calibri" w:hAnsi="Calibri"/>
          <w:sz w:val="26"/>
          <w:szCs w:val="26"/>
        </w:rPr>
      </w:pPr>
    </w:p>
    <w:p w:rsidR="00A744BC" w:rsidRPr="0059608D" w:rsidRDefault="00A744BC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A744BC" w:rsidRPr="0059608D" w:rsidRDefault="00A744BC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A744BC" w:rsidRPr="0059608D" w:rsidRDefault="00A744BC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A744BC" w:rsidRPr="0059608D" w:rsidRDefault="00A744BC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A744BC" w:rsidRPr="0059608D" w:rsidRDefault="00A744BC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A744BC" w:rsidRDefault="00A744BC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A744BC" w:rsidRPr="001C0A92" w:rsidRDefault="00A744BC" w:rsidP="0007331B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1C0A9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205</w:t>
      </w:r>
      <w:r w:rsidRPr="001C0A92">
        <w:rPr>
          <w:rFonts w:ascii="Arial" w:hAnsi="Arial" w:cs="Arial"/>
          <w:b/>
        </w:rPr>
        <w:t>.</w:t>
      </w:r>
      <w:r w:rsidRPr="001C0A9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Mr SJF Marais (DA) to ask the Minister of Defence and Military Veterans: (Interdepartmental transfer from Human Settlements on 1 December 2015)</w:t>
      </w:r>
    </w:p>
    <w:p w:rsidR="00A744BC" w:rsidRPr="001C0A92" w:rsidRDefault="00A744BC" w:rsidP="0007331B">
      <w:pPr>
        <w:pStyle w:val="NormalWeb"/>
        <w:ind w:left="1440" w:hanging="589"/>
        <w:jc w:val="both"/>
        <w:rPr>
          <w:rFonts w:ascii="Arial" w:hAnsi="Arial" w:cs="Arial"/>
          <w:bCs/>
        </w:rPr>
      </w:pPr>
      <w:r w:rsidRPr="001C0A92">
        <w:rPr>
          <w:rFonts w:ascii="Arial" w:hAnsi="Arial" w:cs="Arial"/>
        </w:rPr>
        <w:t>(1)</w:t>
      </w:r>
      <w:r w:rsidRPr="001C0A92">
        <w:rPr>
          <w:rFonts w:ascii="Arial" w:hAnsi="Arial" w:cs="Arial"/>
        </w:rPr>
        <w:tab/>
      </w:r>
      <w:r>
        <w:rPr>
          <w:rFonts w:ascii="Arial" w:hAnsi="Arial" w:cs="Arial"/>
          <w:bCs/>
        </w:rPr>
        <w:t>whether she table the Special Defence Account’s annual financial statements in Parliament as required by the annual Appropriations Act in each financial year since the account became operational; if not; if so, (a) when was the last financial statement tabled in this regard and (b) when will the next financial statement be tabled?</w:t>
      </w:r>
    </w:p>
    <w:p w:rsidR="00A744BC" w:rsidRPr="00551AD4" w:rsidRDefault="00A744BC" w:rsidP="0007331B">
      <w:pPr>
        <w:pStyle w:val="NormalWeb"/>
        <w:ind w:left="1440" w:hanging="589"/>
        <w:jc w:val="both"/>
        <w:rPr>
          <w:rFonts w:ascii="Arial" w:hAnsi="Arial" w:cs="Arial"/>
          <w:sz w:val="20"/>
          <w:szCs w:val="20"/>
          <w:u w:val="single"/>
        </w:rPr>
      </w:pPr>
    </w:p>
    <w:p w:rsidR="00A744BC" w:rsidRDefault="00A744BC" w:rsidP="0007331B">
      <w:pPr>
        <w:pStyle w:val="NormalWeb"/>
        <w:ind w:left="1440" w:hanging="589"/>
        <w:jc w:val="both"/>
        <w:rPr>
          <w:rFonts w:ascii="Arial" w:hAnsi="Arial" w:cs="Arial"/>
          <w:b/>
          <w:color w:val="C00000"/>
          <w:u w:val="single"/>
        </w:rPr>
      </w:pPr>
      <w:r>
        <w:rPr>
          <w:rFonts w:ascii="Arial" w:hAnsi="Arial" w:cs="Arial"/>
          <w:b/>
          <w:color w:val="C00000"/>
          <w:u w:val="single"/>
        </w:rPr>
        <w:t>REPLY:</w:t>
      </w:r>
    </w:p>
    <w:p w:rsidR="00A744BC" w:rsidRDefault="00A744BC" w:rsidP="00CA5E7E">
      <w:pPr>
        <w:pStyle w:val="NormalWeb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Yes, Annual financial statements of the Special Defence Account (SDA) were always tabled with the Annual report of the Department </w:t>
      </w:r>
      <w:r w:rsidRPr="002560F1">
        <w:rPr>
          <w:rFonts w:ascii="Arial" w:hAnsi="Arial" w:cs="Arial"/>
        </w:rPr>
        <w:t>of Defence</w:t>
      </w:r>
      <w:r>
        <w:rPr>
          <w:rFonts w:ascii="Arial" w:hAnsi="Arial" w:cs="Arial"/>
        </w:rPr>
        <w:t xml:space="preserve"> as required by the Appropriations Act, and the last SDA Annual financial statements for the 2014/15 financial year were tabled in Parliament on 29 September 2015 with the tabling of the annual report of the Department </w:t>
      </w:r>
      <w:r w:rsidRPr="002560F1">
        <w:rPr>
          <w:rFonts w:ascii="Arial" w:hAnsi="Arial" w:cs="Arial"/>
        </w:rPr>
        <w:t>of Defence.</w:t>
      </w:r>
      <w:bookmarkStart w:id="0" w:name="_GoBack"/>
      <w:bookmarkEnd w:id="0"/>
    </w:p>
    <w:p w:rsidR="00A744BC" w:rsidRPr="00551AD4" w:rsidRDefault="00A744BC" w:rsidP="00551AD4">
      <w:pPr>
        <w:pStyle w:val="NormalWeb"/>
        <w:ind w:left="1211"/>
        <w:jc w:val="both"/>
        <w:rPr>
          <w:rFonts w:ascii="Arial" w:hAnsi="Arial" w:cs="Arial"/>
        </w:rPr>
      </w:pPr>
    </w:p>
    <w:p w:rsidR="00A744BC" w:rsidRDefault="00A744BC" w:rsidP="00280B7B">
      <w:pPr>
        <w:pStyle w:val="NormalWeb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next Annual financial statement of the SDA will be for the financial year 2015/16, and the tabling thereof will be done with the tabling of the Annual Report after the financial statements have been completed and audited, which is usually around September/October each year</w:t>
      </w:r>
    </w:p>
    <w:p w:rsidR="00A744BC" w:rsidRPr="00280B7B" w:rsidRDefault="00A744BC" w:rsidP="00551AD4">
      <w:pPr>
        <w:pStyle w:val="NormalWeb"/>
        <w:ind w:left="1211"/>
        <w:jc w:val="both"/>
        <w:rPr>
          <w:rFonts w:ascii="Arial" w:hAnsi="Arial" w:cs="Arial"/>
        </w:rPr>
      </w:pPr>
    </w:p>
    <w:p w:rsidR="00A744BC" w:rsidRPr="00BF0087" w:rsidRDefault="00A744BC" w:rsidP="00CA5E7E">
      <w:pPr>
        <w:pStyle w:val="NormalWeb"/>
        <w:ind w:left="1211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DATE OF SUBMISSION:  12 DECEMBER 2015</w:t>
      </w:r>
    </w:p>
    <w:sectPr w:rsidR="00A744BC" w:rsidRPr="00BF0087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BC" w:rsidRDefault="00A744BC">
      <w:r>
        <w:separator/>
      </w:r>
    </w:p>
  </w:endnote>
  <w:endnote w:type="continuationSeparator" w:id="0">
    <w:p w:rsidR="00A744BC" w:rsidRDefault="00A7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BC" w:rsidRDefault="00A744BC">
      <w:r>
        <w:separator/>
      </w:r>
    </w:p>
  </w:footnote>
  <w:footnote w:type="continuationSeparator" w:id="0">
    <w:p w:rsidR="00A744BC" w:rsidRDefault="00A74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6B4ED8"/>
    <w:multiLevelType w:val="hybridMultilevel"/>
    <w:tmpl w:val="BE66C814"/>
    <w:lvl w:ilvl="0" w:tplc="5052B8B0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3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1C52E0F"/>
    <w:multiLevelType w:val="hybridMultilevel"/>
    <w:tmpl w:val="828A826A"/>
    <w:lvl w:ilvl="0" w:tplc="5128DD68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5"/>
  </w:num>
  <w:num w:numId="3">
    <w:abstractNumId w:val="5"/>
  </w:num>
  <w:num w:numId="4">
    <w:abstractNumId w:val="34"/>
  </w:num>
  <w:num w:numId="5">
    <w:abstractNumId w:val="25"/>
  </w:num>
  <w:num w:numId="6">
    <w:abstractNumId w:val="17"/>
  </w:num>
  <w:num w:numId="7">
    <w:abstractNumId w:val="22"/>
  </w:num>
  <w:num w:numId="8">
    <w:abstractNumId w:val="23"/>
  </w:num>
  <w:num w:numId="9">
    <w:abstractNumId w:val="14"/>
  </w:num>
  <w:num w:numId="10">
    <w:abstractNumId w:val="9"/>
  </w:num>
  <w:num w:numId="11">
    <w:abstractNumId w:val="24"/>
  </w:num>
  <w:num w:numId="12">
    <w:abstractNumId w:val="33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</w:num>
  <w:num w:numId="19">
    <w:abstractNumId w:val="19"/>
  </w:num>
  <w:num w:numId="20">
    <w:abstractNumId w:val="13"/>
  </w:num>
  <w:num w:numId="21">
    <w:abstractNumId w:val="28"/>
  </w:num>
  <w:num w:numId="22">
    <w:abstractNumId w:val="30"/>
  </w:num>
  <w:num w:numId="23">
    <w:abstractNumId w:val="2"/>
  </w:num>
  <w:num w:numId="24">
    <w:abstractNumId w:val="7"/>
  </w:num>
  <w:num w:numId="25">
    <w:abstractNumId w:val="29"/>
  </w:num>
  <w:num w:numId="26">
    <w:abstractNumId w:val="18"/>
  </w:num>
  <w:num w:numId="27">
    <w:abstractNumId w:val="4"/>
  </w:num>
  <w:num w:numId="28">
    <w:abstractNumId w:val="21"/>
  </w:num>
  <w:num w:numId="29">
    <w:abstractNumId w:val="11"/>
  </w:num>
  <w:num w:numId="30">
    <w:abstractNumId w:val="10"/>
  </w:num>
  <w:num w:numId="31">
    <w:abstractNumId w:val="36"/>
  </w:num>
  <w:num w:numId="32">
    <w:abstractNumId w:val="12"/>
  </w:num>
  <w:num w:numId="33">
    <w:abstractNumId w:val="31"/>
  </w:num>
  <w:num w:numId="34">
    <w:abstractNumId w:val="16"/>
  </w:num>
  <w:num w:numId="35">
    <w:abstractNumId w:val="8"/>
  </w:num>
  <w:num w:numId="36">
    <w:abstractNumId w:val="15"/>
  </w:num>
  <w:num w:numId="37">
    <w:abstractNumId w:val="20"/>
  </w:num>
  <w:num w:numId="38">
    <w:abstractNumId w:val="26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019FB"/>
    <w:rsid w:val="00016846"/>
    <w:rsid w:val="00016BB6"/>
    <w:rsid w:val="00054F7E"/>
    <w:rsid w:val="0006245B"/>
    <w:rsid w:val="0007331B"/>
    <w:rsid w:val="000822A5"/>
    <w:rsid w:val="000A47FB"/>
    <w:rsid w:val="000B5C14"/>
    <w:rsid w:val="000E46AC"/>
    <w:rsid w:val="00126531"/>
    <w:rsid w:val="001468E9"/>
    <w:rsid w:val="001556EF"/>
    <w:rsid w:val="00160C40"/>
    <w:rsid w:val="0016291F"/>
    <w:rsid w:val="001701DF"/>
    <w:rsid w:val="00190AF7"/>
    <w:rsid w:val="001967B1"/>
    <w:rsid w:val="001A2472"/>
    <w:rsid w:val="001A6BBC"/>
    <w:rsid w:val="001A6C84"/>
    <w:rsid w:val="001A73D2"/>
    <w:rsid w:val="001B28CB"/>
    <w:rsid w:val="001B42DA"/>
    <w:rsid w:val="001B6190"/>
    <w:rsid w:val="001C0A92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560F1"/>
    <w:rsid w:val="00261519"/>
    <w:rsid w:val="002634D6"/>
    <w:rsid w:val="00266B93"/>
    <w:rsid w:val="00266D98"/>
    <w:rsid w:val="002751B0"/>
    <w:rsid w:val="00280B7B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0A2E"/>
    <w:rsid w:val="00333386"/>
    <w:rsid w:val="00337A7C"/>
    <w:rsid w:val="00345E4A"/>
    <w:rsid w:val="003546F3"/>
    <w:rsid w:val="003571D8"/>
    <w:rsid w:val="00370E73"/>
    <w:rsid w:val="003759A5"/>
    <w:rsid w:val="00396992"/>
    <w:rsid w:val="003B3645"/>
    <w:rsid w:val="003B3A92"/>
    <w:rsid w:val="00427C8E"/>
    <w:rsid w:val="00433D41"/>
    <w:rsid w:val="00440681"/>
    <w:rsid w:val="00445EC0"/>
    <w:rsid w:val="00451B49"/>
    <w:rsid w:val="004555A4"/>
    <w:rsid w:val="004615A2"/>
    <w:rsid w:val="004722F6"/>
    <w:rsid w:val="0047261E"/>
    <w:rsid w:val="004E1435"/>
    <w:rsid w:val="00512E85"/>
    <w:rsid w:val="00524E6C"/>
    <w:rsid w:val="00540888"/>
    <w:rsid w:val="00545D85"/>
    <w:rsid w:val="00551AD4"/>
    <w:rsid w:val="005735AA"/>
    <w:rsid w:val="0059608D"/>
    <w:rsid w:val="005C1218"/>
    <w:rsid w:val="00605E36"/>
    <w:rsid w:val="00607BDA"/>
    <w:rsid w:val="006244B0"/>
    <w:rsid w:val="0063446D"/>
    <w:rsid w:val="006412DF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44F6C"/>
    <w:rsid w:val="00855833"/>
    <w:rsid w:val="0087583B"/>
    <w:rsid w:val="00883C24"/>
    <w:rsid w:val="008A2140"/>
    <w:rsid w:val="008A5730"/>
    <w:rsid w:val="008B3B93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6463F"/>
    <w:rsid w:val="00982872"/>
    <w:rsid w:val="00983E65"/>
    <w:rsid w:val="009A73A7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42475"/>
    <w:rsid w:val="00A52F6C"/>
    <w:rsid w:val="00A5685A"/>
    <w:rsid w:val="00A574BE"/>
    <w:rsid w:val="00A60E4B"/>
    <w:rsid w:val="00A744BC"/>
    <w:rsid w:val="00A843A1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A5504"/>
    <w:rsid w:val="00BB5CAE"/>
    <w:rsid w:val="00BB7CAA"/>
    <w:rsid w:val="00BD088E"/>
    <w:rsid w:val="00BD2BA9"/>
    <w:rsid w:val="00BE74E4"/>
    <w:rsid w:val="00BF0087"/>
    <w:rsid w:val="00C0190F"/>
    <w:rsid w:val="00C05042"/>
    <w:rsid w:val="00C114AD"/>
    <w:rsid w:val="00C2449B"/>
    <w:rsid w:val="00C24655"/>
    <w:rsid w:val="00C550F3"/>
    <w:rsid w:val="00C55F77"/>
    <w:rsid w:val="00C60DD3"/>
    <w:rsid w:val="00C93619"/>
    <w:rsid w:val="00CA5E7E"/>
    <w:rsid w:val="00CA636C"/>
    <w:rsid w:val="00CB4756"/>
    <w:rsid w:val="00CD7D90"/>
    <w:rsid w:val="00CE208E"/>
    <w:rsid w:val="00CE69D7"/>
    <w:rsid w:val="00CF53F2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54322"/>
    <w:rsid w:val="00F625EC"/>
    <w:rsid w:val="00F73C5F"/>
    <w:rsid w:val="00F90C04"/>
    <w:rsid w:val="00FB558D"/>
    <w:rsid w:val="00FC0F21"/>
    <w:rsid w:val="00FC4327"/>
    <w:rsid w:val="00FC5CAD"/>
    <w:rsid w:val="00FC6190"/>
    <w:rsid w:val="00FD0603"/>
    <w:rsid w:val="00FD2A4B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1100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2015-12-11T12:14:00Z</dcterms:created>
  <dcterms:modified xsi:type="dcterms:W3CDTF">2015-12-11T12:14:00Z</dcterms:modified>
</cp:coreProperties>
</file>