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BE13C3">
        <w:tc>
          <w:tcPr>
            <w:tcW w:w="9360" w:type="dxa"/>
          </w:tcPr>
          <w:p w:rsidR="00BE13C3" w:rsidRDefault="00BE13C3" w:rsidP="00BE13C3">
            <w:pPr>
              <w:jc w:val="center"/>
              <w:rPr>
                <w:rFonts w:cs="Arial"/>
                <w:b/>
              </w:rPr>
            </w:pPr>
          </w:p>
          <w:p w:rsidR="00BE13C3" w:rsidRPr="00B23F3E" w:rsidRDefault="00BE13C3" w:rsidP="00BE13C3">
            <w:pPr>
              <w:jc w:val="center"/>
              <w:rPr>
                <w:rFonts w:cs="Arial"/>
                <w:b/>
              </w:rPr>
            </w:pPr>
            <w:r w:rsidRPr="00B23F3E">
              <w:rPr>
                <w:rFonts w:cs="Arial"/>
                <w:b/>
              </w:rPr>
              <w:t xml:space="preserve">PARLIAMENT OF THE </w:t>
            </w:r>
            <w:smartTag w:uri="urn:schemas-microsoft-com:office:smarttags" w:element="place">
              <w:smartTag w:uri="urn:schemas-microsoft-com:office:smarttags" w:element="PlaceType">
                <w:r w:rsidRPr="00B23F3E">
                  <w:rPr>
                    <w:rFonts w:cs="Arial"/>
                    <w:b/>
                  </w:rPr>
                  <w:t>REPUBLIC</w:t>
                </w:r>
              </w:smartTag>
              <w:r w:rsidRPr="00B23F3E">
                <w:rPr>
                  <w:rFonts w:cs="Arial"/>
                  <w:b/>
                </w:rPr>
                <w:t xml:space="preserve"> OF </w:t>
              </w:r>
              <w:smartTag w:uri="urn:schemas-microsoft-com:office:smarttags" w:element="PlaceName">
                <w:r w:rsidRPr="00B23F3E">
                  <w:rPr>
                    <w:rFonts w:cs="Arial"/>
                    <w:b/>
                  </w:rPr>
                  <w:t>SOUTH AFRICA</w:t>
                </w:r>
              </w:smartTag>
            </w:smartTag>
          </w:p>
          <w:p w:rsidR="00BE13C3" w:rsidRDefault="00BE13C3" w:rsidP="00BE13C3">
            <w:pPr>
              <w:ind w:left="540" w:hanging="540"/>
              <w:jc w:val="center"/>
              <w:rPr>
                <w:rFonts w:cs="Arial"/>
                <w:b/>
              </w:rPr>
            </w:pPr>
            <w:r w:rsidRPr="00B23F3E">
              <w:rPr>
                <w:rFonts w:cs="Arial"/>
                <w:b/>
              </w:rPr>
              <w:t>NATIONAL ASSEMBLY</w:t>
            </w:r>
          </w:p>
          <w:p w:rsidR="00BE13C3" w:rsidRPr="00B23F3E" w:rsidRDefault="00BE13C3" w:rsidP="00BE13C3">
            <w:pPr>
              <w:ind w:left="540" w:hanging="540"/>
              <w:jc w:val="center"/>
              <w:rPr>
                <w:rFonts w:cs="Arial"/>
              </w:rPr>
            </w:pPr>
          </w:p>
        </w:tc>
      </w:tr>
    </w:tbl>
    <w:p w:rsidR="00BE13C3" w:rsidRDefault="00BE13C3" w:rsidP="00BE13C3">
      <w:pPr>
        <w:ind w:left="540" w:hanging="540"/>
        <w:rPr>
          <w:rFonts w:cs="Arial"/>
        </w:rPr>
      </w:pPr>
    </w:p>
    <w:p w:rsidR="00BE13C3" w:rsidRPr="00B23F3E" w:rsidRDefault="00BE13C3" w:rsidP="00BE13C3">
      <w:pPr>
        <w:ind w:left="540" w:hanging="540"/>
        <w:jc w:val="center"/>
        <w:rPr>
          <w:rFonts w:cs="Arial"/>
          <w:b/>
          <w:u w:val="single"/>
        </w:rPr>
      </w:pPr>
      <w:r w:rsidRPr="00B23F3E">
        <w:rPr>
          <w:rFonts w:cs="Arial"/>
          <w:b/>
          <w:u w:val="single"/>
        </w:rPr>
        <w:t>FOR WRITTEN REPLY</w:t>
      </w:r>
    </w:p>
    <w:p w:rsidR="00BE13C3" w:rsidRDefault="00BE13C3" w:rsidP="00BE13C3">
      <w:pPr>
        <w:ind w:left="540" w:hanging="540"/>
        <w:jc w:val="center"/>
        <w:rPr>
          <w:rFonts w:cs="Arial"/>
          <w:b/>
          <w:u w:val="single"/>
        </w:rPr>
      </w:pPr>
    </w:p>
    <w:p w:rsidR="00BE13C3" w:rsidRDefault="00BE13C3" w:rsidP="00BE13C3">
      <w:pPr>
        <w:ind w:left="-1260"/>
        <w:jc w:val="both"/>
        <w:rPr>
          <w:rFonts w:cs="Arial"/>
        </w:rPr>
      </w:pPr>
    </w:p>
    <w:p w:rsidR="00BE13C3" w:rsidRPr="005C0DF6" w:rsidRDefault="00BE13C3" w:rsidP="00422D09">
      <w:pPr>
        <w:jc w:val="both"/>
        <w:rPr>
          <w:rFonts w:cs="Arial"/>
          <w:u w:val="single"/>
        </w:rPr>
      </w:pPr>
      <w:r w:rsidRPr="005C0DF6">
        <w:rPr>
          <w:rFonts w:cs="Arial"/>
          <w:b/>
          <w:u w:val="single"/>
        </w:rPr>
        <w:t xml:space="preserve">QUESTION NO: </w:t>
      </w:r>
      <w:r w:rsidR="005C0DF6" w:rsidRPr="005C0DF6">
        <w:rPr>
          <w:rFonts w:cs="Arial"/>
          <w:b/>
          <w:sz w:val="24"/>
          <w:szCs w:val="24"/>
          <w:u w:val="single"/>
        </w:rPr>
        <w:t>4198</w:t>
      </w:r>
    </w:p>
    <w:p w:rsidR="00BE13C3" w:rsidRDefault="00BE13C3" w:rsidP="00422D09">
      <w:pPr>
        <w:ind w:left="-1260"/>
        <w:jc w:val="both"/>
        <w:rPr>
          <w:rFonts w:cs="Arial"/>
        </w:rPr>
      </w:pPr>
    </w:p>
    <w:p w:rsidR="005C0DF6" w:rsidRPr="005C0DF6" w:rsidRDefault="005C0DF6" w:rsidP="00422D09">
      <w:pPr>
        <w:tabs>
          <w:tab w:val="left" w:pos="851"/>
        </w:tabs>
        <w:jc w:val="both"/>
        <w:rPr>
          <w:rFonts w:cs="Arial"/>
          <w:b/>
          <w:sz w:val="24"/>
          <w:szCs w:val="24"/>
        </w:rPr>
      </w:pPr>
      <w:r w:rsidRPr="005C0DF6">
        <w:rPr>
          <w:rFonts w:cs="Arial"/>
          <w:b/>
          <w:sz w:val="24"/>
          <w:szCs w:val="24"/>
        </w:rPr>
        <w:t>Mr J Selfe (DA) to ask the Minister of Justice and Correctional Services:</w:t>
      </w:r>
    </w:p>
    <w:p w:rsidR="00422D09" w:rsidRDefault="00422D09" w:rsidP="00422D09">
      <w:pPr>
        <w:ind w:left="567" w:hanging="567"/>
        <w:jc w:val="both"/>
        <w:outlineLvl w:val="0"/>
        <w:rPr>
          <w:rFonts w:cs="Arial"/>
          <w:sz w:val="24"/>
          <w:szCs w:val="24"/>
        </w:rPr>
      </w:pPr>
    </w:p>
    <w:p w:rsidR="005C0DF6" w:rsidRPr="005C0DF6" w:rsidRDefault="005C0DF6" w:rsidP="00422D09">
      <w:pPr>
        <w:ind w:left="567" w:hanging="567"/>
        <w:jc w:val="both"/>
        <w:outlineLvl w:val="0"/>
        <w:rPr>
          <w:rFonts w:cs="Arial"/>
          <w:sz w:val="24"/>
          <w:szCs w:val="24"/>
        </w:rPr>
      </w:pPr>
      <w:r w:rsidRPr="005C0DF6">
        <w:rPr>
          <w:rFonts w:cs="Arial"/>
          <w:sz w:val="24"/>
          <w:szCs w:val="24"/>
        </w:rPr>
        <w:t>(1)</w:t>
      </w:r>
      <w:r w:rsidRPr="005C0DF6">
        <w:rPr>
          <w:rFonts w:cs="Arial"/>
          <w:sz w:val="24"/>
          <w:szCs w:val="24"/>
        </w:rPr>
        <w:tab/>
        <w:t>(</w:t>
      </w:r>
      <w:proofErr w:type="gramStart"/>
      <w:r w:rsidRPr="005C0DF6">
        <w:rPr>
          <w:rFonts w:cs="Arial"/>
          <w:sz w:val="24"/>
          <w:szCs w:val="24"/>
        </w:rPr>
        <w:t>a</w:t>
      </w:r>
      <w:proofErr w:type="gramEnd"/>
      <w:r w:rsidRPr="005C0DF6">
        <w:rPr>
          <w:rFonts w:cs="Arial"/>
          <w:sz w:val="24"/>
          <w:szCs w:val="24"/>
        </w:rPr>
        <w:t>) What is the minimum period that an offender sentenced to life imprisonment before 30 September 2004 has to serve before becoming eligible for parole and (b) which (i) section of (ii) which Correctional Services Act is relied upon in this regard;</w:t>
      </w:r>
    </w:p>
    <w:p w:rsidR="00422D09" w:rsidRDefault="00422D09" w:rsidP="00422D09">
      <w:pPr>
        <w:ind w:left="567" w:hanging="567"/>
        <w:jc w:val="both"/>
        <w:outlineLvl w:val="0"/>
        <w:rPr>
          <w:rFonts w:cs="Arial"/>
          <w:color w:val="000000"/>
          <w:sz w:val="24"/>
          <w:szCs w:val="24"/>
        </w:rPr>
      </w:pPr>
    </w:p>
    <w:p w:rsidR="005C0DF6" w:rsidRPr="005C0DF6" w:rsidRDefault="005C0DF6" w:rsidP="00422D09">
      <w:pPr>
        <w:ind w:left="567" w:hanging="567"/>
        <w:jc w:val="both"/>
        <w:outlineLvl w:val="0"/>
        <w:rPr>
          <w:rFonts w:cs="Arial"/>
          <w:color w:val="000000"/>
          <w:sz w:val="24"/>
          <w:szCs w:val="24"/>
        </w:rPr>
      </w:pPr>
      <w:r w:rsidRPr="005C0DF6">
        <w:rPr>
          <w:rFonts w:cs="Arial"/>
          <w:color w:val="000000"/>
          <w:sz w:val="24"/>
          <w:szCs w:val="24"/>
        </w:rPr>
        <w:t>(2)</w:t>
      </w:r>
      <w:r w:rsidRPr="005C0DF6">
        <w:rPr>
          <w:rFonts w:cs="Arial"/>
          <w:color w:val="000000"/>
          <w:sz w:val="24"/>
          <w:szCs w:val="24"/>
        </w:rPr>
        <w:tab/>
      </w:r>
      <w:proofErr w:type="gramStart"/>
      <w:r w:rsidRPr="005C0DF6">
        <w:rPr>
          <w:rFonts w:cs="Arial"/>
          <w:color w:val="000000"/>
          <w:sz w:val="24"/>
          <w:szCs w:val="24"/>
        </w:rPr>
        <w:t>whether</w:t>
      </w:r>
      <w:proofErr w:type="gramEnd"/>
      <w:r w:rsidRPr="005C0DF6">
        <w:rPr>
          <w:rFonts w:cs="Arial"/>
          <w:color w:val="000000"/>
          <w:sz w:val="24"/>
          <w:szCs w:val="24"/>
        </w:rPr>
        <w:t xml:space="preserve"> a certain offender (</w:t>
      </w:r>
      <w:r w:rsidR="009B210A">
        <w:rPr>
          <w:rFonts w:cs="Arial"/>
          <w:i/>
          <w:color w:val="000000"/>
          <w:sz w:val="24"/>
          <w:szCs w:val="24"/>
        </w:rPr>
        <w:t>details furnished</w:t>
      </w:r>
      <w:r w:rsidRPr="005C0DF6">
        <w:rPr>
          <w:rFonts w:cs="Arial"/>
          <w:color w:val="000000"/>
          <w:sz w:val="24"/>
          <w:szCs w:val="24"/>
        </w:rPr>
        <w:t xml:space="preserve">) who is </w:t>
      </w:r>
      <w:r w:rsidRPr="005C0DF6">
        <w:rPr>
          <w:rFonts w:cs="Arial"/>
          <w:sz w:val="24"/>
          <w:szCs w:val="24"/>
        </w:rPr>
        <w:t>incarcerated</w:t>
      </w:r>
      <w:r w:rsidRPr="005C0DF6">
        <w:rPr>
          <w:rFonts w:cs="Arial"/>
          <w:color w:val="000000"/>
          <w:sz w:val="24"/>
          <w:szCs w:val="24"/>
        </w:rPr>
        <w:t xml:space="preserve"> at the Qalakabusha Correctional Centre in </w:t>
      </w:r>
      <w:smartTag w:uri="urn:schemas-microsoft-com:office:smarttags" w:element="State">
        <w:smartTag w:uri="urn:schemas-microsoft-com:office:smarttags" w:element="place">
          <w:r w:rsidRPr="005C0DF6">
            <w:rPr>
              <w:rFonts w:cs="Arial"/>
              <w:color w:val="000000"/>
              <w:sz w:val="24"/>
              <w:szCs w:val="24"/>
            </w:rPr>
            <w:t>KwaZulu-Natal</w:t>
          </w:r>
        </w:smartTag>
      </w:smartTag>
      <w:r w:rsidRPr="005C0DF6">
        <w:rPr>
          <w:rFonts w:cs="Arial"/>
          <w:color w:val="000000"/>
          <w:sz w:val="24"/>
          <w:szCs w:val="24"/>
        </w:rPr>
        <w:t xml:space="preserve"> is eligible for placement on parole; if not, why not; if so, </w:t>
      </w:r>
    </w:p>
    <w:p w:rsidR="00422D09" w:rsidRDefault="00422D09" w:rsidP="00422D09">
      <w:pPr>
        <w:ind w:left="567" w:hanging="567"/>
        <w:jc w:val="both"/>
        <w:outlineLvl w:val="0"/>
        <w:rPr>
          <w:rFonts w:cs="Arial"/>
          <w:color w:val="000000"/>
          <w:sz w:val="24"/>
          <w:szCs w:val="24"/>
        </w:rPr>
      </w:pPr>
    </w:p>
    <w:p w:rsidR="005C0DF6" w:rsidRPr="005C0DF6" w:rsidRDefault="005C0DF6" w:rsidP="00422D09">
      <w:pPr>
        <w:ind w:left="567" w:hanging="567"/>
        <w:jc w:val="both"/>
        <w:outlineLvl w:val="0"/>
        <w:rPr>
          <w:rFonts w:cs="Arial"/>
          <w:color w:val="000000"/>
          <w:sz w:val="24"/>
          <w:szCs w:val="24"/>
        </w:rPr>
      </w:pPr>
      <w:r w:rsidRPr="005C0DF6">
        <w:rPr>
          <w:rFonts w:cs="Arial"/>
          <w:color w:val="000000"/>
          <w:sz w:val="24"/>
          <w:szCs w:val="24"/>
        </w:rPr>
        <w:t>3)</w:t>
      </w:r>
      <w:r w:rsidRPr="005C0DF6">
        <w:rPr>
          <w:rFonts w:cs="Arial"/>
          <w:color w:val="000000"/>
          <w:sz w:val="24"/>
          <w:szCs w:val="24"/>
        </w:rPr>
        <w:tab/>
      </w:r>
      <w:proofErr w:type="gramStart"/>
      <w:r w:rsidRPr="005C0DF6">
        <w:rPr>
          <w:rFonts w:cs="Arial"/>
          <w:sz w:val="24"/>
          <w:szCs w:val="24"/>
        </w:rPr>
        <w:t>whether</w:t>
      </w:r>
      <w:proofErr w:type="gramEnd"/>
      <w:r w:rsidRPr="005C0DF6">
        <w:rPr>
          <w:rFonts w:cs="Arial"/>
          <w:color w:val="000000"/>
          <w:sz w:val="24"/>
          <w:szCs w:val="24"/>
        </w:rPr>
        <w:t xml:space="preserve"> he has received any applications for parole from the specified offender; if not, what is the position in this regard; if so, </w:t>
      </w:r>
    </w:p>
    <w:p w:rsidR="00422D09" w:rsidRDefault="00422D09" w:rsidP="00422D09">
      <w:pPr>
        <w:ind w:left="567" w:hanging="567"/>
        <w:jc w:val="both"/>
        <w:outlineLvl w:val="0"/>
        <w:rPr>
          <w:rFonts w:cs="Arial"/>
          <w:color w:val="000000"/>
          <w:sz w:val="24"/>
          <w:szCs w:val="24"/>
        </w:rPr>
      </w:pPr>
    </w:p>
    <w:p w:rsidR="005C0DF6" w:rsidRPr="005C0DF6" w:rsidRDefault="005C0DF6" w:rsidP="00422D09">
      <w:pPr>
        <w:ind w:left="567" w:hanging="567"/>
        <w:jc w:val="both"/>
        <w:outlineLvl w:val="0"/>
        <w:rPr>
          <w:rFonts w:cs="Arial"/>
          <w:sz w:val="20"/>
          <w:szCs w:val="20"/>
        </w:rPr>
      </w:pPr>
      <w:r w:rsidRPr="005C0DF6">
        <w:rPr>
          <w:rFonts w:cs="Arial"/>
          <w:color w:val="000000"/>
          <w:sz w:val="24"/>
          <w:szCs w:val="24"/>
        </w:rPr>
        <w:t>(4)</w:t>
      </w:r>
      <w:r w:rsidRPr="005C0DF6">
        <w:rPr>
          <w:rFonts w:cs="Arial"/>
          <w:color w:val="000000"/>
          <w:sz w:val="24"/>
          <w:szCs w:val="24"/>
        </w:rPr>
        <w:tab/>
      </w:r>
      <w:proofErr w:type="gramStart"/>
      <w:r w:rsidRPr="005C0DF6">
        <w:rPr>
          <w:rFonts w:cs="Arial"/>
          <w:color w:val="000000"/>
          <w:sz w:val="24"/>
          <w:szCs w:val="24"/>
        </w:rPr>
        <w:t>whether</w:t>
      </w:r>
      <w:proofErr w:type="gramEnd"/>
      <w:r w:rsidRPr="005C0DF6">
        <w:rPr>
          <w:rFonts w:cs="Arial"/>
          <w:color w:val="000000"/>
          <w:sz w:val="24"/>
          <w:szCs w:val="24"/>
        </w:rPr>
        <w:t xml:space="preserve"> he considered the specified offender’s application for parole; if not, </w:t>
      </w:r>
      <w:r w:rsidRPr="005C0DF6">
        <w:rPr>
          <w:rFonts w:cs="Arial"/>
          <w:sz w:val="24"/>
          <w:szCs w:val="24"/>
        </w:rPr>
        <w:t>why</w:t>
      </w:r>
      <w:r w:rsidRPr="005C0DF6">
        <w:rPr>
          <w:rFonts w:cs="Arial"/>
          <w:color w:val="000000"/>
          <w:sz w:val="24"/>
          <w:szCs w:val="24"/>
        </w:rPr>
        <w:t xml:space="preserve"> not; if so, what are the relevant details of the outcome?</w:t>
      </w:r>
      <w:r w:rsidRPr="005C0DF6">
        <w:rPr>
          <w:rFonts w:cs="Arial"/>
          <w:color w:val="000000"/>
          <w:sz w:val="24"/>
          <w:szCs w:val="24"/>
        </w:rPr>
        <w:tab/>
      </w:r>
      <w:r>
        <w:rPr>
          <w:rFonts w:cs="Arial"/>
          <w:sz w:val="24"/>
          <w:szCs w:val="24"/>
        </w:rPr>
        <w:tab/>
      </w:r>
      <w:r>
        <w:rPr>
          <w:rFonts w:cs="Arial"/>
          <w:sz w:val="24"/>
          <w:szCs w:val="24"/>
        </w:rPr>
        <w:tab/>
      </w:r>
      <w:r w:rsidRPr="005C0DF6">
        <w:rPr>
          <w:rFonts w:cs="Arial"/>
          <w:sz w:val="20"/>
          <w:szCs w:val="20"/>
        </w:rPr>
        <w:t>NW5074E</w:t>
      </w:r>
    </w:p>
    <w:p w:rsidR="00B875C1" w:rsidRDefault="00B875C1" w:rsidP="00422D09"/>
    <w:p w:rsidR="005C0DF6" w:rsidRPr="005C0DF6" w:rsidRDefault="005C0DF6">
      <w:pPr>
        <w:rPr>
          <w:b/>
        </w:rPr>
      </w:pPr>
      <w:r w:rsidRPr="005C0DF6">
        <w:rPr>
          <w:b/>
        </w:rPr>
        <w:t>REPLY:</w:t>
      </w:r>
    </w:p>
    <w:p w:rsidR="005C0DF6" w:rsidRDefault="005C0DF6"/>
    <w:p w:rsidR="009B210A" w:rsidRPr="005D6A36" w:rsidRDefault="009B210A" w:rsidP="009B210A">
      <w:pPr>
        <w:spacing w:before="120"/>
        <w:ind w:left="709" w:hanging="709"/>
        <w:jc w:val="both"/>
        <w:rPr>
          <w:sz w:val="24"/>
          <w:szCs w:val="24"/>
        </w:rPr>
      </w:pPr>
      <w:r w:rsidRPr="005D6A36">
        <w:rPr>
          <w:rFonts w:cs="Arial"/>
          <w:color w:val="000000"/>
          <w:sz w:val="24"/>
          <w:szCs w:val="24"/>
        </w:rPr>
        <w:t>(1)(a)</w:t>
      </w:r>
      <w:r w:rsidRPr="005D6A36">
        <w:rPr>
          <w:rFonts w:cs="Arial"/>
          <w:color w:val="000000"/>
          <w:sz w:val="24"/>
          <w:szCs w:val="24"/>
        </w:rPr>
        <w:tab/>
      </w:r>
      <w:r w:rsidR="005D6A36" w:rsidRPr="005D6A36">
        <w:rPr>
          <w:rFonts w:cs="Arial"/>
          <w:color w:val="000000"/>
          <w:sz w:val="24"/>
          <w:szCs w:val="24"/>
        </w:rPr>
        <w:t>According to the Correctional Services Act, Act 111 of 1998 o</w:t>
      </w:r>
      <w:r w:rsidRPr="005D6A36">
        <w:rPr>
          <w:rFonts w:cs="Arial"/>
          <w:color w:val="000000"/>
          <w:sz w:val="24"/>
          <w:szCs w:val="24"/>
        </w:rPr>
        <w:t xml:space="preserve">ffenders sentenced to life incarceration before 1 October 2004 had to serve a minimum detention period of 20 years before being eligible for consideration for placement on parole. However, on 15 July 2011 the North Gauteng High Court </w:t>
      </w:r>
      <w:r w:rsidRPr="005D6A36">
        <w:rPr>
          <w:rFonts w:eastAsia="Calibri" w:cs="Arial"/>
          <w:color w:val="000000"/>
          <w:sz w:val="24"/>
          <w:szCs w:val="24"/>
        </w:rPr>
        <w:t xml:space="preserve">handed down a judgment in the Van Wyk case which had the </w:t>
      </w:r>
      <w:r w:rsidRPr="005D6A36">
        <w:rPr>
          <w:rFonts w:cs="Arial"/>
          <w:color w:val="000000"/>
          <w:sz w:val="24"/>
          <w:szCs w:val="24"/>
        </w:rPr>
        <w:t>effect to change the minimum detention period for offenders sentenced to life incarceration before 1 October 2004 prior to them being eligible for consideration for placement on parole.</w:t>
      </w:r>
      <w:r w:rsidRPr="005D6A36">
        <w:rPr>
          <w:rFonts w:eastAsia="Calibri" w:cs="Arial"/>
          <w:color w:val="000000"/>
          <w:sz w:val="24"/>
          <w:szCs w:val="24"/>
        </w:rPr>
        <w:t xml:space="preserve"> The implication was that the previous credit system </w:t>
      </w:r>
      <w:r w:rsidR="005D6A36" w:rsidRPr="005D6A36">
        <w:rPr>
          <w:rFonts w:eastAsia="Calibri" w:cs="Arial"/>
          <w:color w:val="000000"/>
          <w:sz w:val="24"/>
          <w:szCs w:val="24"/>
        </w:rPr>
        <w:t>wa</w:t>
      </w:r>
      <w:r w:rsidRPr="005D6A36">
        <w:rPr>
          <w:rFonts w:eastAsia="Calibri" w:cs="Arial"/>
          <w:color w:val="000000"/>
          <w:sz w:val="24"/>
          <w:szCs w:val="24"/>
        </w:rPr>
        <w:t>s also applicable to those offenders sentenced to life sentences from 1 August 1993 up to 30 September 2004 and after allocation of the maximum number of credits advanced their consideration dates from 20 years to 13 years and 4 months.</w:t>
      </w:r>
    </w:p>
    <w:p w:rsidR="009B210A" w:rsidRPr="005D6A36" w:rsidRDefault="009B210A" w:rsidP="009B210A">
      <w:pPr>
        <w:ind w:left="567"/>
        <w:jc w:val="both"/>
        <w:rPr>
          <w:sz w:val="24"/>
          <w:szCs w:val="24"/>
        </w:rPr>
      </w:pPr>
    </w:p>
    <w:p w:rsidR="009B210A" w:rsidRPr="005D6A36" w:rsidRDefault="009B210A" w:rsidP="009B210A">
      <w:pPr>
        <w:ind w:left="1843" w:hanging="1843"/>
        <w:jc w:val="both"/>
        <w:rPr>
          <w:rFonts w:cs="Arial"/>
          <w:sz w:val="24"/>
          <w:szCs w:val="24"/>
        </w:rPr>
      </w:pPr>
      <w:r w:rsidRPr="005D6A36">
        <w:rPr>
          <w:sz w:val="24"/>
          <w:szCs w:val="24"/>
        </w:rPr>
        <w:t>(1)(b)(i) &amp; (ii)</w:t>
      </w:r>
      <w:r w:rsidRPr="005D6A36">
        <w:rPr>
          <w:sz w:val="24"/>
          <w:szCs w:val="24"/>
        </w:rPr>
        <w:tab/>
        <w:t xml:space="preserve">Section 63 of the Correctional Services Act, </w:t>
      </w:r>
      <w:r w:rsidR="005D6A36" w:rsidRPr="005D6A36">
        <w:rPr>
          <w:sz w:val="24"/>
          <w:szCs w:val="24"/>
        </w:rPr>
        <w:t xml:space="preserve">Act </w:t>
      </w:r>
      <w:r w:rsidRPr="005D6A36">
        <w:rPr>
          <w:sz w:val="24"/>
          <w:szCs w:val="24"/>
        </w:rPr>
        <w:t xml:space="preserve">8 of 1959; </w:t>
      </w:r>
      <w:r w:rsidRPr="005D6A36">
        <w:rPr>
          <w:rFonts w:cs="Arial"/>
          <w:sz w:val="24"/>
          <w:szCs w:val="24"/>
        </w:rPr>
        <w:t>and section 136 of the Correctional Services Act, No 111 of 1998 determines the minimum periods of sentence that must be served before consideration may be given for possible placement.</w:t>
      </w:r>
    </w:p>
    <w:p w:rsidR="009B210A" w:rsidRPr="005D6A36" w:rsidRDefault="009B210A" w:rsidP="009B210A">
      <w:pPr>
        <w:ind w:left="567"/>
        <w:jc w:val="both"/>
        <w:rPr>
          <w:rFonts w:cs="Arial"/>
          <w:sz w:val="24"/>
          <w:szCs w:val="24"/>
        </w:rPr>
      </w:pPr>
    </w:p>
    <w:p w:rsidR="009B210A" w:rsidRPr="004953C9" w:rsidRDefault="009B210A" w:rsidP="009B210A">
      <w:pPr>
        <w:tabs>
          <w:tab w:val="left" w:pos="567"/>
        </w:tabs>
        <w:ind w:left="567" w:hanging="567"/>
        <w:jc w:val="both"/>
        <w:rPr>
          <w:rFonts w:cs="Arial"/>
          <w:sz w:val="24"/>
          <w:szCs w:val="24"/>
        </w:rPr>
      </w:pPr>
      <w:r>
        <w:rPr>
          <w:rFonts w:cs="Arial"/>
          <w:sz w:val="24"/>
          <w:szCs w:val="24"/>
        </w:rPr>
        <w:t>(2)</w:t>
      </w:r>
      <w:r>
        <w:rPr>
          <w:rFonts w:cs="Arial"/>
          <w:sz w:val="24"/>
          <w:szCs w:val="24"/>
        </w:rPr>
        <w:tab/>
        <w:t xml:space="preserve">The mentioned offender was sentenced to life imprisonment on 11 January 2002 and is eligible for consideration for possible parole.  However, parole applications are submitted in accordance with and in compliance to section 42(2) (d) of the </w:t>
      </w:r>
      <w:r>
        <w:rPr>
          <w:rFonts w:cs="Arial"/>
          <w:sz w:val="24"/>
          <w:szCs w:val="24"/>
        </w:rPr>
        <w:lastRenderedPageBreak/>
        <w:t xml:space="preserve">Correctional Services Act, Act 111 of 1998, as amended.  As soon as the requirements of the aforementioned section </w:t>
      </w:r>
      <w:r w:rsidR="005D6A36">
        <w:rPr>
          <w:rFonts w:cs="Arial"/>
          <w:sz w:val="24"/>
          <w:szCs w:val="24"/>
        </w:rPr>
        <w:t>are</w:t>
      </w:r>
      <w:r>
        <w:rPr>
          <w:rFonts w:cs="Arial"/>
          <w:sz w:val="24"/>
          <w:szCs w:val="24"/>
        </w:rPr>
        <w:t xml:space="preserve"> complied with, the Case Management Committee will submit the profile report to th</w:t>
      </w:r>
      <w:r w:rsidR="005D6A36">
        <w:rPr>
          <w:rFonts w:cs="Arial"/>
          <w:sz w:val="24"/>
          <w:szCs w:val="24"/>
        </w:rPr>
        <w:t>e Correctional Supervision and</w:t>
      </w:r>
      <w:r>
        <w:rPr>
          <w:rFonts w:cs="Arial"/>
          <w:sz w:val="24"/>
          <w:szCs w:val="24"/>
        </w:rPr>
        <w:t xml:space="preserve"> Parole Board</w:t>
      </w:r>
      <w:r w:rsidR="005D6A36">
        <w:rPr>
          <w:rFonts w:cs="Arial"/>
          <w:sz w:val="24"/>
          <w:szCs w:val="24"/>
        </w:rPr>
        <w:t xml:space="preserve"> (CSPB). The CSPB will then ma</w:t>
      </w:r>
      <w:r w:rsidR="00422D09">
        <w:rPr>
          <w:rFonts w:cs="Arial"/>
          <w:sz w:val="24"/>
          <w:szCs w:val="24"/>
        </w:rPr>
        <w:t>k</w:t>
      </w:r>
      <w:r w:rsidR="005D6A36">
        <w:rPr>
          <w:rFonts w:cs="Arial"/>
          <w:sz w:val="24"/>
          <w:szCs w:val="24"/>
        </w:rPr>
        <w:t xml:space="preserve">e a submission to </w:t>
      </w:r>
      <w:r>
        <w:rPr>
          <w:rFonts w:cs="Arial"/>
          <w:sz w:val="24"/>
          <w:szCs w:val="24"/>
        </w:rPr>
        <w:t>the National Council for Correctional Services for a recommendation to the Minister.</w:t>
      </w:r>
    </w:p>
    <w:p w:rsidR="009B210A" w:rsidRDefault="009B210A" w:rsidP="009B210A"/>
    <w:p w:rsidR="009B210A" w:rsidRDefault="009B210A" w:rsidP="009B210A">
      <w:pPr>
        <w:tabs>
          <w:tab w:val="left" w:pos="567"/>
        </w:tabs>
        <w:rPr>
          <w:rFonts w:cs="Arial"/>
          <w:color w:val="000000"/>
          <w:sz w:val="24"/>
          <w:szCs w:val="24"/>
        </w:rPr>
      </w:pPr>
      <w:r>
        <w:rPr>
          <w:rFonts w:cs="Arial"/>
          <w:color w:val="000000"/>
          <w:sz w:val="24"/>
          <w:szCs w:val="24"/>
        </w:rPr>
        <w:t>(3)</w:t>
      </w:r>
      <w:r>
        <w:rPr>
          <w:rFonts w:cs="Arial"/>
          <w:color w:val="000000"/>
          <w:sz w:val="24"/>
          <w:szCs w:val="24"/>
        </w:rPr>
        <w:tab/>
        <w:t>See (2) above</w:t>
      </w:r>
    </w:p>
    <w:p w:rsidR="009B210A" w:rsidRDefault="009B210A" w:rsidP="009B210A">
      <w:pPr>
        <w:rPr>
          <w:rFonts w:cs="Arial"/>
          <w:color w:val="000000"/>
          <w:sz w:val="24"/>
          <w:szCs w:val="24"/>
        </w:rPr>
      </w:pPr>
    </w:p>
    <w:p w:rsidR="009B210A" w:rsidRPr="00F95905" w:rsidRDefault="009B210A" w:rsidP="005D6A36">
      <w:pPr>
        <w:tabs>
          <w:tab w:val="left" w:pos="567"/>
        </w:tabs>
        <w:rPr>
          <w:rFonts w:cs="Arial"/>
          <w:color w:val="000000"/>
          <w:sz w:val="24"/>
          <w:szCs w:val="24"/>
        </w:rPr>
      </w:pPr>
      <w:r w:rsidRPr="00F95905">
        <w:rPr>
          <w:rFonts w:cs="Arial"/>
          <w:color w:val="000000"/>
          <w:sz w:val="24"/>
          <w:szCs w:val="24"/>
        </w:rPr>
        <w:t>(4)</w:t>
      </w:r>
      <w:r>
        <w:rPr>
          <w:rFonts w:cs="Arial"/>
          <w:color w:val="000000"/>
          <w:sz w:val="24"/>
          <w:szCs w:val="24"/>
        </w:rPr>
        <w:tab/>
        <w:t>See (2) above</w:t>
      </w:r>
    </w:p>
    <w:sectPr w:rsidR="009B210A" w:rsidRPr="00F95905" w:rsidSect="00422D09">
      <w:footerReference w:type="default" r:id="rId6"/>
      <w:pgSz w:w="12240" w:h="15840"/>
      <w:pgMar w:top="1440" w:right="1440" w:bottom="851" w:left="1440" w:header="720" w:footer="5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990" w:rsidRDefault="00135990" w:rsidP="00422D09">
      <w:r>
        <w:separator/>
      </w:r>
    </w:p>
  </w:endnote>
  <w:endnote w:type="continuationSeparator" w:id="0">
    <w:p w:rsidR="00135990" w:rsidRDefault="00135990" w:rsidP="00422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D09" w:rsidRDefault="00422D09" w:rsidP="00422D09">
    <w:pPr>
      <w:pStyle w:val="Footer"/>
    </w:pPr>
    <w:r>
      <w:t>PQ4198-NW5074E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D5EB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5EB7">
      <w:rPr>
        <w:b/>
        <w:bCs/>
        <w:noProof/>
      </w:rPr>
      <w:t>2</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990" w:rsidRDefault="00135990" w:rsidP="00422D09">
      <w:r>
        <w:separator/>
      </w:r>
    </w:p>
  </w:footnote>
  <w:footnote w:type="continuationSeparator" w:id="0">
    <w:p w:rsidR="00135990" w:rsidRDefault="00135990" w:rsidP="00422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footnotePr>
    <w:footnote w:id="-1"/>
    <w:footnote w:id="0"/>
  </w:footnotePr>
  <w:endnotePr>
    <w:endnote w:id="-1"/>
    <w:endnote w:id="0"/>
  </w:endnotePr>
  <w:compat/>
  <w:rsids>
    <w:rsidRoot w:val="00BE13C3"/>
    <w:rsid w:val="00135990"/>
    <w:rsid w:val="003308FF"/>
    <w:rsid w:val="00365679"/>
    <w:rsid w:val="003D5EB7"/>
    <w:rsid w:val="00422D09"/>
    <w:rsid w:val="005C0DF6"/>
    <w:rsid w:val="005D6A36"/>
    <w:rsid w:val="007177EB"/>
    <w:rsid w:val="00730725"/>
    <w:rsid w:val="00737344"/>
    <w:rsid w:val="00783341"/>
    <w:rsid w:val="0083133F"/>
    <w:rsid w:val="009B210A"/>
    <w:rsid w:val="00B875C1"/>
    <w:rsid w:val="00BE13C3"/>
    <w:rsid w:val="00CD0BEB"/>
    <w:rsid w:val="00E129C9"/>
    <w:rsid w:val="00E866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D09"/>
    <w:pPr>
      <w:tabs>
        <w:tab w:val="center" w:pos="4513"/>
        <w:tab w:val="right" w:pos="9026"/>
      </w:tabs>
    </w:pPr>
  </w:style>
  <w:style w:type="character" w:customStyle="1" w:styleId="HeaderChar">
    <w:name w:val="Header Char"/>
    <w:link w:val="Header"/>
    <w:uiPriority w:val="99"/>
    <w:rsid w:val="00422D09"/>
    <w:rPr>
      <w:rFonts w:ascii="Arial" w:eastAsia="Times New Roman" w:hAnsi="Arial"/>
      <w:sz w:val="22"/>
      <w:szCs w:val="22"/>
      <w:lang w:eastAsia="en-US"/>
    </w:rPr>
  </w:style>
  <w:style w:type="paragraph" w:styleId="Footer">
    <w:name w:val="footer"/>
    <w:basedOn w:val="Normal"/>
    <w:link w:val="FooterChar"/>
    <w:uiPriority w:val="99"/>
    <w:unhideWhenUsed/>
    <w:rsid w:val="00422D09"/>
    <w:pPr>
      <w:tabs>
        <w:tab w:val="center" w:pos="4513"/>
        <w:tab w:val="right" w:pos="9026"/>
      </w:tabs>
    </w:pPr>
  </w:style>
  <w:style w:type="character" w:customStyle="1" w:styleId="FooterChar">
    <w:name w:val="Footer Char"/>
    <w:link w:val="Footer"/>
    <w:uiPriority w:val="99"/>
    <w:rsid w:val="00422D09"/>
    <w:rPr>
      <w:rFonts w:ascii="Arial" w:eastAsia="Times New Roman" w:hAnsi="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PARLIAMENT OF THE REPUBLIC OF SOUTH AFRICA</vt:lpstr>
    </vt:vector>
  </TitlesOfParts>
  <Company>Correctional Services</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andronic</dc:creator>
  <cp:lastModifiedBy>PUMZA</cp:lastModifiedBy>
  <cp:revision>2</cp:revision>
  <cp:lastPrinted>2015-12-07T07:43:00Z</cp:lastPrinted>
  <dcterms:created xsi:type="dcterms:W3CDTF">2015-12-11T10:23:00Z</dcterms:created>
  <dcterms:modified xsi:type="dcterms:W3CDTF">2015-12-11T10:23:00Z</dcterms:modified>
</cp:coreProperties>
</file>