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Pr="00854644" w:rsidRDefault="00BE13C3" w:rsidP="00BE13C3">
      <w:pPr>
        <w:ind w:left="-1260"/>
        <w:jc w:val="both"/>
        <w:rPr>
          <w:rFonts w:cs="Arial"/>
        </w:rPr>
      </w:pPr>
    </w:p>
    <w:p w:rsidR="00BE13C3" w:rsidRPr="00854644" w:rsidRDefault="00BE13C3" w:rsidP="00BE13C3">
      <w:pPr>
        <w:jc w:val="both"/>
        <w:rPr>
          <w:rFonts w:cs="Arial"/>
        </w:rPr>
      </w:pPr>
      <w:r w:rsidRPr="00854644">
        <w:rPr>
          <w:rFonts w:cs="Arial"/>
          <w:b/>
          <w:u w:val="single"/>
        </w:rPr>
        <w:t xml:space="preserve">QUESTION NO: </w:t>
      </w:r>
      <w:r w:rsidR="007A08F6" w:rsidRPr="00854644">
        <w:rPr>
          <w:rFonts w:cs="Arial"/>
          <w:b/>
          <w:u w:val="single"/>
        </w:rPr>
        <w:t>3962</w:t>
      </w:r>
    </w:p>
    <w:p w:rsidR="00BE13C3" w:rsidRPr="00854644" w:rsidRDefault="00BE13C3" w:rsidP="00D404D2">
      <w:pPr>
        <w:ind w:left="-1260"/>
        <w:jc w:val="both"/>
        <w:rPr>
          <w:rFonts w:cs="Arial"/>
        </w:rPr>
      </w:pPr>
    </w:p>
    <w:p w:rsidR="007A08F6" w:rsidRDefault="007A08F6" w:rsidP="00D404D2">
      <w:pPr>
        <w:tabs>
          <w:tab w:val="left" w:pos="851"/>
        </w:tabs>
        <w:ind w:left="851" w:hanging="851"/>
        <w:jc w:val="both"/>
        <w:outlineLvl w:val="0"/>
        <w:rPr>
          <w:rFonts w:cs="Arial"/>
          <w:b/>
        </w:rPr>
      </w:pPr>
      <w:r w:rsidRPr="00854644">
        <w:rPr>
          <w:rFonts w:cs="Arial"/>
          <w:b/>
        </w:rPr>
        <w:t>Ms D Carter (Cope) to ask the Minister of Justice and Correctional Services:</w:t>
      </w:r>
    </w:p>
    <w:p w:rsidR="00D404D2" w:rsidRPr="00854644" w:rsidRDefault="00D404D2" w:rsidP="00D404D2">
      <w:pPr>
        <w:tabs>
          <w:tab w:val="left" w:pos="851"/>
        </w:tabs>
        <w:ind w:left="851" w:hanging="851"/>
        <w:jc w:val="both"/>
        <w:outlineLvl w:val="0"/>
        <w:rPr>
          <w:rFonts w:cs="Arial"/>
          <w:b/>
        </w:rPr>
      </w:pPr>
    </w:p>
    <w:p w:rsidR="007A08F6" w:rsidRPr="00854644" w:rsidRDefault="007A08F6" w:rsidP="00D404D2">
      <w:pPr>
        <w:jc w:val="both"/>
        <w:rPr>
          <w:rFonts w:cs="Arial"/>
        </w:rPr>
      </w:pPr>
      <w:r w:rsidRPr="00854644">
        <w:rPr>
          <w:rFonts w:cs="Arial"/>
          <w:color w:val="000000"/>
        </w:rPr>
        <w:t>Whether, in view of the concession by the National Commissioner as reported in the Budgetary Review and Recommendation report of the Portfolio Committee on Correctional Services to the National Assembly that his department had often addressed one qualification at the risk of other risk areas resulting in new qualifications by the Auditor-General and a series of qualified reports, he has (a) taken any steps to ensure that his department’s disregard for the findings and recommendations will never occur again and (b) ordered disciplinary measures to be taken against all officials who had since 2014 been guilty of ignoring the findings and recommendations of the Audito</w:t>
      </w:r>
      <w:r w:rsidR="00854644">
        <w:rPr>
          <w:rFonts w:cs="Arial"/>
          <w:color w:val="000000"/>
        </w:rPr>
        <w:t>r</w:t>
      </w:r>
      <w:r w:rsidRPr="00854644">
        <w:rPr>
          <w:rFonts w:cs="Arial"/>
          <w:color w:val="000000"/>
        </w:rPr>
        <w:t>-General in order to show his resolve; if not, why not; if so, what are the details</w:t>
      </w:r>
      <w:r w:rsidRPr="00854644">
        <w:rPr>
          <w:rFonts w:cs="Arial"/>
        </w:rPr>
        <w:t>?</w:t>
      </w:r>
      <w:r w:rsidRPr="00854644">
        <w:rPr>
          <w:rFonts w:cs="Arial"/>
        </w:rPr>
        <w:tab/>
      </w:r>
      <w:r w:rsidRPr="00854644">
        <w:rPr>
          <w:rFonts w:cs="Arial"/>
        </w:rPr>
        <w:tab/>
      </w:r>
      <w:r w:rsidRPr="00854644">
        <w:rPr>
          <w:rFonts w:cs="Arial"/>
        </w:rPr>
        <w:tab/>
      </w:r>
      <w:r w:rsidRPr="00854644">
        <w:rPr>
          <w:rFonts w:cs="Arial"/>
        </w:rPr>
        <w:tab/>
      </w:r>
      <w:r w:rsidRPr="00854644">
        <w:rPr>
          <w:rFonts w:cs="Arial"/>
        </w:rPr>
        <w:tab/>
      </w:r>
      <w:r w:rsidRPr="00854644">
        <w:rPr>
          <w:rFonts w:cs="Arial"/>
        </w:rPr>
        <w:tab/>
      </w:r>
      <w:r w:rsidRPr="00854644">
        <w:rPr>
          <w:rFonts w:cs="Arial"/>
        </w:rPr>
        <w:tab/>
      </w:r>
      <w:r w:rsidRPr="00854644">
        <w:rPr>
          <w:rFonts w:cs="Arial"/>
        </w:rPr>
        <w:tab/>
      </w:r>
      <w:r w:rsidRPr="00854644">
        <w:rPr>
          <w:rFonts w:cs="Arial"/>
        </w:rPr>
        <w:tab/>
        <w:t>NW4829E</w:t>
      </w:r>
    </w:p>
    <w:p w:rsidR="007A08F6" w:rsidRPr="00854644" w:rsidRDefault="007A08F6" w:rsidP="00854644">
      <w:pPr>
        <w:ind w:left="851"/>
        <w:jc w:val="both"/>
        <w:rPr>
          <w:rFonts w:cs="Arial"/>
        </w:rPr>
      </w:pPr>
    </w:p>
    <w:p w:rsidR="00854644" w:rsidRDefault="00854644" w:rsidP="00854644">
      <w:pPr>
        <w:rPr>
          <w:rFonts w:cs="Arial"/>
        </w:rPr>
      </w:pPr>
    </w:p>
    <w:p w:rsidR="00B875C1" w:rsidRPr="00886374" w:rsidRDefault="007A08F6" w:rsidP="00854644">
      <w:pPr>
        <w:rPr>
          <w:rFonts w:cs="Arial"/>
          <w:b/>
        </w:rPr>
      </w:pPr>
      <w:r w:rsidRPr="00886374">
        <w:rPr>
          <w:rFonts w:cs="Arial"/>
          <w:b/>
        </w:rPr>
        <w:t>REPLY:</w:t>
      </w:r>
    </w:p>
    <w:p w:rsidR="007A08F6" w:rsidRPr="00854644" w:rsidRDefault="007A08F6" w:rsidP="00854644">
      <w:pPr>
        <w:rPr>
          <w:rFonts w:cs="Arial"/>
        </w:rPr>
      </w:pPr>
    </w:p>
    <w:p w:rsidR="009E74FA" w:rsidRPr="00854644" w:rsidRDefault="009E74FA" w:rsidP="00854644">
      <w:pPr>
        <w:pStyle w:val="ListParagraph"/>
        <w:ind w:left="0"/>
        <w:jc w:val="both"/>
        <w:rPr>
          <w:rFonts w:ascii="Arial" w:hAnsi="Arial" w:cs="Arial"/>
          <w:color w:val="000000"/>
          <w:sz w:val="22"/>
          <w:szCs w:val="22"/>
        </w:rPr>
      </w:pPr>
      <w:r w:rsidRPr="00854644">
        <w:rPr>
          <w:rFonts w:ascii="Arial" w:hAnsi="Arial" w:cs="Arial"/>
          <w:color w:val="000000"/>
          <w:sz w:val="22"/>
          <w:szCs w:val="22"/>
        </w:rPr>
        <w:t xml:space="preserve">Yes, the National Commissioner has taken steps to ensure that the Department of Correctional Services improves on its audit outcomes, in particular to resolve qualifications on its financial statements, eliminate  non-compliance to laws and regulations as well as enhancing the system of internal controls. Since 2005/6 until 2013/14 financial years, the department had continually received qualification due to asset management. Internal controls on management of tangible movable assets were enhanced over time, resulting in resolution of this matter during the previous financial year, i.e. 2014/15.   </w:t>
      </w:r>
    </w:p>
    <w:p w:rsidR="009E74FA" w:rsidRPr="00854644" w:rsidRDefault="009E74FA" w:rsidP="00854644">
      <w:pPr>
        <w:pStyle w:val="ListParagraph"/>
        <w:ind w:left="0"/>
        <w:jc w:val="both"/>
        <w:rPr>
          <w:rFonts w:ascii="Arial" w:hAnsi="Arial" w:cs="Arial"/>
          <w:color w:val="000000"/>
          <w:sz w:val="22"/>
          <w:szCs w:val="22"/>
        </w:rPr>
      </w:pPr>
    </w:p>
    <w:p w:rsidR="009E74FA" w:rsidRPr="00854644" w:rsidRDefault="009E74FA" w:rsidP="00854644">
      <w:pPr>
        <w:pStyle w:val="ListParagraph"/>
        <w:ind w:left="0"/>
        <w:jc w:val="both"/>
        <w:rPr>
          <w:rFonts w:ascii="Arial" w:hAnsi="Arial" w:cs="Arial"/>
          <w:color w:val="000000"/>
          <w:sz w:val="22"/>
          <w:szCs w:val="22"/>
        </w:rPr>
      </w:pPr>
      <w:r w:rsidRPr="00854644">
        <w:rPr>
          <w:rFonts w:ascii="Arial" w:hAnsi="Arial" w:cs="Arial"/>
          <w:color w:val="000000"/>
          <w:sz w:val="22"/>
          <w:szCs w:val="22"/>
        </w:rPr>
        <w:t>In the same year (i.e. 2014/15), the basis of qualification was a new matter on contingent liabilities. The Auditor General was “</w:t>
      </w:r>
      <w:r w:rsidRPr="00854644">
        <w:rPr>
          <w:rFonts w:ascii="Arial" w:hAnsi="Arial" w:cs="Arial"/>
          <w:i/>
          <w:color w:val="000000"/>
          <w:sz w:val="22"/>
          <w:szCs w:val="22"/>
        </w:rPr>
        <w:t>unable to obtain sufficient appropriate audit evidence for claims against the department because it did not have adequate systems and processes to record and maintain a register for claims against the department</w:t>
      </w:r>
      <w:r w:rsidRPr="00854644">
        <w:rPr>
          <w:rFonts w:ascii="Arial" w:hAnsi="Arial" w:cs="Arial"/>
          <w:color w:val="000000"/>
          <w:sz w:val="22"/>
          <w:szCs w:val="22"/>
        </w:rPr>
        <w:t xml:space="preserve">”, 2014-15 Report of the Auditor General. </w:t>
      </w:r>
    </w:p>
    <w:p w:rsidR="009E74FA" w:rsidRPr="00854644" w:rsidRDefault="009E74FA" w:rsidP="00854644">
      <w:pPr>
        <w:pStyle w:val="ListParagraph"/>
        <w:ind w:left="0"/>
        <w:jc w:val="both"/>
        <w:rPr>
          <w:rFonts w:ascii="Arial" w:hAnsi="Arial" w:cs="Arial"/>
          <w:color w:val="000000"/>
          <w:sz w:val="22"/>
          <w:szCs w:val="22"/>
        </w:rPr>
      </w:pPr>
    </w:p>
    <w:p w:rsidR="009E74FA" w:rsidRPr="00854644" w:rsidRDefault="009E74FA" w:rsidP="00854644">
      <w:pPr>
        <w:pStyle w:val="ListParagraph"/>
        <w:ind w:left="0"/>
        <w:jc w:val="both"/>
        <w:rPr>
          <w:rFonts w:ascii="Arial" w:hAnsi="Arial" w:cs="Arial"/>
          <w:color w:val="000000"/>
          <w:sz w:val="22"/>
          <w:szCs w:val="22"/>
        </w:rPr>
      </w:pPr>
      <w:r w:rsidRPr="00854644">
        <w:rPr>
          <w:rFonts w:ascii="Arial" w:hAnsi="Arial" w:cs="Arial"/>
          <w:color w:val="000000"/>
          <w:sz w:val="22"/>
          <w:szCs w:val="22"/>
        </w:rPr>
        <w:t xml:space="preserve">Steps that have already been taken to address emerging </w:t>
      </w:r>
      <w:r w:rsidR="00D404D2" w:rsidRPr="00854644">
        <w:rPr>
          <w:rFonts w:ascii="Arial" w:hAnsi="Arial" w:cs="Arial"/>
          <w:color w:val="000000"/>
          <w:sz w:val="22"/>
          <w:szCs w:val="22"/>
        </w:rPr>
        <w:t>qualifications</w:t>
      </w:r>
      <w:r w:rsidRPr="00854644">
        <w:rPr>
          <w:rFonts w:ascii="Arial" w:hAnsi="Arial" w:cs="Arial"/>
          <w:color w:val="000000"/>
          <w:sz w:val="22"/>
          <w:szCs w:val="22"/>
        </w:rPr>
        <w:t xml:space="preserve"> include capacitating the Legal services component. In this regard, a vacancy of Head of Legal Services has been filled during the year. </w:t>
      </w:r>
    </w:p>
    <w:p w:rsidR="009E74FA" w:rsidRPr="00854644" w:rsidRDefault="009E74FA" w:rsidP="00854644">
      <w:pPr>
        <w:pStyle w:val="ListParagraph"/>
        <w:ind w:left="0"/>
        <w:jc w:val="both"/>
        <w:rPr>
          <w:rFonts w:ascii="Arial" w:hAnsi="Arial" w:cs="Arial"/>
          <w:color w:val="000000"/>
          <w:sz w:val="22"/>
          <w:szCs w:val="22"/>
        </w:rPr>
      </w:pPr>
    </w:p>
    <w:p w:rsidR="009E74FA" w:rsidRPr="00854644" w:rsidRDefault="009E74FA" w:rsidP="00854644">
      <w:pPr>
        <w:pStyle w:val="ListParagraph"/>
        <w:ind w:left="0"/>
        <w:jc w:val="both"/>
        <w:rPr>
          <w:rFonts w:ascii="Arial" w:hAnsi="Arial" w:cs="Arial"/>
          <w:color w:val="000000"/>
          <w:sz w:val="22"/>
          <w:szCs w:val="22"/>
        </w:rPr>
      </w:pPr>
      <w:r w:rsidRPr="00854644">
        <w:rPr>
          <w:rFonts w:ascii="Arial" w:hAnsi="Arial" w:cs="Arial"/>
          <w:color w:val="000000"/>
          <w:sz w:val="22"/>
          <w:szCs w:val="22"/>
        </w:rPr>
        <w:t>Operational action plan which seeks to address weaknesses in contingent liability registers is presented below:</w:t>
      </w:r>
    </w:p>
    <w:p w:rsidR="009E74FA" w:rsidRPr="00854644" w:rsidRDefault="009E74FA" w:rsidP="00854644">
      <w:pPr>
        <w:pStyle w:val="ListParagraph"/>
        <w:ind w:left="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253"/>
        <w:gridCol w:w="2126"/>
      </w:tblGrid>
      <w:tr w:rsidR="009E74FA" w:rsidRPr="00D404D2" w:rsidTr="00D404D2">
        <w:trPr>
          <w:tblHeader/>
        </w:trPr>
        <w:tc>
          <w:tcPr>
            <w:tcW w:w="2977" w:type="dxa"/>
            <w:shd w:val="clear" w:color="auto" w:fill="D9D9D9"/>
          </w:tcPr>
          <w:p w:rsidR="009E74FA" w:rsidRPr="00D404D2" w:rsidRDefault="009E74FA" w:rsidP="00D404D2">
            <w:pPr>
              <w:pStyle w:val="ListParagraph"/>
              <w:spacing w:line="360" w:lineRule="auto"/>
              <w:ind w:left="0"/>
              <w:jc w:val="both"/>
              <w:rPr>
                <w:rFonts w:ascii="Arial" w:hAnsi="Arial" w:cs="Arial"/>
                <w:b/>
                <w:color w:val="000000"/>
                <w:sz w:val="22"/>
                <w:szCs w:val="22"/>
              </w:rPr>
            </w:pPr>
            <w:r w:rsidRPr="00D404D2">
              <w:rPr>
                <w:rFonts w:ascii="Arial" w:hAnsi="Arial" w:cs="Arial"/>
                <w:b/>
                <w:color w:val="000000"/>
                <w:sz w:val="22"/>
                <w:szCs w:val="22"/>
              </w:rPr>
              <w:t>Activities</w:t>
            </w:r>
          </w:p>
        </w:tc>
        <w:tc>
          <w:tcPr>
            <w:tcW w:w="4253" w:type="dxa"/>
            <w:shd w:val="clear" w:color="auto" w:fill="D9D9D9"/>
          </w:tcPr>
          <w:p w:rsidR="009E74FA" w:rsidRPr="00D404D2" w:rsidRDefault="009E74FA" w:rsidP="00D404D2">
            <w:pPr>
              <w:pStyle w:val="ListParagraph"/>
              <w:spacing w:line="360" w:lineRule="auto"/>
              <w:ind w:left="0"/>
              <w:jc w:val="both"/>
              <w:rPr>
                <w:rFonts w:ascii="Arial" w:hAnsi="Arial" w:cs="Arial"/>
                <w:b/>
                <w:color w:val="000000"/>
                <w:sz w:val="22"/>
                <w:szCs w:val="22"/>
              </w:rPr>
            </w:pPr>
            <w:r w:rsidRPr="00D404D2">
              <w:rPr>
                <w:rFonts w:ascii="Arial" w:hAnsi="Arial" w:cs="Arial"/>
                <w:b/>
                <w:color w:val="000000"/>
                <w:sz w:val="22"/>
                <w:szCs w:val="22"/>
              </w:rPr>
              <w:t>Measure</w:t>
            </w:r>
          </w:p>
        </w:tc>
        <w:tc>
          <w:tcPr>
            <w:tcW w:w="2126" w:type="dxa"/>
            <w:shd w:val="clear" w:color="auto" w:fill="D9D9D9"/>
          </w:tcPr>
          <w:p w:rsidR="009E74FA" w:rsidRPr="00D404D2" w:rsidRDefault="009E74FA" w:rsidP="00D404D2">
            <w:pPr>
              <w:pStyle w:val="ListParagraph"/>
              <w:spacing w:line="360" w:lineRule="auto"/>
              <w:ind w:left="0"/>
              <w:jc w:val="both"/>
              <w:rPr>
                <w:rFonts w:ascii="Arial" w:hAnsi="Arial" w:cs="Arial"/>
                <w:b/>
                <w:color w:val="000000"/>
                <w:sz w:val="22"/>
                <w:szCs w:val="22"/>
              </w:rPr>
            </w:pPr>
            <w:r w:rsidRPr="00D404D2">
              <w:rPr>
                <w:rFonts w:ascii="Arial" w:hAnsi="Arial" w:cs="Arial"/>
                <w:b/>
                <w:color w:val="000000"/>
                <w:sz w:val="22"/>
                <w:szCs w:val="22"/>
              </w:rPr>
              <w:t>Timeframes</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bCs/>
                <w:kern w:val="24"/>
                <w:sz w:val="22"/>
                <w:szCs w:val="22"/>
              </w:rPr>
              <w:t xml:space="preserve">Review and update of contingent liabilities register </w:t>
            </w:r>
          </w:p>
        </w:tc>
        <w:tc>
          <w:tcPr>
            <w:tcW w:w="4253"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bCs/>
                <w:kern w:val="24"/>
                <w:sz w:val="22"/>
                <w:szCs w:val="22"/>
              </w:rPr>
              <w:t>Contingent liabilities register-</w:t>
            </w:r>
          </w:p>
          <w:p w:rsidR="009E74FA" w:rsidRPr="00D404D2" w:rsidRDefault="009E74FA" w:rsidP="00D404D2">
            <w:pPr>
              <w:pStyle w:val="ListParagraph"/>
              <w:numPr>
                <w:ilvl w:val="0"/>
                <w:numId w:val="3"/>
              </w:numPr>
              <w:tabs>
                <w:tab w:val="clear" w:pos="720"/>
                <w:tab w:val="num" w:pos="175"/>
              </w:tabs>
              <w:ind w:left="0" w:firstLine="0"/>
              <w:rPr>
                <w:rFonts w:ascii="Arial" w:hAnsi="Arial" w:cs="Arial"/>
                <w:sz w:val="22"/>
                <w:szCs w:val="22"/>
              </w:rPr>
            </w:pPr>
            <w:r w:rsidRPr="00D404D2">
              <w:rPr>
                <w:rFonts w:ascii="Arial" w:hAnsi="Arial" w:cs="Arial"/>
                <w:bCs/>
                <w:kern w:val="24"/>
                <w:sz w:val="22"/>
                <w:szCs w:val="22"/>
                <w:lang w:val="en-ZA"/>
              </w:rPr>
              <w:t>reflecting all current claims; and</w:t>
            </w:r>
          </w:p>
          <w:p w:rsidR="009E74FA" w:rsidRPr="00D404D2" w:rsidRDefault="009E74FA" w:rsidP="00D404D2">
            <w:pPr>
              <w:pStyle w:val="ListParagraph"/>
              <w:numPr>
                <w:ilvl w:val="0"/>
                <w:numId w:val="3"/>
              </w:numPr>
              <w:tabs>
                <w:tab w:val="clear" w:pos="720"/>
                <w:tab w:val="num" w:pos="175"/>
              </w:tabs>
              <w:ind w:left="175" w:hanging="175"/>
              <w:rPr>
                <w:rFonts w:ascii="Arial" w:hAnsi="Arial" w:cs="Arial"/>
                <w:sz w:val="22"/>
                <w:szCs w:val="22"/>
              </w:rPr>
            </w:pPr>
            <w:r w:rsidRPr="00D404D2">
              <w:rPr>
                <w:rFonts w:ascii="Arial" w:hAnsi="Arial" w:cs="Arial"/>
                <w:bCs/>
                <w:kern w:val="24"/>
                <w:sz w:val="22"/>
                <w:szCs w:val="22"/>
                <w:lang w:val="en-ZA"/>
              </w:rPr>
              <w:t>corresponding source documents</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bCs/>
                <w:kern w:val="24"/>
                <w:sz w:val="22"/>
                <w:szCs w:val="22"/>
              </w:rPr>
            </w:pPr>
            <w:r w:rsidRPr="00D404D2">
              <w:rPr>
                <w:rFonts w:ascii="Arial" w:hAnsi="Arial" w:cs="Arial"/>
                <w:bCs/>
                <w:kern w:val="24"/>
                <w:sz w:val="22"/>
                <w:szCs w:val="22"/>
              </w:rPr>
              <w:t xml:space="preserve">1 August 2015 – </w:t>
            </w:r>
          </w:p>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bCs/>
                <w:kern w:val="24"/>
                <w:sz w:val="22"/>
                <w:szCs w:val="22"/>
              </w:rPr>
              <w:t>30 October 2015</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Request State Attorneys’ preliminary verification of claims</w:t>
            </w:r>
          </w:p>
        </w:tc>
        <w:tc>
          <w:tcPr>
            <w:tcW w:w="4253"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All claims contained in the  Register verified and confirmed by various state attorneys servicing DCS</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30 November 2015</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lastRenderedPageBreak/>
              <w:t>Internal auditing of contingent liabilities register</w:t>
            </w:r>
          </w:p>
        </w:tc>
        <w:tc>
          <w:tcPr>
            <w:tcW w:w="4253" w:type="dxa"/>
            <w:shd w:val="clear" w:color="auto" w:fill="auto"/>
          </w:tcPr>
          <w:p w:rsidR="009E74FA" w:rsidRPr="00D404D2" w:rsidRDefault="009E74FA" w:rsidP="00D404D2">
            <w:pPr>
              <w:pStyle w:val="ListParagraph"/>
              <w:numPr>
                <w:ilvl w:val="0"/>
                <w:numId w:val="2"/>
              </w:numPr>
              <w:tabs>
                <w:tab w:val="clear" w:pos="720"/>
                <w:tab w:val="num" w:pos="175"/>
              </w:tabs>
              <w:ind w:left="0" w:firstLine="0"/>
              <w:rPr>
                <w:rFonts w:ascii="Arial" w:hAnsi="Arial" w:cs="Arial"/>
                <w:sz w:val="22"/>
                <w:szCs w:val="22"/>
              </w:rPr>
            </w:pPr>
            <w:r w:rsidRPr="00D404D2">
              <w:rPr>
                <w:rFonts w:ascii="Arial" w:hAnsi="Arial" w:cs="Arial"/>
                <w:color w:val="000000"/>
                <w:kern w:val="24"/>
                <w:sz w:val="22"/>
                <w:szCs w:val="22"/>
                <w:lang w:val="en-ZA"/>
              </w:rPr>
              <w:t>Internal Audit Report.</w:t>
            </w:r>
          </w:p>
          <w:p w:rsidR="009E74FA" w:rsidRPr="00D404D2" w:rsidRDefault="009E74FA" w:rsidP="00D404D2">
            <w:pPr>
              <w:pStyle w:val="ListParagraph"/>
              <w:numPr>
                <w:ilvl w:val="0"/>
                <w:numId w:val="2"/>
              </w:numPr>
              <w:tabs>
                <w:tab w:val="clear" w:pos="720"/>
                <w:tab w:val="num" w:pos="175"/>
              </w:tabs>
              <w:ind w:left="175" w:hanging="175"/>
              <w:rPr>
                <w:rFonts w:ascii="Arial" w:hAnsi="Arial" w:cs="Arial"/>
                <w:sz w:val="22"/>
                <w:szCs w:val="22"/>
              </w:rPr>
            </w:pPr>
            <w:r w:rsidRPr="00D404D2">
              <w:rPr>
                <w:rFonts w:ascii="Arial" w:hAnsi="Arial" w:cs="Arial"/>
                <w:color w:val="000000"/>
                <w:kern w:val="24"/>
                <w:sz w:val="22"/>
                <w:szCs w:val="22"/>
                <w:lang w:val="en-ZA"/>
              </w:rPr>
              <w:t>Findings of the internal audit addressed.</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30 January 2016</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 xml:space="preserve">Submission of register to AGSA for their preliminary auditing. </w:t>
            </w:r>
          </w:p>
        </w:tc>
        <w:tc>
          <w:tcPr>
            <w:tcW w:w="4253"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eastAsia="Times New Roman" w:hAnsi="Arial" w:cs="Arial"/>
                <w:color w:val="000000"/>
                <w:kern w:val="24"/>
                <w:sz w:val="22"/>
                <w:szCs w:val="22"/>
              </w:rPr>
              <w:t xml:space="preserve">Findings of the AGSA’s preliminary audit addressed. </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28 February 2016</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 xml:space="preserve">Request final State Attorneys’ verification of claims </w:t>
            </w:r>
          </w:p>
        </w:tc>
        <w:tc>
          <w:tcPr>
            <w:tcW w:w="4253"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eastAsia="Times New Roman" w:hAnsi="Arial" w:cs="Arial"/>
                <w:color w:val="000000"/>
                <w:kern w:val="24"/>
                <w:sz w:val="22"/>
                <w:szCs w:val="22"/>
              </w:rPr>
              <w:t>All claims contained in the Register verified and confirmed by various state attorneys servicing DCS.</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31 March 2016</w:t>
            </w:r>
          </w:p>
        </w:tc>
      </w:tr>
      <w:tr w:rsidR="009E74FA" w:rsidRPr="00D404D2" w:rsidTr="00D404D2">
        <w:tc>
          <w:tcPr>
            <w:tcW w:w="2977"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 xml:space="preserve">Submission of final disclosure note for inclusion in AFS </w:t>
            </w:r>
          </w:p>
        </w:tc>
        <w:tc>
          <w:tcPr>
            <w:tcW w:w="4253"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Complete and verified contingent liabilities submitted timeously.</w:t>
            </w:r>
          </w:p>
        </w:tc>
        <w:tc>
          <w:tcPr>
            <w:tcW w:w="2126" w:type="dxa"/>
            <w:shd w:val="clear" w:color="auto" w:fill="auto"/>
          </w:tcPr>
          <w:p w:rsidR="009E74FA" w:rsidRPr="00D404D2" w:rsidRDefault="009E74FA" w:rsidP="00D404D2">
            <w:pPr>
              <w:pStyle w:val="NormalWeb"/>
              <w:spacing w:before="0" w:beforeAutospacing="0" w:after="0" w:afterAutospacing="0"/>
              <w:rPr>
                <w:rFonts w:ascii="Arial" w:hAnsi="Arial" w:cs="Arial"/>
                <w:sz w:val="22"/>
                <w:szCs w:val="22"/>
              </w:rPr>
            </w:pPr>
            <w:r w:rsidRPr="00D404D2">
              <w:rPr>
                <w:rFonts w:ascii="Arial" w:hAnsi="Arial" w:cs="Arial"/>
                <w:color w:val="000000"/>
                <w:kern w:val="24"/>
                <w:sz w:val="22"/>
                <w:szCs w:val="22"/>
              </w:rPr>
              <w:t>15 April 2016</w:t>
            </w:r>
          </w:p>
        </w:tc>
      </w:tr>
    </w:tbl>
    <w:p w:rsidR="009E74FA" w:rsidRPr="00854644" w:rsidRDefault="009E74FA" w:rsidP="00854644">
      <w:pPr>
        <w:pStyle w:val="ListParagraph"/>
        <w:ind w:left="0"/>
        <w:jc w:val="both"/>
        <w:rPr>
          <w:rFonts w:ascii="Arial" w:hAnsi="Arial" w:cs="Arial"/>
          <w:color w:val="000000"/>
          <w:sz w:val="22"/>
          <w:szCs w:val="22"/>
        </w:rPr>
      </w:pPr>
    </w:p>
    <w:p w:rsidR="009E74FA" w:rsidRDefault="009E74FA" w:rsidP="00854644">
      <w:pPr>
        <w:pStyle w:val="ListParagraph"/>
        <w:ind w:left="0"/>
        <w:jc w:val="both"/>
        <w:rPr>
          <w:rFonts w:ascii="Arial" w:hAnsi="Arial" w:cs="Arial"/>
          <w:color w:val="000000"/>
          <w:sz w:val="22"/>
          <w:szCs w:val="22"/>
        </w:rPr>
      </w:pPr>
      <w:r w:rsidRPr="00854644">
        <w:rPr>
          <w:rFonts w:ascii="Arial" w:hAnsi="Arial" w:cs="Arial"/>
          <w:color w:val="000000"/>
          <w:sz w:val="22"/>
          <w:szCs w:val="22"/>
        </w:rPr>
        <w:t xml:space="preserve">In order to improve the departmental system of internal controls, the inadequate capacity within assurance services has been identified as a key root cause to matters of non-compliance with laws and regulations. In this regard the following interventions are either underway or have been </w:t>
      </w:r>
      <w:r w:rsidR="00580A6C" w:rsidRPr="00854644">
        <w:rPr>
          <w:rFonts w:ascii="Arial" w:hAnsi="Arial" w:cs="Arial"/>
          <w:color w:val="000000"/>
          <w:sz w:val="22"/>
          <w:szCs w:val="22"/>
        </w:rPr>
        <w:t>finalized</w:t>
      </w:r>
      <w:r w:rsidRPr="00854644">
        <w:rPr>
          <w:rFonts w:ascii="Arial" w:hAnsi="Arial" w:cs="Arial"/>
          <w:color w:val="000000"/>
          <w:sz w:val="22"/>
          <w:szCs w:val="22"/>
        </w:rPr>
        <w:t>:</w:t>
      </w:r>
      <w:r w:rsidR="00854644">
        <w:rPr>
          <w:rFonts w:ascii="Arial" w:hAnsi="Arial" w:cs="Arial"/>
          <w:color w:val="000000"/>
          <w:sz w:val="22"/>
          <w:szCs w:val="22"/>
        </w:rPr>
        <w:t xml:space="preserve"> </w:t>
      </w:r>
    </w:p>
    <w:p w:rsidR="00854644" w:rsidRPr="00854644" w:rsidRDefault="00854644" w:rsidP="00854644">
      <w:pPr>
        <w:pStyle w:val="ListParagraph"/>
        <w:ind w:left="0"/>
        <w:jc w:val="both"/>
        <w:rPr>
          <w:rFonts w:ascii="Arial" w:hAnsi="Arial" w:cs="Arial"/>
          <w:color w:val="000000"/>
          <w:sz w:val="22"/>
          <w:szCs w:val="22"/>
        </w:rPr>
      </w:pPr>
    </w:p>
    <w:p w:rsidR="009E74FA" w:rsidRPr="00854644" w:rsidRDefault="009E74FA" w:rsidP="00854644">
      <w:pPr>
        <w:pStyle w:val="ListParagraph"/>
        <w:numPr>
          <w:ilvl w:val="0"/>
          <w:numId w:val="4"/>
        </w:numPr>
        <w:tabs>
          <w:tab w:val="left" w:pos="567"/>
        </w:tabs>
        <w:ind w:left="567" w:hanging="567"/>
        <w:jc w:val="both"/>
        <w:rPr>
          <w:rFonts w:ascii="Arial" w:hAnsi="Arial" w:cs="Arial"/>
          <w:color w:val="000000"/>
          <w:sz w:val="22"/>
          <w:szCs w:val="22"/>
        </w:rPr>
      </w:pPr>
      <w:r w:rsidRPr="00854644">
        <w:rPr>
          <w:rFonts w:ascii="Arial" w:hAnsi="Arial" w:cs="Arial"/>
          <w:color w:val="000000"/>
          <w:sz w:val="22"/>
          <w:szCs w:val="22"/>
        </w:rPr>
        <w:t>The Internal Control and Compliance (ICC) component has been capacitated through the appointment of Head of ICC</w:t>
      </w:r>
      <w:r w:rsidR="00854644">
        <w:rPr>
          <w:rFonts w:ascii="Arial" w:hAnsi="Arial" w:cs="Arial"/>
          <w:color w:val="000000"/>
          <w:sz w:val="22"/>
          <w:szCs w:val="22"/>
        </w:rPr>
        <w:t>;</w:t>
      </w:r>
      <w:r w:rsidRPr="00854644">
        <w:rPr>
          <w:rFonts w:ascii="Arial" w:hAnsi="Arial" w:cs="Arial"/>
          <w:color w:val="000000"/>
          <w:sz w:val="22"/>
          <w:szCs w:val="22"/>
        </w:rPr>
        <w:t xml:space="preserve"> </w:t>
      </w:r>
    </w:p>
    <w:p w:rsidR="009E74FA" w:rsidRPr="00854644" w:rsidRDefault="009E74FA" w:rsidP="00854644">
      <w:pPr>
        <w:pStyle w:val="ListParagraph"/>
        <w:numPr>
          <w:ilvl w:val="0"/>
          <w:numId w:val="4"/>
        </w:numPr>
        <w:tabs>
          <w:tab w:val="left" w:pos="567"/>
        </w:tabs>
        <w:ind w:left="567" w:hanging="567"/>
        <w:jc w:val="both"/>
        <w:rPr>
          <w:rFonts w:ascii="Arial" w:hAnsi="Arial" w:cs="Arial"/>
          <w:color w:val="000000"/>
          <w:sz w:val="22"/>
          <w:szCs w:val="22"/>
        </w:rPr>
      </w:pPr>
      <w:r w:rsidRPr="00854644">
        <w:rPr>
          <w:rFonts w:ascii="Arial" w:hAnsi="Arial" w:cs="Arial"/>
          <w:color w:val="000000"/>
          <w:sz w:val="22"/>
          <w:szCs w:val="22"/>
        </w:rPr>
        <w:t>The establishment and capacitation of a risk management unit within ICC will be carried out during the current financial year</w:t>
      </w:r>
      <w:r w:rsidR="00854644">
        <w:rPr>
          <w:rFonts w:ascii="Arial" w:hAnsi="Arial" w:cs="Arial"/>
          <w:color w:val="000000"/>
          <w:sz w:val="22"/>
          <w:szCs w:val="22"/>
        </w:rPr>
        <w:t>;</w:t>
      </w:r>
      <w:r w:rsidRPr="00854644">
        <w:rPr>
          <w:rFonts w:ascii="Arial" w:hAnsi="Arial" w:cs="Arial"/>
          <w:color w:val="000000"/>
          <w:sz w:val="22"/>
          <w:szCs w:val="22"/>
        </w:rPr>
        <w:t xml:space="preserve"> </w:t>
      </w:r>
    </w:p>
    <w:p w:rsidR="009E74FA" w:rsidRPr="00854644" w:rsidRDefault="009E74FA" w:rsidP="00854644">
      <w:pPr>
        <w:pStyle w:val="ListParagraph"/>
        <w:numPr>
          <w:ilvl w:val="0"/>
          <w:numId w:val="4"/>
        </w:numPr>
        <w:tabs>
          <w:tab w:val="left" w:pos="567"/>
        </w:tabs>
        <w:ind w:left="0" w:firstLine="0"/>
        <w:jc w:val="both"/>
        <w:rPr>
          <w:rFonts w:ascii="Arial" w:hAnsi="Arial" w:cs="Arial"/>
          <w:color w:val="000000"/>
          <w:sz w:val="22"/>
          <w:szCs w:val="22"/>
        </w:rPr>
      </w:pPr>
      <w:r w:rsidRPr="00854644">
        <w:rPr>
          <w:rFonts w:ascii="Arial" w:hAnsi="Arial" w:cs="Arial"/>
          <w:color w:val="000000"/>
          <w:sz w:val="22"/>
          <w:szCs w:val="22"/>
        </w:rPr>
        <w:t>Recruitment of additional internal auditors at regional / provincial level</w:t>
      </w:r>
    </w:p>
    <w:p w:rsidR="009E74FA" w:rsidRPr="00854644" w:rsidRDefault="009E74FA" w:rsidP="00854644">
      <w:pPr>
        <w:pStyle w:val="ListParagraph"/>
        <w:ind w:left="0"/>
        <w:jc w:val="both"/>
        <w:rPr>
          <w:rFonts w:ascii="Arial" w:hAnsi="Arial" w:cs="Arial"/>
          <w:color w:val="000000"/>
          <w:sz w:val="22"/>
          <w:szCs w:val="22"/>
        </w:rPr>
      </w:pPr>
    </w:p>
    <w:p w:rsidR="009E74FA" w:rsidRPr="00854644" w:rsidRDefault="009E74FA" w:rsidP="00854644">
      <w:pPr>
        <w:jc w:val="both"/>
        <w:rPr>
          <w:rFonts w:cs="Arial"/>
          <w:color w:val="000000"/>
        </w:rPr>
      </w:pPr>
      <w:r w:rsidRPr="00854644">
        <w:rPr>
          <w:rFonts w:cs="Arial"/>
          <w:color w:val="000000"/>
        </w:rPr>
        <w:t xml:space="preserve">The department has prioritized investigations into irregular, fruitless and wasteful expenditure as the first step towards effective consequence management.  The Inspectorate directorate under ICC is currently investigating backlog of cases of non- compliance to SCM processes which include amongst others, non-disclosure of interest, irregular, fruitless and wasteful expenditure. The National Commissioner also appointed an Investigation Steering Committee to provide oversight on the process of investigation as well as making recommendations to National Commissioner on disciplinary steps to be taken against officials who have failed to comply with policies and procedures. </w:t>
      </w:r>
    </w:p>
    <w:p w:rsidR="009E74FA" w:rsidRPr="00854644" w:rsidRDefault="009E74FA" w:rsidP="00854644">
      <w:pPr>
        <w:jc w:val="both"/>
        <w:rPr>
          <w:rFonts w:cs="Arial"/>
          <w:color w:val="000000"/>
        </w:rPr>
      </w:pPr>
    </w:p>
    <w:p w:rsidR="009E74FA" w:rsidRPr="00854644" w:rsidRDefault="009E74FA" w:rsidP="00854644">
      <w:pPr>
        <w:jc w:val="both"/>
        <w:rPr>
          <w:rFonts w:cs="Arial"/>
        </w:rPr>
      </w:pPr>
      <w:r w:rsidRPr="00854644">
        <w:rPr>
          <w:rFonts w:cs="Arial"/>
        </w:rPr>
        <w:t xml:space="preserve">As at end </w:t>
      </w:r>
      <w:r w:rsidR="00854644">
        <w:rPr>
          <w:rFonts w:cs="Arial"/>
        </w:rPr>
        <w:t xml:space="preserve">31 </w:t>
      </w:r>
      <w:r w:rsidRPr="00854644">
        <w:rPr>
          <w:rFonts w:cs="Arial"/>
        </w:rPr>
        <w:t>October</w:t>
      </w:r>
      <w:r w:rsidR="00854644">
        <w:rPr>
          <w:rFonts w:cs="Arial"/>
        </w:rPr>
        <w:t xml:space="preserve"> 2015</w:t>
      </w:r>
      <w:r w:rsidRPr="00854644">
        <w:rPr>
          <w:rFonts w:cs="Arial"/>
        </w:rPr>
        <w:t>, the status of investigations is as follows:</w:t>
      </w:r>
    </w:p>
    <w:p w:rsidR="009E74FA" w:rsidRPr="00854644" w:rsidRDefault="009E74FA" w:rsidP="00854644">
      <w:pPr>
        <w:jc w:val="both"/>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731"/>
        <w:gridCol w:w="1731"/>
        <w:gridCol w:w="1731"/>
        <w:gridCol w:w="1732"/>
      </w:tblGrid>
      <w:tr w:rsidR="009E74FA" w:rsidRPr="00D404D2" w:rsidTr="00D404D2">
        <w:tc>
          <w:tcPr>
            <w:tcW w:w="1731" w:type="dxa"/>
            <w:shd w:val="clear" w:color="auto" w:fill="D9D9D9"/>
          </w:tcPr>
          <w:p w:rsidR="009E74FA" w:rsidRPr="00D404D2" w:rsidRDefault="009E74FA" w:rsidP="00D404D2">
            <w:pPr>
              <w:pStyle w:val="NormalWeb"/>
              <w:spacing w:before="0" w:beforeAutospacing="0" w:after="0" w:afterAutospacing="0"/>
              <w:rPr>
                <w:rFonts w:ascii="Arial" w:hAnsi="Arial" w:cs="Arial"/>
                <w:b/>
                <w:sz w:val="22"/>
                <w:szCs w:val="22"/>
              </w:rPr>
            </w:pPr>
            <w:r w:rsidRPr="00D404D2">
              <w:rPr>
                <w:rFonts w:ascii="Arial" w:hAnsi="Arial" w:cs="Arial"/>
                <w:b/>
                <w:sz w:val="22"/>
                <w:szCs w:val="22"/>
              </w:rPr>
              <w:t>Status of investigations</w:t>
            </w:r>
          </w:p>
        </w:tc>
        <w:tc>
          <w:tcPr>
            <w:tcW w:w="1731" w:type="dxa"/>
            <w:shd w:val="clear" w:color="auto" w:fill="D9D9D9"/>
          </w:tcPr>
          <w:p w:rsidR="009E74FA" w:rsidRPr="00D404D2" w:rsidRDefault="009E74FA" w:rsidP="00D404D2">
            <w:pPr>
              <w:pStyle w:val="NormalWeb"/>
              <w:spacing w:before="0" w:beforeAutospacing="0" w:after="0" w:afterAutospacing="0"/>
              <w:textAlignment w:val="center"/>
              <w:rPr>
                <w:rFonts w:ascii="Arial" w:hAnsi="Arial" w:cs="Arial"/>
                <w:sz w:val="22"/>
                <w:szCs w:val="22"/>
              </w:rPr>
            </w:pPr>
            <w:r w:rsidRPr="00D404D2">
              <w:rPr>
                <w:rFonts w:ascii="Arial" w:hAnsi="Arial" w:cs="Arial"/>
                <w:b/>
                <w:bCs/>
                <w:kern w:val="24"/>
                <w:sz w:val="22"/>
                <w:szCs w:val="22"/>
              </w:rPr>
              <w:t>Total cases</w:t>
            </w:r>
          </w:p>
        </w:tc>
        <w:tc>
          <w:tcPr>
            <w:tcW w:w="1731" w:type="dxa"/>
            <w:shd w:val="clear" w:color="auto" w:fill="D9D9D9"/>
          </w:tcPr>
          <w:p w:rsidR="009E74FA" w:rsidRPr="00D404D2" w:rsidRDefault="009E74FA" w:rsidP="00D404D2">
            <w:pPr>
              <w:pStyle w:val="NormalWeb"/>
              <w:spacing w:before="0" w:beforeAutospacing="0" w:after="0" w:afterAutospacing="0"/>
              <w:textAlignment w:val="center"/>
              <w:rPr>
                <w:rFonts w:ascii="Arial" w:hAnsi="Arial" w:cs="Arial"/>
                <w:sz w:val="22"/>
                <w:szCs w:val="22"/>
              </w:rPr>
            </w:pPr>
            <w:r w:rsidRPr="00D404D2">
              <w:rPr>
                <w:rFonts w:ascii="Arial" w:hAnsi="Arial" w:cs="Arial"/>
                <w:b/>
                <w:bCs/>
                <w:kern w:val="24"/>
                <w:sz w:val="22"/>
                <w:szCs w:val="22"/>
              </w:rPr>
              <w:t>Cases Finalized</w:t>
            </w:r>
          </w:p>
        </w:tc>
        <w:tc>
          <w:tcPr>
            <w:tcW w:w="1731" w:type="dxa"/>
            <w:shd w:val="clear" w:color="auto" w:fill="D9D9D9"/>
          </w:tcPr>
          <w:p w:rsidR="009E74FA" w:rsidRPr="00D404D2" w:rsidRDefault="009E74FA" w:rsidP="00D404D2">
            <w:pPr>
              <w:pStyle w:val="NormalWeb"/>
              <w:spacing w:before="0" w:beforeAutospacing="0" w:after="0" w:afterAutospacing="0"/>
              <w:textAlignment w:val="center"/>
              <w:rPr>
                <w:rFonts w:ascii="Arial" w:hAnsi="Arial" w:cs="Arial"/>
                <w:sz w:val="22"/>
                <w:szCs w:val="22"/>
              </w:rPr>
            </w:pPr>
            <w:r w:rsidRPr="00D404D2">
              <w:rPr>
                <w:rFonts w:ascii="Arial" w:hAnsi="Arial" w:cs="Arial"/>
                <w:b/>
                <w:bCs/>
                <w:kern w:val="24"/>
                <w:sz w:val="22"/>
                <w:szCs w:val="22"/>
              </w:rPr>
              <w:t>Investigations in progress</w:t>
            </w:r>
          </w:p>
        </w:tc>
        <w:tc>
          <w:tcPr>
            <w:tcW w:w="1732" w:type="dxa"/>
            <w:shd w:val="clear" w:color="auto" w:fill="D9D9D9"/>
          </w:tcPr>
          <w:p w:rsidR="009E74FA" w:rsidRPr="00D404D2" w:rsidRDefault="009E74FA" w:rsidP="00D404D2">
            <w:pPr>
              <w:pStyle w:val="NormalWeb"/>
              <w:spacing w:before="0" w:beforeAutospacing="0" w:after="0" w:afterAutospacing="0"/>
              <w:textAlignment w:val="center"/>
              <w:rPr>
                <w:rFonts w:ascii="Arial" w:hAnsi="Arial" w:cs="Arial"/>
                <w:sz w:val="22"/>
                <w:szCs w:val="22"/>
              </w:rPr>
            </w:pPr>
            <w:r w:rsidRPr="00D404D2">
              <w:rPr>
                <w:rFonts w:ascii="Arial" w:hAnsi="Arial" w:cs="Arial"/>
                <w:b/>
                <w:bCs/>
                <w:kern w:val="24"/>
                <w:sz w:val="22"/>
                <w:szCs w:val="22"/>
              </w:rPr>
              <w:t>Investigations not yet started</w:t>
            </w:r>
          </w:p>
        </w:tc>
      </w:tr>
      <w:tr w:rsidR="00D404D2" w:rsidRPr="00D404D2" w:rsidTr="00D404D2">
        <w:trPr>
          <w:trHeight w:val="538"/>
        </w:trPr>
        <w:tc>
          <w:tcPr>
            <w:tcW w:w="1731" w:type="dxa"/>
            <w:shd w:val="clear" w:color="auto" w:fill="auto"/>
          </w:tcPr>
          <w:p w:rsidR="009E74FA" w:rsidRPr="00D404D2" w:rsidRDefault="009E74FA" w:rsidP="00D404D2">
            <w:pPr>
              <w:jc w:val="both"/>
              <w:rPr>
                <w:rFonts w:cs="Arial"/>
                <w:color w:val="000000"/>
              </w:rPr>
            </w:pPr>
            <w:r w:rsidRPr="00D404D2">
              <w:rPr>
                <w:rFonts w:cs="Arial"/>
                <w:color w:val="000000"/>
              </w:rPr>
              <w:t>Total</w:t>
            </w:r>
          </w:p>
        </w:tc>
        <w:tc>
          <w:tcPr>
            <w:tcW w:w="1731" w:type="dxa"/>
            <w:shd w:val="clear" w:color="auto" w:fill="auto"/>
          </w:tcPr>
          <w:p w:rsidR="009E74FA" w:rsidRPr="00D404D2" w:rsidRDefault="00D404D2" w:rsidP="00D404D2">
            <w:pPr>
              <w:jc w:val="both"/>
              <w:rPr>
                <w:rFonts w:cs="Arial"/>
                <w:color w:val="000000"/>
              </w:rPr>
            </w:pPr>
            <w:r w:rsidRPr="00D404D2">
              <w:rPr>
                <w:rFonts w:cs="Arial"/>
                <w:color w:val="000000"/>
              </w:rPr>
              <w:t>649</w:t>
            </w:r>
          </w:p>
        </w:tc>
        <w:tc>
          <w:tcPr>
            <w:tcW w:w="1731" w:type="dxa"/>
            <w:shd w:val="clear" w:color="auto" w:fill="auto"/>
          </w:tcPr>
          <w:p w:rsidR="009E74FA" w:rsidRPr="00D404D2" w:rsidRDefault="00D404D2" w:rsidP="00D404D2">
            <w:pPr>
              <w:jc w:val="both"/>
              <w:rPr>
                <w:rFonts w:cs="Arial"/>
                <w:color w:val="000000"/>
              </w:rPr>
            </w:pPr>
            <w:r w:rsidRPr="00D404D2">
              <w:rPr>
                <w:rFonts w:cs="Arial"/>
                <w:color w:val="000000"/>
              </w:rPr>
              <w:t>476</w:t>
            </w:r>
          </w:p>
        </w:tc>
        <w:tc>
          <w:tcPr>
            <w:tcW w:w="1731" w:type="dxa"/>
            <w:shd w:val="clear" w:color="auto" w:fill="auto"/>
          </w:tcPr>
          <w:p w:rsidR="009E74FA" w:rsidRPr="00D404D2" w:rsidRDefault="00D404D2" w:rsidP="00D404D2">
            <w:pPr>
              <w:jc w:val="both"/>
              <w:rPr>
                <w:rFonts w:cs="Arial"/>
                <w:color w:val="000000"/>
              </w:rPr>
            </w:pPr>
            <w:r w:rsidRPr="00D404D2">
              <w:rPr>
                <w:rFonts w:cs="Arial"/>
                <w:color w:val="000000"/>
              </w:rPr>
              <w:t>41</w:t>
            </w:r>
          </w:p>
        </w:tc>
        <w:tc>
          <w:tcPr>
            <w:tcW w:w="1732" w:type="dxa"/>
            <w:shd w:val="clear" w:color="auto" w:fill="auto"/>
          </w:tcPr>
          <w:p w:rsidR="009E74FA" w:rsidRPr="00D404D2" w:rsidRDefault="00D404D2" w:rsidP="00D404D2">
            <w:pPr>
              <w:jc w:val="both"/>
              <w:rPr>
                <w:rFonts w:cs="Arial"/>
                <w:color w:val="000000"/>
              </w:rPr>
            </w:pPr>
            <w:r w:rsidRPr="00D404D2">
              <w:rPr>
                <w:rFonts w:cs="Arial"/>
                <w:color w:val="000000"/>
              </w:rPr>
              <w:t>132</w:t>
            </w:r>
          </w:p>
        </w:tc>
      </w:tr>
    </w:tbl>
    <w:p w:rsidR="007A08F6" w:rsidRPr="00854644" w:rsidRDefault="007A08F6" w:rsidP="00854644">
      <w:pPr>
        <w:rPr>
          <w:rFonts w:cs="Arial"/>
        </w:rPr>
      </w:pPr>
    </w:p>
    <w:p w:rsidR="007A08F6" w:rsidRDefault="007A08F6"/>
    <w:p w:rsidR="007A08F6" w:rsidRDefault="007A08F6"/>
    <w:p w:rsidR="007A08F6" w:rsidRDefault="007A08F6"/>
    <w:sectPr w:rsidR="007A08F6" w:rsidSect="00854644">
      <w:footerReference w:type="default" r:id="rId7"/>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63" w:rsidRDefault="00274863" w:rsidP="00D404D2">
      <w:r>
        <w:separator/>
      </w:r>
    </w:p>
  </w:endnote>
  <w:endnote w:type="continuationSeparator" w:id="0">
    <w:p w:rsidR="00274863" w:rsidRDefault="00274863" w:rsidP="00D404D2">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D2" w:rsidRDefault="00D404D2" w:rsidP="00D404D2">
    <w:pPr>
      <w:pStyle w:val="Footer"/>
    </w:pPr>
    <w:r>
      <w:t>PQ3962 –NW4829E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851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103">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63" w:rsidRDefault="00274863" w:rsidP="00D404D2">
      <w:r>
        <w:separator/>
      </w:r>
    </w:p>
  </w:footnote>
  <w:footnote w:type="continuationSeparator" w:id="0">
    <w:p w:rsidR="00274863" w:rsidRDefault="00274863" w:rsidP="00D40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0E3"/>
    <w:multiLevelType w:val="hybridMultilevel"/>
    <w:tmpl w:val="AC6E9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5B60B0"/>
    <w:multiLevelType w:val="hybridMultilevel"/>
    <w:tmpl w:val="CFEE6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30B3"/>
    <w:multiLevelType w:val="hybridMultilevel"/>
    <w:tmpl w:val="ECB2F0A6"/>
    <w:lvl w:ilvl="0" w:tplc="B2B8B78E">
      <w:start w:val="1"/>
      <w:numFmt w:val="bullet"/>
      <w:lvlText w:val="•"/>
      <w:lvlJc w:val="left"/>
      <w:pPr>
        <w:tabs>
          <w:tab w:val="num" w:pos="720"/>
        </w:tabs>
        <w:ind w:left="720" w:hanging="360"/>
      </w:pPr>
      <w:rPr>
        <w:rFonts w:ascii="Arial" w:hAnsi="Arial" w:hint="default"/>
      </w:rPr>
    </w:lvl>
    <w:lvl w:ilvl="1" w:tplc="3B7A33F6" w:tentative="1">
      <w:start w:val="1"/>
      <w:numFmt w:val="bullet"/>
      <w:lvlText w:val="•"/>
      <w:lvlJc w:val="left"/>
      <w:pPr>
        <w:tabs>
          <w:tab w:val="num" w:pos="1440"/>
        </w:tabs>
        <w:ind w:left="1440" w:hanging="360"/>
      </w:pPr>
      <w:rPr>
        <w:rFonts w:ascii="Arial" w:hAnsi="Arial" w:hint="default"/>
      </w:rPr>
    </w:lvl>
    <w:lvl w:ilvl="2" w:tplc="C9CC5640" w:tentative="1">
      <w:start w:val="1"/>
      <w:numFmt w:val="bullet"/>
      <w:lvlText w:val="•"/>
      <w:lvlJc w:val="left"/>
      <w:pPr>
        <w:tabs>
          <w:tab w:val="num" w:pos="2160"/>
        </w:tabs>
        <w:ind w:left="2160" w:hanging="360"/>
      </w:pPr>
      <w:rPr>
        <w:rFonts w:ascii="Arial" w:hAnsi="Arial" w:hint="default"/>
      </w:rPr>
    </w:lvl>
    <w:lvl w:ilvl="3" w:tplc="7108A73A" w:tentative="1">
      <w:start w:val="1"/>
      <w:numFmt w:val="bullet"/>
      <w:lvlText w:val="•"/>
      <w:lvlJc w:val="left"/>
      <w:pPr>
        <w:tabs>
          <w:tab w:val="num" w:pos="2880"/>
        </w:tabs>
        <w:ind w:left="2880" w:hanging="360"/>
      </w:pPr>
      <w:rPr>
        <w:rFonts w:ascii="Arial" w:hAnsi="Arial" w:hint="default"/>
      </w:rPr>
    </w:lvl>
    <w:lvl w:ilvl="4" w:tplc="F60494D4" w:tentative="1">
      <w:start w:val="1"/>
      <w:numFmt w:val="bullet"/>
      <w:lvlText w:val="•"/>
      <w:lvlJc w:val="left"/>
      <w:pPr>
        <w:tabs>
          <w:tab w:val="num" w:pos="3600"/>
        </w:tabs>
        <w:ind w:left="3600" w:hanging="360"/>
      </w:pPr>
      <w:rPr>
        <w:rFonts w:ascii="Arial" w:hAnsi="Arial" w:hint="default"/>
      </w:rPr>
    </w:lvl>
    <w:lvl w:ilvl="5" w:tplc="2DEE6E5C" w:tentative="1">
      <w:start w:val="1"/>
      <w:numFmt w:val="bullet"/>
      <w:lvlText w:val="•"/>
      <w:lvlJc w:val="left"/>
      <w:pPr>
        <w:tabs>
          <w:tab w:val="num" w:pos="4320"/>
        </w:tabs>
        <w:ind w:left="4320" w:hanging="360"/>
      </w:pPr>
      <w:rPr>
        <w:rFonts w:ascii="Arial" w:hAnsi="Arial" w:hint="default"/>
      </w:rPr>
    </w:lvl>
    <w:lvl w:ilvl="6" w:tplc="3B26753A" w:tentative="1">
      <w:start w:val="1"/>
      <w:numFmt w:val="bullet"/>
      <w:lvlText w:val="•"/>
      <w:lvlJc w:val="left"/>
      <w:pPr>
        <w:tabs>
          <w:tab w:val="num" w:pos="5040"/>
        </w:tabs>
        <w:ind w:left="5040" w:hanging="360"/>
      </w:pPr>
      <w:rPr>
        <w:rFonts w:ascii="Arial" w:hAnsi="Arial" w:hint="default"/>
      </w:rPr>
    </w:lvl>
    <w:lvl w:ilvl="7" w:tplc="97007866" w:tentative="1">
      <w:start w:val="1"/>
      <w:numFmt w:val="bullet"/>
      <w:lvlText w:val="•"/>
      <w:lvlJc w:val="left"/>
      <w:pPr>
        <w:tabs>
          <w:tab w:val="num" w:pos="5760"/>
        </w:tabs>
        <w:ind w:left="5760" w:hanging="360"/>
      </w:pPr>
      <w:rPr>
        <w:rFonts w:ascii="Arial" w:hAnsi="Arial" w:hint="default"/>
      </w:rPr>
    </w:lvl>
    <w:lvl w:ilvl="8" w:tplc="71286FE6" w:tentative="1">
      <w:start w:val="1"/>
      <w:numFmt w:val="bullet"/>
      <w:lvlText w:val="•"/>
      <w:lvlJc w:val="left"/>
      <w:pPr>
        <w:tabs>
          <w:tab w:val="num" w:pos="6480"/>
        </w:tabs>
        <w:ind w:left="6480" w:hanging="360"/>
      </w:pPr>
      <w:rPr>
        <w:rFonts w:ascii="Arial" w:hAnsi="Arial" w:hint="default"/>
      </w:rPr>
    </w:lvl>
  </w:abstractNum>
  <w:abstractNum w:abstractNumId="3">
    <w:nsid w:val="582418DC"/>
    <w:multiLevelType w:val="hybridMultilevel"/>
    <w:tmpl w:val="E98C5BA0"/>
    <w:lvl w:ilvl="0" w:tplc="8A6A7392">
      <w:start w:val="1"/>
      <w:numFmt w:val="bullet"/>
      <w:lvlText w:val="•"/>
      <w:lvlJc w:val="left"/>
      <w:pPr>
        <w:tabs>
          <w:tab w:val="num" w:pos="720"/>
        </w:tabs>
        <w:ind w:left="720" w:hanging="360"/>
      </w:pPr>
      <w:rPr>
        <w:rFonts w:ascii="Arial" w:hAnsi="Arial" w:hint="default"/>
      </w:rPr>
    </w:lvl>
    <w:lvl w:ilvl="1" w:tplc="45E6F232" w:tentative="1">
      <w:start w:val="1"/>
      <w:numFmt w:val="bullet"/>
      <w:lvlText w:val="•"/>
      <w:lvlJc w:val="left"/>
      <w:pPr>
        <w:tabs>
          <w:tab w:val="num" w:pos="1440"/>
        </w:tabs>
        <w:ind w:left="1440" w:hanging="360"/>
      </w:pPr>
      <w:rPr>
        <w:rFonts w:ascii="Arial" w:hAnsi="Arial" w:hint="default"/>
      </w:rPr>
    </w:lvl>
    <w:lvl w:ilvl="2" w:tplc="FEE4141A" w:tentative="1">
      <w:start w:val="1"/>
      <w:numFmt w:val="bullet"/>
      <w:lvlText w:val="•"/>
      <w:lvlJc w:val="left"/>
      <w:pPr>
        <w:tabs>
          <w:tab w:val="num" w:pos="2160"/>
        </w:tabs>
        <w:ind w:left="2160" w:hanging="360"/>
      </w:pPr>
      <w:rPr>
        <w:rFonts w:ascii="Arial" w:hAnsi="Arial" w:hint="default"/>
      </w:rPr>
    </w:lvl>
    <w:lvl w:ilvl="3" w:tplc="89863E9A" w:tentative="1">
      <w:start w:val="1"/>
      <w:numFmt w:val="bullet"/>
      <w:lvlText w:val="•"/>
      <w:lvlJc w:val="left"/>
      <w:pPr>
        <w:tabs>
          <w:tab w:val="num" w:pos="2880"/>
        </w:tabs>
        <w:ind w:left="2880" w:hanging="360"/>
      </w:pPr>
      <w:rPr>
        <w:rFonts w:ascii="Arial" w:hAnsi="Arial" w:hint="default"/>
      </w:rPr>
    </w:lvl>
    <w:lvl w:ilvl="4" w:tplc="E60AAB8A" w:tentative="1">
      <w:start w:val="1"/>
      <w:numFmt w:val="bullet"/>
      <w:lvlText w:val="•"/>
      <w:lvlJc w:val="left"/>
      <w:pPr>
        <w:tabs>
          <w:tab w:val="num" w:pos="3600"/>
        </w:tabs>
        <w:ind w:left="3600" w:hanging="360"/>
      </w:pPr>
      <w:rPr>
        <w:rFonts w:ascii="Arial" w:hAnsi="Arial" w:hint="default"/>
      </w:rPr>
    </w:lvl>
    <w:lvl w:ilvl="5" w:tplc="44829C8A" w:tentative="1">
      <w:start w:val="1"/>
      <w:numFmt w:val="bullet"/>
      <w:lvlText w:val="•"/>
      <w:lvlJc w:val="left"/>
      <w:pPr>
        <w:tabs>
          <w:tab w:val="num" w:pos="4320"/>
        </w:tabs>
        <w:ind w:left="4320" w:hanging="360"/>
      </w:pPr>
      <w:rPr>
        <w:rFonts w:ascii="Arial" w:hAnsi="Arial" w:hint="default"/>
      </w:rPr>
    </w:lvl>
    <w:lvl w:ilvl="6" w:tplc="C464D618" w:tentative="1">
      <w:start w:val="1"/>
      <w:numFmt w:val="bullet"/>
      <w:lvlText w:val="•"/>
      <w:lvlJc w:val="left"/>
      <w:pPr>
        <w:tabs>
          <w:tab w:val="num" w:pos="5040"/>
        </w:tabs>
        <w:ind w:left="5040" w:hanging="360"/>
      </w:pPr>
      <w:rPr>
        <w:rFonts w:ascii="Arial" w:hAnsi="Arial" w:hint="default"/>
      </w:rPr>
    </w:lvl>
    <w:lvl w:ilvl="7" w:tplc="E1AC2722" w:tentative="1">
      <w:start w:val="1"/>
      <w:numFmt w:val="bullet"/>
      <w:lvlText w:val="•"/>
      <w:lvlJc w:val="left"/>
      <w:pPr>
        <w:tabs>
          <w:tab w:val="num" w:pos="5760"/>
        </w:tabs>
        <w:ind w:left="5760" w:hanging="360"/>
      </w:pPr>
      <w:rPr>
        <w:rFonts w:ascii="Arial" w:hAnsi="Arial" w:hint="default"/>
      </w:rPr>
    </w:lvl>
    <w:lvl w:ilvl="8" w:tplc="A886D1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0A4F1E"/>
    <w:rsid w:val="00153578"/>
    <w:rsid w:val="00274863"/>
    <w:rsid w:val="003308FF"/>
    <w:rsid w:val="00371DBC"/>
    <w:rsid w:val="00480694"/>
    <w:rsid w:val="004D1F9F"/>
    <w:rsid w:val="00580A6C"/>
    <w:rsid w:val="00655B00"/>
    <w:rsid w:val="007177EB"/>
    <w:rsid w:val="00730725"/>
    <w:rsid w:val="00737344"/>
    <w:rsid w:val="007A08F6"/>
    <w:rsid w:val="00854644"/>
    <w:rsid w:val="00886374"/>
    <w:rsid w:val="00937411"/>
    <w:rsid w:val="009E74FA"/>
    <w:rsid w:val="00A85103"/>
    <w:rsid w:val="00B875C1"/>
    <w:rsid w:val="00BA5528"/>
    <w:rsid w:val="00BE13C3"/>
    <w:rsid w:val="00C01945"/>
    <w:rsid w:val="00CD0BEB"/>
    <w:rsid w:val="00CD4EA3"/>
    <w:rsid w:val="00D404D2"/>
    <w:rsid w:val="00ED52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4FA"/>
    <w:pPr>
      <w:spacing w:before="100" w:beforeAutospacing="1" w:after="100" w:afterAutospacing="1"/>
    </w:pPr>
    <w:rPr>
      <w:rFonts w:ascii="Times New Roman" w:eastAsia="Calibri" w:hAnsi="Times New Roman"/>
      <w:sz w:val="24"/>
      <w:szCs w:val="24"/>
      <w:lang w:eastAsia="en-ZA"/>
    </w:rPr>
  </w:style>
  <w:style w:type="paragraph" w:styleId="ListParagraph">
    <w:name w:val="List Paragraph"/>
    <w:basedOn w:val="Normal"/>
    <w:uiPriority w:val="34"/>
    <w:qFormat/>
    <w:rsid w:val="009E74FA"/>
    <w:pPr>
      <w:ind w:left="720"/>
      <w:contextualSpacing/>
    </w:pPr>
    <w:rPr>
      <w:rFonts w:ascii="Times New Roman" w:hAnsi="Times New Roman"/>
      <w:sz w:val="24"/>
      <w:szCs w:val="24"/>
      <w:lang w:val="en-US"/>
    </w:rPr>
  </w:style>
  <w:style w:type="table" w:styleId="TableGrid">
    <w:name w:val="Table Grid"/>
    <w:basedOn w:val="TableNormal"/>
    <w:uiPriority w:val="59"/>
    <w:rsid w:val="009E74F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04D2"/>
    <w:pPr>
      <w:tabs>
        <w:tab w:val="center" w:pos="4513"/>
        <w:tab w:val="right" w:pos="9026"/>
      </w:tabs>
    </w:pPr>
  </w:style>
  <w:style w:type="character" w:customStyle="1" w:styleId="HeaderChar">
    <w:name w:val="Header Char"/>
    <w:link w:val="Header"/>
    <w:uiPriority w:val="99"/>
    <w:rsid w:val="00D404D2"/>
    <w:rPr>
      <w:rFonts w:ascii="Arial" w:eastAsia="Times New Roman" w:hAnsi="Arial"/>
      <w:sz w:val="22"/>
      <w:szCs w:val="22"/>
      <w:lang w:eastAsia="en-US"/>
    </w:rPr>
  </w:style>
  <w:style w:type="paragraph" w:styleId="Footer">
    <w:name w:val="footer"/>
    <w:basedOn w:val="Normal"/>
    <w:link w:val="FooterChar"/>
    <w:uiPriority w:val="99"/>
    <w:unhideWhenUsed/>
    <w:rsid w:val="00D404D2"/>
    <w:pPr>
      <w:tabs>
        <w:tab w:val="center" w:pos="4513"/>
        <w:tab w:val="right" w:pos="9026"/>
      </w:tabs>
    </w:pPr>
  </w:style>
  <w:style w:type="character" w:customStyle="1" w:styleId="FooterChar">
    <w:name w:val="Footer Char"/>
    <w:link w:val="Footer"/>
    <w:uiPriority w:val="99"/>
    <w:rsid w:val="00D404D2"/>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2015-11-20T07:29:00Z</cp:lastPrinted>
  <dcterms:created xsi:type="dcterms:W3CDTF">2015-12-01T09:42:00Z</dcterms:created>
  <dcterms:modified xsi:type="dcterms:W3CDTF">2015-12-01T09:42:00Z</dcterms:modified>
</cp:coreProperties>
</file>