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bookmarkStart w:id="0" w:name="_GoBack"/>
      <w:bookmarkEnd w:id="0"/>
    </w:p>
    <w:p w:rsidR="001E5796" w:rsidRDefault="0054119B"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4060193"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A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680E04" w:rsidRPr="00680E04" w:rsidRDefault="001E5796" w:rsidP="00680E04">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E71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680E04" w:rsidRPr="00680E04" w:rsidRDefault="00680E04" w:rsidP="00680E04">
      <w:pPr>
        <w:spacing w:before="100" w:beforeAutospacing="1" w:after="100" w:afterAutospacing="1"/>
        <w:ind w:left="720" w:hanging="720"/>
        <w:rPr>
          <w:rFonts w:ascii="Arial" w:hAnsi="Arial" w:cs="Arial"/>
          <w:b/>
        </w:rPr>
      </w:pPr>
      <w:r w:rsidRPr="00680E04">
        <w:rPr>
          <w:rFonts w:ascii="Arial" w:hAnsi="Arial" w:cs="Arial"/>
          <w:b/>
          <w:noProof/>
        </w:rPr>
        <w:t>3846</w:t>
      </w:r>
      <w:r w:rsidRPr="00680E04">
        <w:rPr>
          <w:rFonts w:ascii="Arial" w:hAnsi="Arial" w:cs="Arial"/>
          <w:b/>
        </w:rPr>
        <w:t>.</w:t>
      </w:r>
      <w:r w:rsidRPr="00680E04">
        <w:rPr>
          <w:rFonts w:ascii="Arial" w:hAnsi="Arial" w:cs="Arial"/>
          <w:b/>
        </w:rPr>
        <w:tab/>
        <w:t>Mrs A M Dreyer (DA) to ask the Minister of Defence and Military Veterans:</w:t>
      </w:r>
    </w:p>
    <w:p w:rsidR="00680E04" w:rsidRPr="00680E04" w:rsidRDefault="00680E04" w:rsidP="00680E04">
      <w:pPr>
        <w:spacing w:before="100" w:beforeAutospacing="1" w:after="100" w:afterAutospacing="1"/>
        <w:ind w:left="720"/>
        <w:jc w:val="both"/>
        <w:rPr>
          <w:rFonts w:ascii="Arial" w:hAnsi="Arial" w:cs="Arial"/>
        </w:rPr>
      </w:pPr>
      <w:r w:rsidRPr="00680E04">
        <w:rPr>
          <w:rFonts w:ascii="Arial" w:hAnsi="Arial" w:cs="Arial"/>
        </w:rPr>
        <w:t>With regard to the 1593 military veterans who received counselling in the 2016-17 financial year, what (a) was the military formation of each military veteran, (b) is the name of the (i) town and (ii) province where each military veteran received counselling, (c) is the name of each service provider who provided counselling in each (i) town and (ii) province (d) is the accreditation status of each service provider (e) what is the total number of service providers that are from the private sector and (f) are the broad categories of counselling that were provided?</w:t>
      </w:r>
      <w:r w:rsidRPr="00680E04">
        <w:rPr>
          <w:rFonts w:ascii="Arial" w:hAnsi="Arial" w:cs="Arial"/>
        </w:rPr>
        <w:tab/>
      </w:r>
      <w:r w:rsidRPr="00680E04">
        <w:rPr>
          <w:rFonts w:ascii="Arial" w:hAnsi="Arial" w:cs="Arial"/>
        </w:rPr>
        <w:tab/>
        <w:t>NW4349E</w:t>
      </w:r>
    </w:p>
    <w:p w:rsidR="00680E04" w:rsidRPr="00680E04" w:rsidRDefault="00680E04" w:rsidP="00680E04">
      <w:pPr>
        <w:spacing w:before="100" w:beforeAutospacing="1" w:after="100" w:afterAutospacing="1"/>
        <w:jc w:val="both"/>
        <w:rPr>
          <w:rFonts w:ascii="Arial" w:hAnsi="Arial" w:cs="Arial"/>
        </w:rPr>
      </w:pPr>
    </w:p>
    <w:p w:rsidR="00680E04" w:rsidRPr="00680E04" w:rsidRDefault="00680E04" w:rsidP="00680E04">
      <w:pPr>
        <w:pStyle w:val="ListParagraph"/>
        <w:numPr>
          <w:ilvl w:val="0"/>
          <w:numId w:val="42"/>
        </w:numPr>
        <w:jc w:val="both"/>
        <w:rPr>
          <w:rFonts w:ascii="Arial" w:hAnsi="Arial" w:cs="Arial"/>
          <w:lang w:val="en-GB"/>
        </w:rPr>
      </w:pPr>
      <w:r w:rsidRPr="00680E04">
        <w:rPr>
          <w:rFonts w:ascii="Arial" w:hAnsi="Arial" w:cs="Arial"/>
          <w:lang w:val="en-GB"/>
        </w:rPr>
        <w:t xml:space="preserve">was the military formation of each military veteran, </w:t>
      </w:r>
    </w:p>
    <w:p w:rsidR="00680E04" w:rsidRPr="00680E04" w:rsidRDefault="00680E04" w:rsidP="00680E04">
      <w:pPr>
        <w:pStyle w:val="ListParagraph"/>
        <w:ind w:left="1080"/>
        <w:jc w:val="both"/>
        <w:rPr>
          <w:rFonts w:ascii="Arial" w:hAnsi="Arial" w:cs="Arial"/>
          <w:lang w:val="en-GB"/>
        </w:rPr>
      </w:pPr>
    </w:p>
    <w:p w:rsidR="00680E04" w:rsidRPr="00680E04" w:rsidRDefault="00680E04" w:rsidP="00680E04">
      <w:pPr>
        <w:pStyle w:val="ListParagraph"/>
        <w:ind w:left="1080"/>
        <w:jc w:val="both"/>
        <w:rPr>
          <w:rFonts w:ascii="Arial" w:hAnsi="Arial" w:cs="Arial"/>
          <w:lang w:val="en-GB"/>
        </w:rPr>
      </w:pPr>
      <w:r w:rsidRPr="00680E04">
        <w:rPr>
          <w:rFonts w:ascii="Arial" w:hAnsi="Arial" w:cs="Arial"/>
          <w:noProof/>
        </w:rPr>
        <w:drawing>
          <wp:inline distT="0" distB="0" distL="0" distR="0" wp14:anchorId="19AD7A17" wp14:editId="2F318F49">
            <wp:extent cx="1231265" cy="229870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2298700"/>
                    </a:xfrm>
                    <a:prstGeom prst="rect">
                      <a:avLst/>
                    </a:prstGeom>
                    <a:noFill/>
                  </pic:spPr>
                </pic:pic>
              </a:graphicData>
            </a:graphic>
          </wp:inline>
        </w:drawing>
      </w:r>
    </w:p>
    <w:p w:rsidR="00680E04" w:rsidRPr="00680E04" w:rsidRDefault="00680E04" w:rsidP="00680E04">
      <w:pPr>
        <w:pStyle w:val="ListParagraph"/>
        <w:jc w:val="both"/>
        <w:rPr>
          <w:rFonts w:ascii="Arial" w:hAnsi="Arial" w:cs="Arial"/>
          <w:lang w:val="en-GB"/>
        </w:rPr>
      </w:pPr>
    </w:p>
    <w:p w:rsidR="00680E04" w:rsidRPr="00680E04" w:rsidRDefault="00680E04" w:rsidP="00680E04">
      <w:pPr>
        <w:pStyle w:val="ListParagraph"/>
        <w:numPr>
          <w:ilvl w:val="0"/>
          <w:numId w:val="42"/>
        </w:numPr>
        <w:jc w:val="both"/>
        <w:rPr>
          <w:rFonts w:ascii="Arial" w:hAnsi="Arial" w:cs="Arial"/>
          <w:lang w:val="en-GB"/>
        </w:rPr>
      </w:pPr>
    </w:p>
    <w:p w:rsidR="00680E04" w:rsidRPr="00680E04" w:rsidRDefault="00680E04" w:rsidP="00680E04">
      <w:pPr>
        <w:pStyle w:val="ListParagraph"/>
        <w:ind w:left="1080"/>
        <w:jc w:val="both"/>
        <w:rPr>
          <w:rFonts w:ascii="Arial" w:hAnsi="Arial" w:cs="Arial"/>
          <w:lang w:val="en-GB"/>
        </w:rPr>
      </w:pPr>
      <w:r w:rsidRPr="00680E04">
        <w:rPr>
          <w:rFonts w:ascii="Arial" w:hAnsi="Arial" w:cs="Arial"/>
          <w:lang w:val="en-GB"/>
        </w:rPr>
        <w:t xml:space="preserve">The reporting format does not drill to a level of town. The process is underway to review the format in order to add other fields.  </w:t>
      </w:r>
    </w:p>
    <w:p w:rsidR="00680E04" w:rsidRPr="00680E04" w:rsidRDefault="00680E04" w:rsidP="00680E04">
      <w:pPr>
        <w:pStyle w:val="ListParagraph"/>
        <w:ind w:left="1080"/>
        <w:jc w:val="both"/>
        <w:rPr>
          <w:rFonts w:ascii="Arial" w:hAnsi="Arial" w:cs="Arial"/>
          <w:lang w:val="en-GB"/>
        </w:rPr>
      </w:pPr>
      <w:r w:rsidRPr="00680E04">
        <w:rPr>
          <w:rFonts w:ascii="Arial" w:hAnsi="Arial" w:cs="Arial"/>
          <w:lang w:val="en-GB"/>
        </w:rPr>
        <w:t xml:space="preserve"> </w:t>
      </w:r>
    </w:p>
    <w:p w:rsidR="00680E04" w:rsidRPr="00680E04" w:rsidRDefault="00680E04" w:rsidP="00680E04">
      <w:pPr>
        <w:pStyle w:val="ListParagraph"/>
        <w:ind w:left="1080"/>
        <w:jc w:val="both"/>
        <w:rPr>
          <w:rFonts w:ascii="Arial" w:hAnsi="Arial" w:cs="Arial"/>
          <w:lang w:val="en-GB"/>
        </w:rPr>
      </w:pPr>
    </w:p>
    <w:p w:rsidR="00680E04" w:rsidRPr="00680E04" w:rsidRDefault="00680E04" w:rsidP="00680E04">
      <w:pPr>
        <w:pStyle w:val="ListParagraph"/>
        <w:ind w:left="1080"/>
        <w:jc w:val="both"/>
        <w:rPr>
          <w:rFonts w:ascii="Arial" w:hAnsi="Arial" w:cs="Arial"/>
          <w:lang w:val="en-GB"/>
        </w:rPr>
      </w:pPr>
      <w:r w:rsidRPr="00680E04">
        <w:rPr>
          <w:rFonts w:ascii="Arial" w:hAnsi="Arial" w:cs="Arial"/>
          <w:noProof/>
        </w:rPr>
        <w:drawing>
          <wp:inline distT="0" distB="0" distL="0" distR="0" wp14:anchorId="1B52AF93" wp14:editId="4E265BE4">
            <wp:extent cx="1450975" cy="2103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2103120"/>
                    </a:xfrm>
                    <a:prstGeom prst="rect">
                      <a:avLst/>
                    </a:prstGeom>
                    <a:noFill/>
                  </pic:spPr>
                </pic:pic>
              </a:graphicData>
            </a:graphic>
          </wp:inline>
        </w:drawing>
      </w:r>
    </w:p>
    <w:p w:rsidR="00680E04" w:rsidRPr="00680E04" w:rsidRDefault="00680E04" w:rsidP="00680E04">
      <w:pPr>
        <w:pStyle w:val="ListParagraph"/>
        <w:jc w:val="both"/>
        <w:rPr>
          <w:rFonts w:ascii="Arial" w:hAnsi="Arial" w:cs="Arial"/>
          <w:lang w:val="en-GB"/>
        </w:rPr>
      </w:pPr>
    </w:p>
    <w:p w:rsidR="00680E04" w:rsidRPr="00680E04" w:rsidRDefault="00680E04" w:rsidP="00680E04">
      <w:pPr>
        <w:pStyle w:val="ListParagraph"/>
        <w:numPr>
          <w:ilvl w:val="0"/>
          <w:numId w:val="42"/>
        </w:numPr>
        <w:jc w:val="both"/>
        <w:rPr>
          <w:rFonts w:ascii="Arial" w:hAnsi="Arial" w:cs="Arial"/>
          <w:lang w:val="en-GB"/>
        </w:rPr>
      </w:pPr>
      <w:r w:rsidRPr="00680E04">
        <w:rPr>
          <w:rFonts w:ascii="Arial" w:hAnsi="Arial" w:cs="Arial"/>
          <w:lang w:val="en-GB"/>
        </w:rPr>
        <w:t xml:space="preserve">is the name of each service provider who provided counselling in each (i) town and (ii) province </w:t>
      </w:r>
    </w:p>
    <w:p w:rsidR="00680E04" w:rsidRPr="00680E04" w:rsidRDefault="00680E04" w:rsidP="00680E04">
      <w:pPr>
        <w:pStyle w:val="ListParagraph"/>
        <w:ind w:left="1080"/>
        <w:jc w:val="both"/>
        <w:rPr>
          <w:rFonts w:ascii="Arial" w:hAnsi="Arial" w:cs="Arial"/>
          <w:lang w:val="en-GB"/>
        </w:rPr>
      </w:pPr>
    </w:p>
    <w:p w:rsidR="00680E04" w:rsidRPr="00680E04" w:rsidRDefault="00680E04" w:rsidP="00680E04">
      <w:pPr>
        <w:pStyle w:val="ListParagraph"/>
        <w:numPr>
          <w:ilvl w:val="0"/>
          <w:numId w:val="41"/>
        </w:numPr>
        <w:jc w:val="both"/>
        <w:rPr>
          <w:rFonts w:ascii="Arial" w:hAnsi="Arial" w:cs="Arial"/>
          <w:lang w:val="en-GB"/>
        </w:rPr>
      </w:pPr>
      <w:r w:rsidRPr="00680E04">
        <w:rPr>
          <w:rFonts w:ascii="Arial" w:hAnsi="Arial" w:cs="Arial"/>
          <w:lang w:val="en-GB"/>
        </w:rPr>
        <w:t>In 2016/17 financial year, Military Veterans and their dependents received treatment at the South African Military Health Service Areas and within the Department of Military Veterans.</w:t>
      </w:r>
    </w:p>
    <w:p w:rsidR="00680E04" w:rsidRPr="00680E04" w:rsidRDefault="00680E04" w:rsidP="00680E04">
      <w:pPr>
        <w:pStyle w:val="ListParagraph"/>
        <w:jc w:val="both"/>
        <w:rPr>
          <w:rFonts w:ascii="Arial" w:hAnsi="Arial" w:cs="Arial"/>
          <w:lang w:val="en-GB"/>
        </w:rPr>
      </w:pPr>
    </w:p>
    <w:p w:rsidR="00680E04" w:rsidRPr="00680E04" w:rsidRDefault="00680E04" w:rsidP="00680E04">
      <w:pPr>
        <w:pStyle w:val="ListParagraph"/>
        <w:numPr>
          <w:ilvl w:val="0"/>
          <w:numId w:val="42"/>
        </w:numPr>
        <w:jc w:val="both"/>
        <w:rPr>
          <w:rFonts w:ascii="Arial" w:hAnsi="Arial" w:cs="Arial"/>
          <w:lang w:val="en-GB"/>
        </w:rPr>
      </w:pPr>
      <w:r w:rsidRPr="00680E04">
        <w:rPr>
          <w:rFonts w:ascii="Arial" w:hAnsi="Arial" w:cs="Arial"/>
          <w:lang w:val="en-GB"/>
        </w:rPr>
        <w:t>is the accreditation status of each service provider</w:t>
      </w:r>
    </w:p>
    <w:p w:rsidR="00680E04" w:rsidRPr="00680E04" w:rsidRDefault="00680E04" w:rsidP="00680E04">
      <w:pPr>
        <w:pStyle w:val="ListParagraph"/>
        <w:ind w:left="1080"/>
        <w:jc w:val="both"/>
        <w:rPr>
          <w:rFonts w:ascii="Arial" w:hAnsi="Arial" w:cs="Arial"/>
          <w:lang w:val="en-GB"/>
        </w:rPr>
      </w:pPr>
    </w:p>
    <w:p w:rsidR="00680E04" w:rsidRPr="00680E04" w:rsidRDefault="00680E04" w:rsidP="00680E04">
      <w:pPr>
        <w:pStyle w:val="ListParagraph"/>
        <w:numPr>
          <w:ilvl w:val="0"/>
          <w:numId w:val="41"/>
        </w:numPr>
        <w:jc w:val="both"/>
        <w:rPr>
          <w:rFonts w:ascii="Arial" w:hAnsi="Arial" w:cs="Arial"/>
          <w:lang w:val="en-GB"/>
        </w:rPr>
      </w:pPr>
      <w:r w:rsidRPr="00680E04">
        <w:rPr>
          <w:rFonts w:ascii="Arial" w:hAnsi="Arial" w:cs="Arial"/>
          <w:lang w:val="en-GB"/>
        </w:rPr>
        <w:t>The South African Military Health Services are accredited under the current Laws and Legislation.</w:t>
      </w:r>
    </w:p>
    <w:p w:rsidR="00680E04" w:rsidRPr="00680E04" w:rsidRDefault="00680E04" w:rsidP="00680E04">
      <w:pPr>
        <w:pStyle w:val="ListParagraph"/>
        <w:jc w:val="both"/>
        <w:rPr>
          <w:rFonts w:ascii="Arial" w:hAnsi="Arial" w:cs="Arial"/>
          <w:lang w:val="en-GB"/>
        </w:rPr>
      </w:pPr>
    </w:p>
    <w:p w:rsidR="00680E04" w:rsidRPr="00680E04" w:rsidRDefault="00680E04" w:rsidP="00680E04">
      <w:pPr>
        <w:pStyle w:val="ListParagraph"/>
        <w:numPr>
          <w:ilvl w:val="0"/>
          <w:numId w:val="42"/>
        </w:numPr>
        <w:jc w:val="both"/>
        <w:rPr>
          <w:rFonts w:ascii="Arial" w:hAnsi="Arial" w:cs="Arial"/>
          <w:lang w:val="en-GB"/>
        </w:rPr>
      </w:pPr>
      <w:r w:rsidRPr="00680E04">
        <w:rPr>
          <w:rFonts w:ascii="Arial" w:hAnsi="Arial" w:cs="Arial"/>
          <w:lang w:val="en-GB"/>
        </w:rPr>
        <w:t>what is the total number of service providers that are from the private sector</w:t>
      </w:r>
    </w:p>
    <w:p w:rsidR="00680E04" w:rsidRPr="00680E04" w:rsidRDefault="00680E04" w:rsidP="00680E04">
      <w:pPr>
        <w:ind w:left="1080"/>
        <w:jc w:val="both"/>
        <w:rPr>
          <w:rFonts w:ascii="Arial" w:hAnsi="Arial" w:cs="Arial"/>
        </w:rPr>
      </w:pPr>
    </w:p>
    <w:p w:rsidR="00680E04" w:rsidRPr="00680E04" w:rsidRDefault="00680E04" w:rsidP="00680E04">
      <w:pPr>
        <w:pStyle w:val="ListParagraph"/>
        <w:numPr>
          <w:ilvl w:val="0"/>
          <w:numId w:val="41"/>
        </w:numPr>
        <w:jc w:val="both"/>
        <w:rPr>
          <w:rFonts w:ascii="Arial" w:hAnsi="Arial" w:cs="Arial"/>
          <w:lang w:val="en-GB"/>
        </w:rPr>
      </w:pPr>
      <w:r w:rsidRPr="00680E04">
        <w:rPr>
          <w:rFonts w:ascii="Arial" w:hAnsi="Arial" w:cs="Arial"/>
          <w:lang w:val="en-GB"/>
        </w:rPr>
        <w:t xml:space="preserve">All Military Veterans were referred to the SAMHS areas and service points. </w:t>
      </w:r>
    </w:p>
    <w:p w:rsidR="00680E04" w:rsidRPr="00680E04" w:rsidRDefault="00680E04" w:rsidP="00680E04">
      <w:pPr>
        <w:jc w:val="both"/>
        <w:rPr>
          <w:rFonts w:ascii="Arial" w:hAnsi="Arial" w:cs="Arial"/>
        </w:rPr>
      </w:pPr>
    </w:p>
    <w:p w:rsidR="00680E04" w:rsidRPr="00680E04" w:rsidRDefault="00680E04" w:rsidP="00680E04">
      <w:pPr>
        <w:jc w:val="both"/>
        <w:rPr>
          <w:rFonts w:ascii="Arial" w:hAnsi="Arial" w:cs="Arial"/>
        </w:rPr>
      </w:pPr>
    </w:p>
    <w:p w:rsidR="00680E04" w:rsidRPr="00680E04" w:rsidRDefault="00680E04" w:rsidP="00680E04">
      <w:pPr>
        <w:pStyle w:val="ListParagraph"/>
        <w:jc w:val="both"/>
        <w:rPr>
          <w:rFonts w:ascii="Arial" w:hAnsi="Arial" w:cs="Arial"/>
          <w:lang w:val="en-GB"/>
        </w:rPr>
      </w:pPr>
    </w:p>
    <w:p w:rsidR="00680E04" w:rsidRPr="00680E04" w:rsidRDefault="00680E04" w:rsidP="00680E04">
      <w:pPr>
        <w:pStyle w:val="ListParagraph"/>
        <w:numPr>
          <w:ilvl w:val="0"/>
          <w:numId w:val="42"/>
        </w:numPr>
        <w:jc w:val="both"/>
        <w:rPr>
          <w:rFonts w:ascii="Arial" w:hAnsi="Arial" w:cs="Arial"/>
          <w:lang w:val="en-GB"/>
        </w:rPr>
      </w:pPr>
      <w:r w:rsidRPr="00680E04">
        <w:rPr>
          <w:rFonts w:ascii="Arial" w:hAnsi="Arial" w:cs="Arial"/>
          <w:lang w:val="en-GB"/>
        </w:rPr>
        <w:t>are the broad categories of counselling that were provided</w:t>
      </w:r>
    </w:p>
    <w:p w:rsidR="00680E04" w:rsidRPr="00680E04" w:rsidRDefault="00680E04" w:rsidP="00680E04">
      <w:pPr>
        <w:pStyle w:val="ListParagraph"/>
        <w:ind w:left="1080"/>
        <w:jc w:val="both"/>
        <w:rPr>
          <w:rFonts w:ascii="Arial" w:hAnsi="Arial" w:cs="Arial"/>
          <w:lang w:val="en-GB"/>
        </w:rPr>
      </w:pPr>
    </w:p>
    <w:p w:rsidR="00680E04" w:rsidRPr="00680E04" w:rsidRDefault="00680E04" w:rsidP="00680E04">
      <w:pPr>
        <w:pStyle w:val="ListParagraph"/>
        <w:ind w:left="1440"/>
        <w:jc w:val="both"/>
        <w:rPr>
          <w:rFonts w:ascii="Arial" w:hAnsi="Arial" w:cs="Arial"/>
          <w:b/>
          <w:lang w:val="en-GB"/>
        </w:rPr>
      </w:pPr>
      <w:r w:rsidRPr="00680E04">
        <w:rPr>
          <w:rFonts w:ascii="Arial" w:hAnsi="Arial" w:cs="Arial"/>
          <w:noProof/>
        </w:rPr>
        <w:lastRenderedPageBreak/>
        <w:drawing>
          <wp:inline distT="0" distB="0" distL="0" distR="0" wp14:anchorId="30A00A3A" wp14:editId="06B52918">
            <wp:extent cx="1790700" cy="2676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676525"/>
                    </a:xfrm>
                    <a:prstGeom prst="rect">
                      <a:avLst/>
                    </a:prstGeom>
                    <a:noFill/>
                    <a:ln>
                      <a:noFill/>
                    </a:ln>
                  </pic:spPr>
                </pic:pic>
              </a:graphicData>
            </a:graphic>
          </wp:inline>
        </w:drawing>
      </w:r>
    </w:p>
    <w:p w:rsidR="00680E04" w:rsidRPr="00680E04" w:rsidRDefault="00680E04" w:rsidP="00680E04">
      <w:pPr>
        <w:jc w:val="both"/>
        <w:rPr>
          <w:rFonts w:ascii="Arial" w:hAnsi="Arial" w:cs="Arial"/>
          <w:b/>
        </w:rPr>
      </w:pPr>
    </w:p>
    <w:p w:rsidR="00680E04" w:rsidRPr="00680E04" w:rsidRDefault="00680E04" w:rsidP="00680E04">
      <w:pPr>
        <w:jc w:val="both"/>
        <w:rPr>
          <w:rFonts w:ascii="Arial" w:hAnsi="Arial" w:cs="Arial"/>
          <w:b/>
        </w:rPr>
      </w:pPr>
    </w:p>
    <w:sectPr w:rsidR="00680E04" w:rsidRPr="00680E04" w:rsidSect="001701DF">
      <w:footerReference w:type="default" r:id="rId13"/>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9B" w:rsidRDefault="0054119B">
      <w:r>
        <w:separator/>
      </w:r>
    </w:p>
  </w:endnote>
  <w:endnote w:type="continuationSeparator" w:id="0">
    <w:p w:rsidR="0054119B" w:rsidRDefault="0054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C3842">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9B" w:rsidRDefault="0054119B">
      <w:r>
        <w:separator/>
      </w:r>
    </w:p>
  </w:footnote>
  <w:footnote w:type="continuationSeparator" w:id="0">
    <w:p w:rsidR="0054119B" w:rsidRDefault="00541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24B2FC5"/>
    <w:multiLevelType w:val="hybridMultilevel"/>
    <w:tmpl w:val="2E62F6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A275F"/>
    <w:multiLevelType w:val="hybridMultilevel"/>
    <w:tmpl w:val="E2BCF4F2"/>
    <w:lvl w:ilvl="0" w:tplc="B148C0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3"/>
  </w:num>
  <w:num w:numId="10">
    <w:abstractNumId w:val="8"/>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9"/>
  </w:num>
  <w:num w:numId="27">
    <w:abstractNumId w:val="4"/>
  </w:num>
  <w:num w:numId="28">
    <w:abstractNumId w:val="22"/>
  </w:num>
  <w:num w:numId="29">
    <w:abstractNumId w:val="10"/>
  </w:num>
  <w:num w:numId="30">
    <w:abstractNumId w:val="9"/>
  </w:num>
  <w:num w:numId="31">
    <w:abstractNumId w:val="39"/>
  </w:num>
  <w:num w:numId="32">
    <w:abstractNumId w:val="11"/>
  </w:num>
  <w:num w:numId="33">
    <w:abstractNumId w:val="33"/>
  </w:num>
  <w:num w:numId="34">
    <w:abstractNumId w:val="16"/>
  </w:num>
  <w:num w:numId="35">
    <w:abstractNumId w:val="7"/>
  </w:num>
  <w:num w:numId="36">
    <w:abstractNumId w:val="14"/>
  </w:num>
  <w:num w:numId="37">
    <w:abstractNumId w:val="21"/>
  </w:num>
  <w:num w:numId="38">
    <w:abstractNumId w:val="24"/>
  </w:num>
  <w:num w:numId="39">
    <w:abstractNumId w:val="15"/>
  </w:num>
  <w:num w:numId="40">
    <w:abstractNumId w:val="27"/>
  </w:num>
  <w:num w:numId="41">
    <w:abstractNumId w:val="1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19B"/>
    <w:rsid w:val="00541B98"/>
    <w:rsid w:val="00545D85"/>
    <w:rsid w:val="005735AA"/>
    <w:rsid w:val="00593171"/>
    <w:rsid w:val="0059608D"/>
    <w:rsid w:val="005A7C9F"/>
    <w:rsid w:val="005E0EF3"/>
    <w:rsid w:val="005E74A8"/>
    <w:rsid w:val="00600EBB"/>
    <w:rsid w:val="00605E36"/>
    <w:rsid w:val="00607BDA"/>
    <w:rsid w:val="00622759"/>
    <w:rsid w:val="006244B0"/>
    <w:rsid w:val="0063446D"/>
    <w:rsid w:val="0064780B"/>
    <w:rsid w:val="00671930"/>
    <w:rsid w:val="0067592D"/>
    <w:rsid w:val="006766BC"/>
    <w:rsid w:val="00677630"/>
    <w:rsid w:val="00680E04"/>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671"/>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13B63"/>
    <w:rsid w:val="00A218D5"/>
    <w:rsid w:val="00A307A4"/>
    <w:rsid w:val="00A34E72"/>
    <w:rsid w:val="00A36976"/>
    <w:rsid w:val="00A52F6C"/>
    <w:rsid w:val="00A54024"/>
    <w:rsid w:val="00A5685A"/>
    <w:rsid w:val="00A574BE"/>
    <w:rsid w:val="00A60E4B"/>
    <w:rsid w:val="00A85A01"/>
    <w:rsid w:val="00AA086B"/>
    <w:rsid w:val="00AA6515"/>
    <w:rsid w:val="00AC27C8"/>
    <w:rsid w:val="00AC3842"/>
    <w:rsid w:val="00AC4A96"/>
    <w:rsid w:val="00AD6512"/>
    <w:rsid w:val="00AD77CA"/>
    <w:rsid w:val="00AE190F"/>
    <w:rsid w:val="00AF354B"/>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0978"/>
    <w:rsid w:val="00CF74A6"/>
    <w:rsid w:val="00D02439"/>
    <w:rsid w:val="00D120B0"/>
    <w:rsid w:val="00D14410"/>
    <w:rsid w:val="00D159F9"/>
    <w:rsid w:val="00D21FF1"/>
    <w:rsid w:val="00D2494C"/>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67AD5A5F-70CE-40C2-85E2-080DF042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tabs>
        <w:tab w:val="clear" w:pos="1800"/>
        <w:tab w:val="num" w:pos="360"/>
      </w:tabs>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4157586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01873567">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4A6D-54DA-4291-AC4F-F5189B42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2</cp:revision>
  <cp:lastPrinted>2016-11-22T06:27:00Z</cp:lastPrinted>
  <dcterms:created xsi:type="dcterms:W3CDTF">2017-12-06T08:10:00Z</dcterms:created>
  <dcterms:modified xsi:type="dcterms:W3CDTF">2017-12-06T08:10:00Z</dcterms:modified>
</cp:coreProperties>
</file>