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566F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E13377">
        <w:rPr>
          <w:u w:val="none"/>
        </w:rPr>
        <w:t>3794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044D2">
        <w:rPr>
          <w:rFonts w:ascii="Arial" w:hAnsi="Arial" w:cs="Arial"/>
          <w:b/>
          <w:bCs/>
        </w:rPr>
        <w:t>FRIDAY, 17 November</w:t>
      </w:r>
      <w:r w:rsidR="008B6896">
        <w:rPr>
          <w:rFonts w:ascii="Arial" w:hAnsi="Arial" w:cs="Arial"/>
          <w:b/>
          <w:bCs/>
        </w:rPr>
        <w:t xml:space="preserv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044D2">
        <w:rPr>
          <w:u w:val="none"/>
        </w:rPr>
        <w:t>44</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E13377" w:rsidRPr="00E13377" w:rsidRDefault="00E13377" w:rsidP="00E13377">
      <w:pPr>
        <w:spacing w:line="320" w:lineRule="exact"/>
        <w:jc w:val="both"/>
        <w:rPr>
          <w:rFonts w:ascii="Arial" w:hAnsi="Arial" w:cs="Arial"/>
          <w:b/>
        </w:rPr>
      </w:pPr>
      <w:r w:rsidRPr="00E13377">
        <w:rPr>
          <w:rFonts w:ascii="Arial" w:hAnsi="Arial" w:cs="Arial"/>
          <w:b/>
        </w:rPr>
        <w:t>3794.</w:t>
      </w:r>
      <w:r w:rsidRPr="00E13377">
        <w:rPr>
          <w:rFonts w:ascii="Arial" w:hAnsi="Arial" w:cs="Arial"/>
          <w:b/>
        </w:rPr>
        <w:tab/>
        <w:t>Mr A M Figlan (DA) to ask the Minister of Home Affairs:</w:t>
      </w:r>
    </w:p>
    <w:p w:rsidR="00C044D2" w:rsidRPr="00C044D2" w:rsidRDefault="00C044D2" w:rsidP="00C044D2">
      <w:pPr>
        <w:spacing w:line="320" w:lineRule="exact"/>
        <w:jc w:val="both"/>
        <w:rPr>
          <w:rFonts w:ascii="Arial" w:hAnsi="Arial" w:cs="Arial"/>
          <w:b/>
        </w:rPr>
      </w:pPr>
    </w:p>
    <w:p w:rsidR="00E13377" w:rsidRPr="00E13377" w:rsidRDefault="00E13377" w:rsidP="00E13377">
      <w:pPr>
        <w:spacing w:line="320" w:lineRule="exact"/>
        <w:jc w:val="both"/>
        <w:rPr>
          <w:rFonts w:ascii="Arial" w:hAnsi="Arial" w:cs="Arial"/>
        </w:rPr>
      </w:pPr>
      <w:r w:rsidRPr="00E13377">
        <w:rPr>
          <w:rFonts w:ascii="Arial" w:hAnsi="Arial" w:cs="Arial"/>
        </w:rPr>
        <w:t>(a) Why has the reliability of the information regarding the verification of the performance on the outreach programmes of the Independent Electoral Commission (IEC) remained a challenge for several years and (b) what plans are in place to realistically address the specified issue given the complexity of the IEC’s operations?</w:t>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sidRPr="00E13377">
        <w:rPr>
          <w:rFonts w:ascii="Arial" w:hAnsi="Arial" w:cs="Arial"/>
        </w:rPr>
        <w:tab/>
      </w:r>
      <w:r>
        <w:rPr>
          <w:rFonts w:ascii="Arial" w:hAnsi="Arial" w:cs="Arial"/>
        </w:rPr>
        <w:t xml:space="preserve">            </w:t>
      </w:r>
      <w:r w:rsidR="004E29C9">
        <w:rPr>
          <w:rFonts w:ascii="Arial" w:hAnsi="Arial" w:cs="Arial"/>
        </w:rPr>
        <w:tab/>
      </w:r>
      <w:r w:rsidR="004E29C9">
        <w:rPr>
          <w:rFonts w:ascii="Arial" w:hAnsi="Arial" w:cs="Arial"/>
        </w:rPr>
        <w:tab/>
      </w:r>
      <w:r w:rsidR="004E29C9">
        <w:rPr>
          <w:rFonts w:ascii="Arial" w:hAnsi="Arial" w:cs="Arial"/>
        </w:rPr>
        <w:tab/>
      </w:r>
      <w:r w:rsidR="004E29C9">
        <w:rPr>
          <w:rFonts w:ascii="Arial" w:hAnsi="Arial" w:cs="Arial"/>
        </w:rPr>
        <w:tab/>
      </w:r>
      <w:r w:rsidR="004E29C9">
        <w:rPr>
          <w:rFonts w:ascii="Arial" w:hAnsi="Arial" w:cs="Arial"/>
        </w:rPr>
        <w:tab/>
      </w:r>
      <w:r w:rsidR="004E29C9">
        <w:rPr>
          <w:rFonts w:ascii="Arial" w:hAnsi="Arial" w:cs="Arial"/>
        </w:rPr>
        <w:tab/>
      </w:r>
      <w:r w:rsidR="004E29C9">
        <w:rPr>
          <w:rFonts w:ascii="Arial" w:hAnsi="Arial" w:cs="Arial"/>
        </w:rPr>
        <w:tab/>
      </w:r>
      <w:r>
        <w:rPr>
          <w:rFonts w:ascii="Arial" w:hAnsi="Arial" w:cs="Arial"/>
        </w:rPr>
        <w:t xml:space="preserve"> </w:t>
      </w:r>
      <w:r w:rsidRPr="00E13377">
        <w:rPr>
          <w:rFonts w:ascii="Arial" w:hAnsi="Arial" w:cs="Arial"/>
        </w:rPr>
        <w:t>NW4292E</w:t>
      </w:r>
    </w:p>
    <w:p w:rsidR="00C02879" w:rsidRDefault="00A43E06" w:rsidP="00974CFC">
      <w:pPr>
        <w:spacing w:line="320" w:lineRule="exact"/>
        <w:jc w:val="both"/>
        <w:rPr>
          <w:rFonts w:ascii="Arial" w:hAnsi="Arial" w:cs="Arial"/>
          <w:lang w:val="en-US"/>
        </w:rPr>
      </w:pP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4E29C9" w:rsidRDefault="004E29C9" w:rsidP="00C02879">
      <w:pPr>
        <w:spacing w:line="320" w:lineRule="exact"/>
        <w:jc w:val="both"/>
        <w:rPr>
          <w:rFonts w:ascii="Arial" w:hAnsi="Arial" w:cs="Arial"/>
          <w:b/>
        </w:rPr>
      </w:pPr>
    </w:p>
    <w:p w:rsidR="004E29C9" w:rsidRPr="004E29C9" w:rsidRDefault="004E29C9" w:rsidP="00C02879">
      <w:pPr>
        <w:spacing w:line="320" w:lineRule="exact"/>
        <w:jc w:val="both"/>
        <w:rPr>
          <w:rFonts w:ascii="Arial" w:hAnsi="Arial" w:cs="Arial"/>
        </w:rPr>
      </w:pPr>
      <w:r w:rsidRPr="004E29C9">
        <w:rPr>
          <w:rFonts w:ascii="Arial" w:hAnsi="Arial" w:cs="Arial"/>
        </w:rPr>
        <w:t xml:space="preserve">The Electoral Commission responded as follows: </w:t>
      </w:r>
    </w:p>
    <w:p w:rsidR="004E29C9" w:rsidRDefault="004E29C9" w:rsidP="00C02879">
      <w:pPr>
        <w:spacing w:line="320" w:lineRule="exact"/>
        <w:jc w:val="both"/>
        <w:rPr>
          <w:rFonts w:ascii="Arial" w:hAnsi="Arial" w:cs="Arial"/>
          <w:b/>
        </w:rPr>
      </w:pPr>
      <w:r>
        <w:rPr>
          <w:rFonts w:ascii="Arial" w:hAnsi="Arial" w:cs="Arial"/>
          <w:b/>
        </w:rPr>
        <w:t xml:space="preserve"> </w:t>
      </w:r>
    </w:p>
    <w:p w:rsidR="002A0B99" w:rsidRDefault="002A0B99" w:rsidP="004E29C9">
      <w:pPr>
        <w:numPr>
          <w:ilvl w:val="0"/>
          <w:numId w:val="39"/>
        </w:numPr>
        <w:spacing w:line="320" w:lineRule="exact"/>
        <w:ind w:hanging="720"/>
        <w:jc w:val="both"/>
        <w:rPr>
          <w:rFonts w:ascii="Arial" w:hAnsi="Arial" w:cs="Arial"/>
        </w:rPr>
      </w:pPr>
      <w:r w:rsidRPr="002A0B99">
        <w:rPr>
          <w:rFonts w:ascii="Arial" w:hAnsi="Arial" w:cs="Arial"/>
        </w:rPr>
        <w:t xml:space="preserve">The Electoral Commission’s Outreach Programme has received a qualified audit from the Auditor General of South Africa for 3 consecutive </w:t>
      </w:r>
      <w:r>
        <w:rPr>
          <w:rFonts w:ascii="Arial" w:hAnsi="Arial" w:cs="Arial"/>
        </w:rPr>
        <w:t xml:space="preserve">financial </w:t>
      </w:r>
      <w:r w:rsidRPr="002A0B99">
        <w:rPr>
          <w:rFonts w:ascii="Arial" w:hAnsi="Arial" w:cs="Arial"/>
        </w:rPr>
        <w:t>years: 2014/2015, 2015/2016 and 2016/2017</w:t>
      </w:r>
      <w:r>
        <w:rPr>
          <w:rFonts w:ascii="Arial" w:hAnsi="Arial" w:cs="Arial"/>
        </w:rPr>
        <w:t xml:space="preserve">. </w:t>
      </w:r>
      <w:r w:rsidR="002370F5">
        <w:rPr>
          <w:rFonts w:ascii="Arial" w:hAnsi="Arial" w:cs="Arial"/>
        </w:rPr>
        <w:t xml:space="preserve">The common reason for </w:t>
      </w:r>
      <w:r>
        <w:rPr>
          <w:rFonts w:ascii="Arial" w:hAnsi="Arial" w:cs="Arial"/>
        </w:rPr>
        <w:t xml:space="preserve">qualification </w:t>
      </w:r>
      <w:r w:rsidR="002370F5">
        <w:rPr>
          <w:rFonts w:ascii="Arial" w:hAnsi="Arial" w:cs="Arial"/>
        </w:rPr>
        <w:t xml:space="preserve">in all three instances </w:t>
      </w:r>
      <w:r>
        <w:rPr>
          <w:rFonts w:ascii="Arial" w:hAnsi="Arial" w:cs="Arial"/>
        </w:rPr>
        <w:t xml:space="preserve">has been the </w:t>
      </w:r>
      <w:r w:rsidR="00722871">
        <w:rPr>
          <w:rFonts w:ascii="Arial" w:hAnsi="Arial" w:cs="Arial"/>
        </w:rPr>
        <w:t xml:space="preserve">reliability of information regarding the verification on Outreach Targets. The source of this has largely </w:t>
      </w:r>
      <w:r w:rsidR="002A52B0">
        <w:rPr>
          <w:rFonts w:ascii="Arial" w:hAnsi="Arial" w:cs="Arial"/>
        </w:rPr>
        <w:t xml:space="preserve">centred on </w:t>
      </w:r>
      <w:r w:rsidR="00722871">
        <w:rPr>
          <w:rFonts w:ascii="Arial" w:hAnsi="Arial" w:cs="Arial"/>
        </w:rPr>
        <w:t>the verification of performance against the target for Civic &amp; Democracy Education</w:t>
      </w:r>
      <w:r w:rsidR="00BC2A6B">
        <w:rPr>
          <w:rFonts w:ascii="Arial" w:hAnsi="Arial" w:cs="Arial"/>
        </w:rPr>
        <w:t xml:space="preserve"> (CDE)</w:t>
      </w:r>
      <w:r w:rsidR="00722871">
        <w:rPr>
          <w:rFonts w:ascii="Arial" w:hAnsi="Arial" w:cs="Arial"/>
        </w:rPr>
        <w:t xml:space="preserve"> Events. </w:t>
      </w:r>
      <w:r w:rsidR="00E57D90">
        <w:rPr>
          <w:rFonts w:ascii="Arial" w:hAnsi="Arial" w:cs="Arial"/>
        </w:rPr>
        <w:t>“</w:t>
      </w:r>
      <w:r w:rsidR="00722871">
        <w:rPr>
          <w:rFonts w:ascii="Arial" w:hAnsi="Arial" w:cs="Arial"/>
        </w:rPr>
        <w:t>Events</w:t>
      </w:r>
      <w:r w:rsidR="00E57D90">
        <w:rPr>
          <w:rFonts w:ascii="Arial" w:hAnsi="Arial" w:cs="Arial"/>
        </w:rPr>
        <w:t>”</w:t>
      </w:r>
      <w:r w:rsidR="00722871">
        <w:rPr>
          <w:rFonts w:ascii="Arial" w:hAnsi="Arial" w:cs="Arial"/>
        </w:rPr>
        <w:t xml:space="preserve"> in this instance refer </w:t>
      </w:r>
      <w:r w:rsidR="00E57D90">
        <w:rPr>
          <w:rFonts w:ascii="Arial" w:hAnsi="Arial" w:cs="Arial"/>
        </w:rPr>
        <w:t>to an activity with an educational objective targeting a specific audience of least 20 people</w:t>
      </w:r>
      <w:r w:rsidR="00BC2A6B">
        <w:rPr>
          <w:rFonts w:ascii="Arial" w:hAnsi="Arial" w:cs="Arial"/>
        </w:rPr>
        <w:t xml:space="preserve"> as defined year on year in the Technical Indicator Descriptions that accompany the Annual Performance Plan</w:t>
      </w:r>
      <w:r w:rsidR="00E57D90">
        <w:rPr>
          <w:rFonts w:ascii="Arial" w:hAnsi="Arial" w:cs="Arial"/>
        </w:rPr>
        <w:t xml:space="preserve">. This is one target out of several that </w:t>
      </w:r>
      <w:r w:rsidR="007E5969">
        <w:rPr>
          <w:rFonts w:ascii="Arial" w:hAnsi="Arial" w:cs="Arial"/>
        </w:rPr>
        <w:t>measure</w:t>
      </w:r>
      <w:r w:rsidR="002A52B0">
        <w:rPr>
          <w:rFonts w:ascii="Arial" w:hAnsi="Arial" w:cs="Arial"/>
        </w:rPr>
        <w:t>s</w:t>
      </w:r>
      <w:r w:rsidR="00E57D90">
        <w:rPr>
          <w:rFonts w:ascii="Arial" w:hAnsi="Arial" w:cs="Arial"/>
        </w:rPr>
        <w:t xml:space="preserve"> the performance of the Outreach Programme. </w:t>
      </w:r>
      <w:r w:rsidR="00722871">
        <w:rPr>
          <w:rFonts w:ascii="Arial" w:hAnsi="Arial" w:cs="Arial"/>
        </w:rPr>
        <w:t xml:space="preserve"> </w:t>
      </w:r>
    </w:p>
    <w:p w:rsidR="00971986" w:rsidRDefault="00971986" w:rsidP="00971986">
      <w:pPr>
        <w:spacing w:line="320" w:lineRule="exact"/>
        <w:ind w:left="720"/>
        <w:jc w:val="both"/>
        <w:rPr>
          <w:rFonts w:ascii="Arial" w:hAnsi="Arial" w:cs="Arial"/>
        </w:rPr>
      </w:pPr>
    </w:p>
    <w:p w:rsidR="00971986" w:rsidRDefault="00971986" w:rsidP="00971986">
      <w:pPr>
        <w:spacing w:line="320" w:lineRule="exact"/>
        <w:ind w:left="720"/>
        <w:jc w:val="both"/>
        <w:rPr>
          <w:rFonts w:ascii="Arial" w:hAnsi="Arial" w:cs="Arial"/>
        </w:rPr>
      </w:pPr>
      <w:r>
        <w:rPr>
          <w:rFonts w:ascii="Arial" w:hAnsi="Arial" w:cs="Arial"/>
        </w:rPr>
        <w:t xml:space="preserve">An event has to be supported by auditable evidence to demonstrate the minimum number of attendees per event and – for purposes of usefulness – educational substance. </w:t>
      </w:r>
    </w:p>
    <w:p w:rsidR="00BC2A6B" w:rsidRDefault="00BC2A6B" w:rsidP="00BC2A6B">
      <w:pPr>
        <w:spacing w:line="320" w:lineRule="exact"/>
        <w:ind w:left="720"/>
        <w:jc w:val="both"/>
        <w:rPr>
          <w:rFonts w:ascii="Arial" w:hAnsi="Arial" w:cs="Arial"/>
        </w:rPr>
      </w:pPr>
    </w:p>
    <w:p w:rsidR="008918C6" w:rsidRDefault="00BC2A6B" w:rsidP="008918C6">
      <w:pPr>
        <w:spacing w:line="320" w:lineRule="exact"/>
        <w:ind w:left="720"/>
        <w:jc w:val="both"/>
        <w:rPr>
          <w:rFonts w:ascii="Arial" w:hAnsi="Arial" w:cs="Arial"/>
        </w:rPr>
      </w:pPr>
      <w:r>
        <w:rPr>
          <w:rFonts w:ascii="Arial" w:hAnsi="Arial" w:cs="Arial"/>
        </w:rPr>
        <w:t xml:space="preserve">The system on which CDE events are captured is known as the Outreach Management System (OMS). </w:t>
      </w:r>
      <w:r w:rsidR="008918C6">
        <w:rPr>
          <w:rFonts w:ascii="Arial" w:hAnsi="Arial" w:cs="Arial"/>
        </w:rPr>
        <w:t xml:space="preserve">Before its advent, events were </w:t>
      </w:r>
      <w:r w:rsidR="008918C6">
        <w:rPr>
          <w:rFonts w:ascii="Arial" w:hAnsi="Arial" w:cs="Arial"/>
        </w:rPr>
        <w:lastRenderedPageBreak/>
        <w:t>captured on Excel Spreadsheets and supporting evidence stored manually.</w:t>
      </w:r>
      <w:r w:rsidR="00E62520">
        <w:rPr>
          <w:rFonts w:ascii="Arial" w:hAnsi="Arial" w:cs="Arial"/>
        </w:rPr>
        <w:t xml:space="preserve"> This was </w:t>
      </w:r>
      <w:r w:rsidR="00E62520" w:rsidRPr="00E62520">
        <w:rPr>
          <w:rFonts w:ascii="Arial" w:hAnsi="Arial" w:cs="Arial"/>
        </w:rPr>
        <w:t>labour-intensive</w:t>
      </w:r>
      <w:r w:rsidR="00E62520">
        <w:rPr>
          <w:rFonts w:ascii="Arial" w:hAnsi="Arial" w:cs="Arial"/>
        </w:rPr>
        <w:t xml:space="preserve">, </w:t>
      </w:r>
      <w:r w:rsidR="00E62520" w:rsidRPr="00E62520">
        <w:rPr>
          <w:rFonts w:ascii="Arial" w:hAnsi="Arial" w:cs="Arial"/>
        </w:rPr>
        <w:t xml:space="preserve">cumbersome </w:t>
      </w:r>
      <w:r w:rsidR="00E62520">
        <w:rPr>
          <w:rFonts w:ascii="Arial" w:hAnsi="Arial" w:cs="Arial"/>
        </w:rPr>
        <w:t xml:space="preserve">and an inefficient way of collecting and collating management data. </w:t>
      </w:r>
      <w:r w:rsidR="008918C6">
        <w:rPr>
          <w:rFonts w:ascii="Arial" w:hAnsi="Arial" w:cs="Arial"/>
        </w:rPr>
        <w:t xml:space="preserve">Thus the OMS was designed to – amongst other things: </w:t>
      </w:r>
    </w:p>
    <w:p w:rsidR="008918C6" w:rsidRDefault="008918C6" w:rsidP="008918C6">
      <w:pPr>
        <w:numPr>
          <w:ilvl w:val="0"/>
          <w:numId w:val="40"/>
        </w:numPr>
        <w:spacing w:line="320" w:lineRule="exact"/>
        <w:jc w:val="both"/>
        <w:rPr>
          <w:rFonts w:ascii="Arial" w:hAnsi="Arial" w:cs="Arial"/>
        </w:rPr>
      </w:pPr>
      <w:r w:rsidRPr="008918C6">
        <w:rPr>
          <w:rFonts w:ascii="Arial" w:hAnsi="Arial" w:cs="Arial"/>
        </w:rPr>
        <w:t>Avail management information and statistical data</w:t>
      </w:r>
      <w:r>
        <w:rPr>
          <w:rFonts w:ascii="Arial" w:hAnsi="Arial" w:cs="Arial"/>
        </w:rPr>
        <w:t>;</w:t>
      </w:r>
      <w:r w:rsidRPr="008918C6">
        <w:rPr>
          <w:rFonts w:ascii="Arial" w:hAnsi="Arial" w:cs="Arial"/>
        </w:rPr>
        <w:t xml:space="preserve"> </w:t>
      </w:r>
    </w:p>
    <w:p w:rsidR="008918C6" w:rsidRDefault="008918C6" w:rsidP="008918C6">
      <w:pPr>
        <w:numPr>
          <w:ilvl w:val="0"/>
          <w:numId w:val="40"/>
        </w:numPr>
        <w:spacing w:line="320" w:lineRule="exact"/>
        <w:jc w:val="both"/>
        <w:rPr>
          <w:rFonts w:ascii="Arial" w:hAnsi="Arial" w:cs="Arial"/>
        </w:rPr>
      </w:pPr>
      <w:r w:rsidRPr="008918C6">
        <w:rPr>
          <w:rFonts w:ascii="Arial" w:hAnsi="Arial" w:cs="Arial"/>
        </w:rPr>
        <w:t>Monitor performance indicators and targets at various levels of the organisation</w:t>
      </w:r>
      <w:r>
        <w:rPr>
          <w:rFonts w:ascii="Arial" w:hAnsi="Arial" w:cs="Arial"/>
        </w:rPr>
        <w:t>; and</w:t>
      </w:r>
    </w:p>
    <w:p w:rsidR="008918C6" w:rsidRDefault="008918C6" w:rsidP="008918C6">
      <w:pPr>
        <w:numPr>
          <w:ilvl w:val="0"/>
          <w:numId w:val="40"/>
        </w:numPr>
        <w:spacing w:line="320" w:lineRule="exact"/>
        <w:jc w:val="both"/>
        <w:rPr>
          <w:rFonts w:ascii="Arial" w:hAnsi="Arial" w:cs="Arial"/>
        </w:rPr>
      </w:pPr>
      <w:r w:rsidRPr="008918C6">
        <w:rPr>
          <w:rFonts w:ascii="Arial" w:hAnsi="Arial" w:cs="Arial"/>
        </w:rPr>
        <w:t>Facilitate quality and risk assurance</w:t>
      </w:r>
      <w:r>
        <w:rPr>
          <w:rFonts w:ascii="Arial" w:hAnsi="Arial" w:cs="Arial"/>
        </w:rPr>
        <w:t>;</w:t>
      </w:r>
    </w:p>
    <w:p w:rsidR="008918C6" w:rsidRDefault="008918C6" w:rsidP="008918C6">
      <w:pPr>
        <w:spacing w:line="320" w:lineRule="exact"/>
        <w:ind w:left="1440"/>
        <w:jc w:val="both"/>
        <w:rPr>
          <w:rFonts w:ascii="Arial" w:hAnsi="Arial" w:cs="Arial"/>
        </w:rPr>
      </w:pPr>
    </w:p>
    <w:p w:rsidR="00BC2A6B" w:rsidRDefault="008918C6" w:rsidP="00BC2A6B">
      <w:pPr>
        <w:spacing w:line="320" w:lineRule="exact"/>
        <w:ind w:left="720"/>
        <w:jc w:val="both"/>
        <w:rPr>
          <w:rFonts w:ascii="Arial" w:hAnsi="Arial" w:cs="Arial"/>
        </w:rPr>
      </w:pPr>
      <w:r>
        <w:rPr>
          <w:rFonts w:ascii="Arial" w:hAnsi="Arial" w:cs="Arial"/>
        </w:rPr>
        <w:t xml:space="preserve">The OMS came into use in </w:t>
      </w:r>
      <w:r w:rsidR="00DF0AA3">
        <w:rPr>
          <w:rFonts w:ascii="Arial" w:hAnsi="Arial" w:cs="Arial"/>
        </w:rPr>
        <w:t xml:space="preserve">April 2015.  </w:t>
      </w:r>
      <w:r w:rsidR="00BC2A6B">
        <w:rPr>
          <w:rFonts w:ascii="Arial" w:hAnsi="Arial" w:cs="Arial"/>
        </w:rPr>
        <w:t xml:space="preserve"> </w:t>
      </w:r>
      <w:r w:rsidR="00DF0AA3" w:rsidRPr="00DF0AA3">
        <w:rPr>
          <w:rFonts w:ascii="Arial" w:hAnsi="Arial" w:cs="Arial"/>
        </w:rPr>
        <w:t xml:space="preserve">All the performance data for CDE events for the 2015-2016 </w:t>
      </w:r>
      <w:r w:rsidR="00A427BA">
        <w:rPr>
          <w:rFonts w:ascii="Arial" w:hAnsi="Arial" w:cs="Arial"/>
        </w:rPr>
        <w:t xml:space="preserve">financial year audits </w:t>
      </w:r>
      <w:r w:rsidR="00DF0AA3" w:rsidRPr="00DF0AA3">
        <w:rPr>
          <w:rFonts w:ascii="Arial" w:hAnsi="Arial" w:cs="Arial"/>
        </w:rPr>
        <w:t>was stored in, generated by, and drawn from the OMS.</w:t>
      </w:r>
      <w:r w:rsidR="00DF0AA3">
        <w:rPr>
          <w:rFonts w:ascii="Arial" w:hAnsi="Arial" w:cs="Arial"/>
        </w:rPr>
        <w:t xml:space="preserve"> </w:t>
      </w:r>
    </w:p>
    <w:p w:rsidR="003C3712" w:rsidRDefault="003C3712" w:rsidP="003C3712">
      <w:pPr>
        <w:spacing w:line="320" w:lineRule="exact"/>
        <w:ind w:left="720"/>
        <w:jc w:val="both"/>
        <w:rPr>
          <w:rFonts w:ascii="Arial" w:hAnsi="Arial" w:cs="Arial"/>
        </w:rPr>
      </w:pPr>
    </w:p>
    <w:p w:rsidR="003C3712" w:rsidRDefault="003C3712" w:rsidP="003C3712">
      <w:pPr>
        <w:spacing w:line="320" w:lineRule="exact"/>
        <w:ind w:left="720"/>
        <w:jc w:val="both"/>
        <w:rPr>
          <w:rFonts w:ascii="Arial" w:hAnsi="Arial" w:cs="Arial"/>
        </w:rPr>
      </w:pPr>
      <w:r>
        <w:rPr>
          <w:rFonts w:ascii="Arial" w:hAnsi="Arial" w:cs="Arial"/>
        </w:rPr>
        <w:t>Reliability has been a challenge due to the following factors:</w:t>
      </w:r>
    </w:p>
    <w:p w:rsidR="008918C6" w:rsidRDefault="008918C6" w:rsidP="003C3712">
      <w:pPr>
        <w:spacing w:line="320" w:lineRule="exact"/>
        <w:ind w:left="720"/>
        <w:jc w:val="both"/>
        <w:rPr>
          <w:rFonts w:ascii="Arial" w:hAnsi="Arial" w:cs="Arial"/>
        </w:rPr>
      </w:pPr>
    </w:p>
    <w:p w:rsidR="00FA4601" w:rsidRDefault="008918C6" w:rsidP="004E29C9">
      <w:pPr>
        <w:numPr>
          <w:ilvl w:val="1"/>
          <w:numId w:val="39"/>
        </w:numPr>
        <w:spacing w:line="320" w:lineRule="atLeast"/>
        <w:rPr>
          <w:rFonts w:ascii="Arial" w:hAnsi="Arial" w:cs="Arial"/>
        </w:rPr>
      </w:pPr>
      <w:r>
        <w:rPr>
          <w:rFonts w:ascii="Arial" w:hAnsi="Arial" w:cs="Arial"/>
        </w:rPr>
        <w:t>F</w:t>
      </w:r>
      <w:r w:rsidRPr="008918C6">
        <w:rPr>
          <w:rFonts w:ascii="Arial" w:hAnsi="Arial" w:cs="Arial"/>
        </w:rPr>
        <w:t>rom the outset, there were repeated shortcomings in the capturing and uploading of auditable evidence</w:t>
      </w:r>
      <w:r w:rsidR="00FA4601">
        <w:rPr>
          <w:rFonts w:ascii="Arial" w:hAnsi="Arial" w:cs="Arial"/>
        </w:rPr>
        <w:t xml:space="preserve">; </w:t>
      </w:r>
    </w:p>
    <w:p w:rsidR="008918C6" w:rsidRPr="008918C6" w:rsidRDefault="00FA4601" w:rsidP="004E29C9">
      <w:pPr>
        <w:numPr>
          <w:ilvl w:val="1"/>
          <w:numId w:val="39"/>
        </w:numPr>
        <w:spacing w:line="320" w:lineRule="atLeast"/>
        <w:rPr>
          <w:rFonts w:ascii="Arial" w:hAnsi="Arial" w:cs="Arial"/>
        </w:rPr>
      </w:pPr>
      <w:r>
        <w:rPr>
          <w:rFonts w:ascii="Arial" w:hAnsi="Arial" w:cs="Arial"/>
        </w:rPr>
        <w:t xml:space="preserve">Most events take place in provincial and local offices of the Electoral Commission. During non-election years the responsibility for capturing the events and the supporting documentation on the OMS falls on Electoral </w:t>
      </w:r>
      <w:r w:rsidR="00E838D1">
        <w:rPr>
          <w:rFonts w:ascii="Arial" w:hAnsi="Arial" w:cs="Arial"/>
        </w:rPr>
        <w:t xml:space="preserve">Project Coordinators </w:t>
      </w:r>
      <w:r>
        <w:rPr>
          <w:rFonts w:ascii="Arial" w:hAnsi="Arial" w:cs="Arial"/>
        </w:rPr>
        <w:t xml:space="preserve">(EPCs). During election years, added contract capacity takes on this responsibility. The events and the supporting documentation are supposed to be reviewed and approved by Regional Supervisors. Provincial staff has supervisory duties to ensure this happens. This scheme has proved fraught and has resulted in events not being captured on time and those that are captured being approved without the requisite supporting documents. In turn has resulted in </w:t>
      </w:r>
      <w:r w:rsidR="008918C6" w:rsidRPr="008918C6">
        <w:rPr>
          <w:rFonts w:ascii="Arial" w:hAnsi="Arial" w:cs="Arial"/>
        </w:rPr>
        <w:t>t</w:t>
      </w:r>
      <w:r w:rsidR="007878F7">
        <w:rPr>
          <w:rFonts w:ascii="Arial" w:hAnsi="Arial" w:cs="Arial"/>
        </w:rPr>
        <w:t>hree consecutive qualifications;</w:t>
      </w:r>
    </w:p>
    <w:p w:rsidR="003C3712" w:rsidRDefault="008918C6" w:rsidP="008918C6">
      <w:pPr>
        <w:numPr>
          <w:ilvl w:val="1"/>
          <w:numId w:val="39"/>
        </w:numPr>
        <w:spacing w:line="320" w:lineRule="exact"/>
        <w:jc w:val="both"/>
        <w:rPr>
          <w:rFonts w:ascii="Arial" w:hAnsi="Arial" w:cs="Arial"/>
        </w:rPr>
      </w:pPr>
      <w:r w:rsidRPr="008918C6">
        <w:rPr>
          <w:rFonts w:ascii="Arial" w:hAnsi="Arial" w:cs="Arial"/>
        </w:rPr>
        <w:t>Poor quality of auditable data was in evidence. Audit findings showed that incorrect evidence was uploaded, or that the educational substance could not be determined</w:t>
      </w:r>
      <w:r w:rsidR="00E6332F">
        <w:rPr>
          <w:rFonts w:ascii="Arial" w:hAnsi="Arial" w:cs="Arial"/>
        </w:rPr>
        <w:t xml:space="preserve"> rendering the target inadequate for purposes of usefulness</w:t>
      </w:r>
      <w:r w:rsidR="007878F7">
        <w:rPr>
          <w:rFonts w:ascii="Arial" w:hAnsi="Arial" w:cs="Arial"/>
        </w:rPr>
        <w:t>; and</w:t>
      </w:r>
    </w:p>
    <w:p w:rsidR="008918C6" w:rsidRDefault="00A2566B" w:rsidP="008918C6">
      <w:pPr>
        <w:numPr>
          <w:ilvl w:val="1"/>
          <w:numId w:val="39"/>
        </w:numPr>
        <w:spacing w:line="320" w:lineRule="exact"/>
        <w:jc w:val="both"/>
        <w:rPr>
          <w:rFonts w:ascii="Arial" w:hAnsi="Arial" w:cs="Arial"/>
        </w:rPr>
      </w:pPr>
      <w:r>
        <w:rPr>
          <w:rFonts w:ascii="Arial" w:hAnsi="Arial" w:cs="Arial"/>
        </w:rPr>
        <w:t>Inadequate and ineffective internal controls to ensure proper record keeping in a timely manner which in turn compromised completeness, relevance and accuracy of the information captured.</w:t>
      </w:r>
    </w:p>
    <w:p w:rsidR="008918C6" w:rsidRDefault="008918C6" w:rsidP="008918C6">
      <w:pPr>
        <w:spacing w:line="320" w:lineRule="exact"/>
        <w:ind w:left="720"/>
        <w:jc w:val="both"/>
        <w:rPr>
          <w:rFonts w:ascii="Arial" w:hAnsi="Arial" w:cs="Arial"/>
        </w:rPr>
      </w:pPr>
    </w:p>
    <w:p w:rsidR="003C3712" w:rsidRDefault="003C3712" w:rsidP="004E29C9">
      <w:pPr>
        <w:numPr>
          <w:ilvl w:val="0"/>
          <w:numId w:val="39"/>
        </w:numPr>
        <w:spacing w:line="320" w:lineRule="exact"/>
        <w:ind w:hanging="720"/>
        <w:jc w:val="both"/>
        <w:rPr>
          <w:rFonts w:ascii="Arial" w:hAnsi="Arial" w:cs="Arial"/>
        </w:rPr>
      </w:pPr>
      <w:r>
        <w:rPr>
          <w:rFonts w:ascii="Arial" w:hAnsi="Arial" w:cs="Arial"/>
        </w:rPr>
        <w:t>The remedial measures that have been taken include:</w:t>
      </w:r>
    </w:p>
    <w:p w:rsidR="00E6332F" w:rsidRDefault="00E6332F" w:rsidP="003C3712">
      <w:pPr>
        <w:numPr>
          <w:ilvl w:val="1"/>
          <w:numId w:val="39"/>
        </w:numPr>
        <w:spacing w:line="320" w:lineRule="exact"/>
        <w:jc w:val="both"/>
        <w:rPr>
          <w:rFonts w:ascii="Arial" w:hAnsi="Arial" w:cs="Arial"/>
        </w:rPr>
      </w:pPr>
      <w:r>
        <w:rPr>
          <w:rFonts w:ascii="Arial" w:hAnsi="Arial" w:cs="Arial"/>
        </w:rPr>
        <w:t>Revision of the Technical Indicator Description that makes it compulsory to upload both a register with a minimum of 20 attendees and evidence of educational substance;</w:t>
      </w:r>
    </w:p>
    <w:p w:rsidR="00E6332F" w:rsidRDefault="0040701B" w:rsidP="003C3712">
      <w:pPr>
        <w:numPr>
          <w:ilvl w:val="1"/>
          <w:numId w:val="39"/>
        </w:numPr>
        <w:spacing w:line="320" w:lineRule="exact"/>
        <w:jc w:val="both"/>
        <w:rPr>
          <w:rFonts w:ascii="Arial" w:hAnsi="Arial" w:cs="Arial"/>
        </w:rPr>
      </w:pPr>
      <w:r>
        <w:rPr>
          <w:rFonts w:ascii="Arial" w:hAnsi="Arial" w:cs="Arial"/>
        </w:rPr>
        <w:t>National Office m</w:t>
      </w:r>
      <w:r w:rsidR="00E6332F">
        <w:rPr>
          <w:rFonts w:ascii="Arial" w:hAnsi="Arial" w:cs="Arial"/>
        </w:rPr>
        <w:t>onthly quality assurance which is effected before an event is approved and thus recorded on the OMS;</w:t>
      </w:r>
    </w:p>
    <w:p w:rsidR="00E6332F" w:rsidRDefault="00E6332F" w:rsidP="003C3712">
      <w:pPr>
        <w:numPr>
          <w:ilvl w:val="1"/>
          <w:numId w:val="39"/>
        </w:numPr>
        <w:spacing w:line="320" w:lineRule="exact"/>
        <w:jc w:val="both"/>
        <w:rPr>
          <w:rFonts w:ascii="Arial" w:hAnsi="Arial" w:cs="Arial"/>
        </w:rPr>
      </w:pPr>
      <w:r>
        <w:rPr>
          <w:rFonts w:ascii="Arial" w:hAnsi="Arial" w:cs="Arial"/>
        </w:rPr>
        <w:t>Enhancement of the OMS to improve the adequacy and effectiveness of internal controls such as segregation of approval duties</w:t>
      </w:r>
      <w:r w:rsidR="002A7D3B">
        <w:rPr>
          <w:rFonts w:ascii="Arial" w:hAnsi="Arial" w:cs="Arial"/>
        </w:rPr>
        <w:t>; and</w:t>
      </w:r>
    </w:p>
    <w:p w:rsidR="003C3712" w:rsidRPr="002A0B99" w:rsidRDefault="00FA4601" w:rsidP="003C3712">
      <w:pPr>
        <w:numPr>
          <w:ilvl w:val="1"/>
          <w:numId w:val="39"/>
        </w:numPr>
        <w:spacing w:line="320" w:lineRule="exact"/>
        <w:jc w:val="both"/>
        <w:rPr>
          <w:rFonts w:ascii="Arial" w:hAnsi="Arial" w:cs="Arial"/>
        </w:rPr>
      </w:pPr>
      <w:r>
        <w:rPr>
          <w:rFonts w:ascii="Arial" w:hAnsi="Arial" w:cs="Arial"/>
        </w:rPr>
        <w:t>Improved communication throughout the value chain and r</w:t>
      </w:r>
      <w:r w:rsidR="00E6332F">
        <w:rPr>
          <w:rFonts w:ascii="Arial" w:hAnsi="Arial" w:cs="Arial"/>
        </w:rPr>
        <w:t>e-training of end-users</w:t>
      </w:r>
      <w:r w:rsidR="002A7D3B">
        <w:rPr>
          <w:rFonts w:ascii="Arial" w:hAnsi="Arial" w:cs="Arial"/>
        </w:rPr>
        <w:t>.</w:t>
      </w:r>
      <w:r w:rsidR="003C3712">
        <w:rPr>
          <w:rFonts w:ascii="Arial" w:hAnsi="Arial" w:cs="Arial"/>
        </w:rPr>
        <w:t xml:space="preserve"> </w:t>
      </w:r>
    </w:p>
    <w:p w:rsidR="00585140" w:rsidRPr="009357F9" w:rsidRDefault="0058514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62" w:rsidRDefault="00464A62">
      <w:r>
        <w:separator/>
      </w:r>
    </w:p>
  </w:endnote>
  <w:endnote w:type="continuationSeparator" w:id="0">
    <w:p w:rsidR="00464A62" w:rsidRDefault="00464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62" w:rsidRDefault="00464A62">
      <w:r>
        <w:separator/>
      </w:r>
    </w:p>
  </w:footnote>
  <w:footnote w:type="continuationSeparator" w:id="0">
    <w:p w:rsidR="00464A62" w:rsidRDefault="00464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C" w:rsidRDefault="00BB5AA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AAC" w:rsidRDefault="00BB5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AC" w:rsidRDefault="00BB5AA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6F5">
      <w:rPr>
        <w:rStyle w:val="PageNumber"/>
        <w:noProof/>
      </w:rPr>
      <w:t>2</w:t>
    </w:r>
    <w:r>
      <w:rPr>
        <w:rStyle w:val="PageNumber"/>
      </w:rPr>
      <w:fldChar w:fldCharType="end"/>
    </w:r>
  </w:p>
  <w:p w:rsidR="00BB5AAC" w:rsidRDefault="00BB5AAC">
    <w:pPr>
      <w:pStyle w:val="Header"/>
    </w:pPr>
  </w:p>
  <w:p w:rsidR="00BB5AAC" w:rsidRDefault="00BB5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C43D52"/>
    <w:multiLevelType w:val="hybridMultilevel"/>
    <w:tmpl w:val="BC3A9038"/>
    <w:lvl w:ilvl="0" w:tplc="B1D01EA4">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433D4B"/>
    <w:multiLevelType w:val="hybridMultilevel"/>
    <w:tmpl w:val="4A0E55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3"/>
  </w:num>
  <w:num w:numId="6">
    <w:abstractNumId w:val="20"/>
  </w:num>
  <w:num w:numId="7">
    <w:abstractNumId w:val="30"/>
  </w:num>
  <w:num w:numId="8">
    <w:abstractNumId w:val="37"/>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18"/>
  </w:num>
  <w:num w:numId="39">
    <w:abstractNumId w:val="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2E9"/>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0F5"/>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0B99"/>
    <w:rsid w:val="002A17C8"/>
    <w:rsid w:val="002A3774"/>
    <w:rsid w:val="002A3F6E"/>
    <w:rsid w:val="002A4105"/>
    <w:rsid w:val="002A518C"/>
    <w:rsid w:val="002A52B0"/>
    <w:rsid w:val="002A58C9"/>
    <w:rsid w:val="002A5CB5"/>
    <w:rsid w:val="002A66E4"/>
    <w:rsid w:val="002A688C"/>
    <w:rsid w:val="002A7D3B"/>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3FE9"/>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3712"/>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0701B"/>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63E"/>
    <w:rsid w:val="00460798"/>
    <w:rsid w:val="0046092E"/>
    <w:rsid w:val="00460F18"/>
    <w:rsid w:val="0046108E"/>
    <w:rsid w:val="0046151A"/>
    <w:rsid w:val="00462B00"/>
    <w:rsid w:val="00462B0F"/>
    <w:rsid w:val="00464A62"/>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9C9"/>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3332"/>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66F5"/>
    <w:rsid w:val="00557819"/>
    <w:rsid w:val="00557CA9"/>
    <w:rsid w:val="005605C9"/>
    <w:rsid w:val="005607AF"/>
    <w:rsid w:val="00561199"/>
    <w:rsid w:val="005616AC"/>
    <w:rsid w:val="005619CB"/>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B70B0"/>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0882"/>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2E7"/>
    <w:rsid w:val="00722871"/>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878F7"/>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5969"/>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9E6"/>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18C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986"/>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66B"/>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7BA"/>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5E3D"/>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A36"/>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60EA"/>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3F4"/>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AAC"/>
    <w:rsid w:val="00BB5D58"/>
    <w:rsid w:val="00BB625B"/>
    <w:rsid w:val="00BB74E8"/>
    <w:rsid w:val="00BB7542"/>
    <w:rsid w:val="00BC19E9"/>
    <w:rsid w:val="00BC28BD"/>
    <w:rsid w:val="00BC2A6B"/>
    <w:rsid w:val="00BC4AA3"/>
    <w:rsid w:val="00BC5364"/>
    <w:rsid w:val="00BC604A"/>
    <w:rsid w:val="00BC7B1E"/>
    <w:rsid w:val="00BD003C"/>
    <w:rsid w:val="00BD1AAA"/>
    <w:rsid w:val="00BD1D58"/>
    <w:rsid w:val="00BD2822"/>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0E2"/>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DC1"/>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30F7"/>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078"/>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0AA3"/>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57D90"/>
    <w:rsid w:val="00E603F6"/>
    <w:rsid w:val="00E614E8"/>
    <w:rsid w:val="00E6237A"/>
    <w:rsid w:val="00E624AB"/>
    <w:rsid w:val="00E62520"/>
    <w:rsid w:val="00E62FFE"/>
    <w:rsid w:val="00E631EF"/>
    <w:rsid w:val="00E6332C"/>
    <w:rsid w:val="00E6332F"/>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8D1"/>
    <w:rsid w:val="00E83BAE"/>
    <w:rsid w:val="00E83F62"/>
    <w:rsid w:val="00E84502"/>
    <w:rsid w:val="00E84AFC"/>
    <w:rsid w:val="00E84C1E"/>
    <w:rsid w:val="00E84CAE"/>
    <w:rsid w:val="00E85976"/>
    <w:rsid w:val="00E86108"/>
    <w:rsid w:val="00E867CD"/>
    <w:rsid w:val="00E868FC"/>
    <w:rsid w:val="00E90851"/>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3D87"/>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97D"/>
    <w:rsid w:val="00FA13E4"/>
    <w:rsid w:val="00FA16BB"/>
    <w:rsid w:val="00FA217F"/>
    <w:rsid w:val="00FA2552"/>
    <w:rsid w:val="00FA386E"/>
    <w:rsid w:val="00FA3C1E"/>
    <w:rsid w:val="00FA4233"/>
    <w:rsid w:val="00FA4601"/>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5BEA"/>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4E29C9"/>
    <w:pPr>
      <w:tabs>
        <w:tab w:val="center" w:pos="4680"/>
        <w:tab w:val="right" w:pos="9360"/>
      </w:tabs>
    </w:pPr>
  </w:style>
  <w:style w:type="character" w:customStyle="1" w:styleId="FooterChar">
    <w:name w:val="Footer Char"/>
    <w:link w:val="Footer"/>
    <w:rsid w:val="004E29C9"/>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A6E3-C8A2-494B-BF12-CA5E9814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2017-12-11T12:42:00Z</cp:lastPrinted>
  <dcterms:created xsi:type="dcterms:W3CDTF">2018-02-02T10:15:00Z</dcterms:created>
  <dcterms:modified xsi:type="dcterms:W3CDTF">2018-02-02T10:15:00Z</dcterms:modified>
</cp:coreProperties>
</file>