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1B47EB">
        <w:rPr>
          <w:rFonts w:cs="Arial"/>
          <w:sz w:val="22"/>
          <w:szCs w:val="22"/>
          <w:u w:val="none"/>
          <w:lang w:val="en-ZA"/>
        </w:rPr>
        <w:t>5</w:t>
      </w:r>
      <w:r w:rsidR="00464C2E">
        <w:rPr>
          <w:rFonts w:cs="Arial"/>
          <w:sz w:val="22"/>
          <w:szCs w:val="22"/>
          <w:u w:val="none"/>
          <w:lang w:val="en-ZA"/>
        </w:rPr>
        <w:t>9</w:t>
      </w:r>
    </w:p>
    <w:p w:rsidR="00F91225" w:rsidRDefault="00F91225" w:rsidP="00F91225">
      <w:pPr>
        <w:rPr>
          <w:lang w:val="en-ZA" w:eastAsia="x-none"/>
        </w:rPr>
      </w:pPr>
    </w:p>
    <w:p w:rsidR="00464C2E" w:rsidRPr="00CF6F47" w:rsidRDefault="00464C2E" w:rsidP="00464C2E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CF6F47">
        <w:rPr>
          <w:rFonts w:ascii="Arial" w:hAnsi="Arial" w:cs="Arial"/>
          <w:b/>
        </w:rPr>
        <w:t>3559.</w:t>
      </w:r>
      <w:r w:rsidRPr="00CF6F47">
        <w:rPr>
          <w:rFonts w:ascii="Arial" w:hAnsi="Arial" w:cs="Arial"/>
          <w:b/>
        </w:rPr>
        <w:tab/>
      </w:r>
      <w:proofErr w:type="spellStart"/>
      <w:r w:rsidRPr="00CF6F47">
        <w:rPr>
          <w:rFonts w:ascii="Arial" w:hAnsi="Arial" w:cs="Arial"/>
          <w:b/>
        </w:rPr>
        <w:t>Ms</w:t>
      </w:r>
      <w:proofErr w:type="spellEnd"/>
      <w:r w:rsidRPr="00CF6F47">
        <w:rPr>
          <w:rFonts w:ascii="Arial" w:hAnsi="Arial" w:cs="Arial"/>
          <w:b/>
        </w:rPr>
        <w:t xml:space="preserve"> Z </w:t>
      </w:r>
      <w:proofErr w:type="spellStart"/>
      <w:r w:rsidRPr="00CF6F47">
        <w:rPr>
          <w:rFonts w:ascii="Arial" w:hAnsi="Arial" w:cs="Arial"/>
          <w:b/>
        </w:rPr>
        <w:t>Jongbloed</w:t>
      </w:r>
      <w:proofErr w:type="spellEnd"/>
      <w:r w:rsidRPr="00CF6F47">
        <w:rPr>
          <w:rFonts w:ascii="Arial" w:hAnsi="Arial" w:cs="Arial"/>
          <w:b/>
        </w:rPr>
        <w:t xml:space="preserve"> (DA) to ask the Minister of Transport:</w:t>
      </w:r>
    </w:p>
    <w:p w:rsidR="00464C2E" w:rsidRPr="00464C2E" w:rsidRDefault="00464C2E" w:rsidP="00464C2E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lang w:val="en-GB"/>
        </w:rPr>
      </w:pPr>
      <w:r w:rsidRPr="00464C2E">
        <w:rPr>
          <w:rFonts w:ascii="Arial" w:hAnsi="Arial" w:cs="Arial"/>
        </w:rPr>
        <w:t>(a) What are the objectives of setting up road-blocks outside international airports in the country, (b) what is the total number of road-blocks that have been set up in the past three financial years at each airport and (c) what were the (</w:t>
      </w:r>
      <w:proofErr w:type="spellStart"/>
      <w:r w:rsidRPr="00464C2E">
        <w:rPr>
          <w:rFonts w:ascii="Arial" w:hAnsi="Arial" w:cs="Arial"/>
        </w:rPr>
        <w:t>i</w:t>
      </w:r>
      <w:proofErr w:type="spellEnd"/>
      <w:r w:rsidRPr="00464C2E">
        <w:rPr>
          <w:rFonts w:ascii="Arial" w:hAnsi="Arial" w:cs="Arial"/>
        </w:rPr>
        <w:t>) outcomes and (ii) statistics in each case?</w:t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</w:r>
      <w:r w:rsidRPr="00464C2E">
        <w:rPr>
          <w:rFonts w:ascii="Arial" w:hAnsi="Arial" w:cs="Arial"/>
        </w:rPr>
        <w:tab/>
        <w:t>NW3987E</w:t>
      </w:r>
    </w:p>
    <w:p w:rsidR="00464C2E" w:rsidRDefault="00464C2E" w:rsidP="00F91225">
      <w:pPr>
        <w:rPr>
          <w:rFonts w:ascii="Arial" w:hAnsi="Arial" w:cs="Arial"/>
          <w:lang w:val="en-ZA" w:eastAsia="x-none"/>
        </w:rPr>
      </w:pPr>
    </w:p>
    <w:p w:rsidR="002132AD" w:rsidRDefault="00CF6F47" w:rsidP="002132AD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:rsidR="002132AD" w:rsidRPr="002132AD" w:rsidRDefault="00CF6F47" w:rsidP="002132AD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Airports Company South Africa SOC Limited (ACSA)</w:t>
      </w:r>
    </w:p>
    <w:p w:rsidR="002132AD" w:rsidRPr="00CF6F47" w:rsidRDefault="002132AD" w:rsidP="00CF6F47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eastAsiaTheme="minorHAnsi" w:hAnsi="Arial" w:cs="Arial"/>
          <w:lang w:val="en-ZA"/>
        </w:rPr>
      </w:pPr>
      <w:r w:rsidRPr="00CF6F47">
        <w:rPr>
          <w:rFonts w:ascii="Arial" w:eastAsiaTheme="minorHAnsi" w:hAnsi="Arial" w:cs="Arial"/>
          <w:lang w:val="en-ZA"/>
        </w:rPr>
        <w:t xml:space="preserve">The SAPS at CTIA address Provincial threats at the Port of Entry </w:t>
      </w:r>
      <w:proofErr w:type="spellStart"/>
      <w:r w:rsidRPr="00CF6F47">
        <w:rPr>
          <w:rFonts w:ascii="Arial" w:eastAsiaTheme="minorHAnsi" w:hAnsi="Arial" w:cs="Arial"/>
          <w:lang w:val="en-ZA"/>
        </w:rPr>
        <w:t>i.t.o</w:t>
      </w:r>
      <w:proofErr w:type="spellEnd"/>
      <w:r w:rsidRPr="00CF6F47">
        <w:rPr>
          <w:rFonts w:ascii="Arial" w:eastAsiaTheme="minorHAnsi" w:hAnsi="Arial" w:cs="Arial"/>
          <w:lang w:val="en-ZA"/>
        </w:rPr>
        <w:t xml:space="preserve"> Section 13(6) of the SAPS Act 68 of 1995. </w:t>
      </w:r>
      <w:proofErr w:type="gramStart"/>
      <w:r w:rsidRPr="00CF6F47">
        <w:rPr>
          <w:rFonts w:ascii="Arial" w:eastAsiaTheme="minorHAnsi" w:hAnsi="Arial" w:cs="Arial"/>
          <w:lang w:val="en-ZA"/>
        </w:rPr>
        <w:t>This include</w:t>
      </w:r>
      <w:proofErr w:type="gramEnd"/>
      <w:r w:rsidRPr="00CF6F47">
        <w:rPr>
          <w:rFonts w:ascii="Arial" w:eastAsiaTheme="minorHAnsi" w:hAnsi="Arial" w:cs="Arial"/>
          <w:lang w:val="en-ZA"/>
        </w:rPr>
        <w:t xml:space="preserve"> setting up of Vehicle Control Points (VCP’s) outside the International Airport.</w:t>
      </w:r>
    </w:p>
    <w:p w:rsidR="002132AD" w:rsidRPr="00CF6F47" w:rsidRDefault="002132AD" w:rsidP="00CF6F47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lang w:val="en-ZA"/>
        </w:rPr>
      </w:pPr>
      <w:r w:rsidRPr="00CF6F47">
        <w:rPr>
          <w:rFonts w:ascii="Arial" w:eastAsiaTheme="minorHAnsi" w:hAnsi="Arial" w:cs="Arial"/>
          <w:lang w:val="en-ZA"/>
        </w:rPr>
        <w:t>The VCP’s is targeted in specific time frames without directing where it should be and it is normally roving according to the threat.</w:t>
      </w:r>
    </w:p>
    <w:p w:rsidR="002132AD" w:rsidRPr="00CF6F47" w:rsidRDefault="002132AD" w:rsidP="002132AD">
      <w:pPr>
        <w:spacing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2132AD" w:rsidRPr="00CF6F47" w:rsidRDefault="002132AD" w:rsidP="00CF6F47">
      <w:pPr>
        <w:spacing w:line="360" w:lineRule="auto"/>
        <w:ind w:left="720" w:hanging="720"/>
        <w:contextualSpacing/>
        <w:jc w:val="both"/>
        <w:rPr>
          <w:rFonts w:ascii="Arial" w:eastAsiaTheme="minorHAnsi" w:hAnsi="Arial" w:cs="Arial"/>
          <w:lang w:val="en-ZA"/>
        </w:rPr>
      </w:pPr>
      <w:r w:rsidRPr="00CF6F47">
        <w:rPr>
          <w:rFonts w:ascii="Arial" w:eastAsiaTheme="minorHAnsi" w:hAnsi="Arial" w:cs="Arial"/>
          <w:lang w:val="en-ZA"/>
        </w:rPr>
        <w:t>(</w:t>
      </w:r>
      <w:proofErr w:type="gramStart"/>
      <w:r w:rsidRPr="00CF6F47">
        <w:rPr>
          <w:rFonts w:ascii="Arial" w:eastAsiaTheme="minorHAnsi" w:hAnsi="Arial" w:cs="Arial"/>
          <w:lang w:val="en-ZA"/>
        </w:rPr>
        <w:t>b</w:t>
      </w:r>
      <w:proofErr w:type="gramEnd"/>
      <w:r w:rsidRPr="00CF6F47">
        <w:rPr>
          <w:rFonts w:ascii="Arial" w:eastAsiaTheme="minorHAnsi" w:hAnsi="Arial" w:cs="Arial"/>
          <w:lang w:val="en-ZA"/>
        </w:rPr>
        <w:t xml:space="preserve"> and c) </w:t>
      </w:r>
      <w:proofErr w:type="gramStart"/>
      <w:r w:rsidRPr="00CF6F47">
        <w:rPr>
          <w:rFonts w:ascii="Arial" w:eastAsiaTheme="minorHAnsi" w:hAnsi="Arial" w:cs="Arial"/>
          <w:lang w:val="en-ZA"/>
        </w:rPr>
        <w:t>Attached numbers for the three financial years with the outcomes.</w:t>
      </w:r>
      <w:proofErr w:type="gramEnd"/>
    </w:p>
    <w:p w:rsidR="002132AD" w:rsidRPr="00CF6F47" w:rsidRDefault="002132AD" w:rsidP="00F91225">
      <w:pPr>
        <w:rPr>
          <w:rFonts w:ascii="Arial" w:hAnsi="Arial" w:cs="Arial"/>
          <w:lang w:val="en-ZA" w:eastAsia="x-non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612"/>
        <w:gridCol w:w="1612"/>
        <w:gridCol w:w="1612"/>
      </w:tblGrid>
      <w:tr w:rsidR="002132AD" w:rsidRPr="00CF6F47" w:rsidTr="00D3521D">
        <w:tc>
          <w:tcPr>
            <w:tcW w:w="2518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  <w:b/>
              </w:rPr>
            </w:pPr>
            <w:r w:rsidRPr="00CF6F47">
              <w:rPr>
                <w:rFonts w:ascii="Arial" w:eastAsiaTheme="minorHAnsi" w:hAnsi="Arial" w:cs="Arial"/>
                <w:b/>
              </w:rPr>
              <w:t>Year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  <w:b/>
              </w:rPr>
            </w:pPr>
            <w:r w:rsidRPr="00CF6F47">
              <w:rPr>
                <w:rFonts w:ascii="Arial" w:eastAsiaTheme="minorHAnsi" w:hAnsi="Arial" w:cs="Arial"/>
                <w:b/>
              </w:rPr>
              <w:t>2016/2017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  <w:b/>
              </w:rPr>
            </w:pPr>
            <w:r w:rsidRPr="00CF6F47">
              <w:rPr>
                <w:rFonts w:ascii="Arial" w:eastAsiaTheme="minorHAnsi" w:hAnsi="Arial" w:cs="Arial"/>
                <w:b/>
              </w:rPr>
              <w:t>2015/2016</w:t>
            </w:r>
          </w:p>
        </w:tc>
        <w:tc>
          <w:tcPr>
            <w:tcW w:w="1612" w:type="dxa"/>
          </w:tcPr>
          <w:p w:rsidR="002132AD" w:rsidRDefault="002132AD" w:rsidP="002132AD">
            <w:pPr>
              <w:rPr>
                <w:rFonts w:ascii="Arial" w:eastAsiaTheme="minorHAnsi" w:hAnsi="Arial" w:cs="Arial"/>
                <w:b/>
              </w:rPr>
            </w:pPr>
            <w:r w:rsidRPr="00CF6F47">
              <w:rPr>
                <w:rFonts w:ascii="Arial" w:eastAsiaTheme="minorHAnsi" w:hAnsi="Arial" w:cs="Arial"/>
                <w:b/>
              </w:rPr>
              <w:t>2014/2015</w:t>
            </w:r>
          </w:p>
          <w:p w:rsidR="00CF6F47" w:rsidRPr="00CF6F47" w:rsidRDefault="00CF6F47" w:rsidP="002132AD">
            <w:pPr>
              <w:rPr>
                <w:rFonts w:ascii="Arial" w:eastAsiaTheme="minorHAnsi" w:hAnsi="Arial" w:cs="Arial"/>
                <w:b/>
              </w:rPr>
            </w:pPr>
          </w:p>
        </w:tc>
      </w:tr>
      <w:tr w:rsidR="002132AD" w:rsidRPr="00CF6F47" w:rsidTr="00D3521D">
        <w:tc>
          <w:tcPr>
            <w:tcW w:w="2518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VCP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265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146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81</w:t>
            </w:r>
          </w:p>
        </w:tc>
      </w:tr>
      <w:tr w:rsidR="002132AD" w:rsidRPr="00CF6F47" w:rsidTr="00D3521D">
        <w:tc>
          <w:tcPr>
            <w:tcW w:w="2518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Vehicles searched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4465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2971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2126</w:t>
            </w:r>
          </w:p>
        </w:tc>
      </w:tr>
      <w:tr w:rsidR="002132AD" w:rsidRPr="00CF6F47" w:rsidTr="00D3521D">
        <w:tc>
          <w:tcPr>
            <w:tcW w:w="2518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J534 Traffic offences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38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124</w:t>
            </w:r>
          </w:p>
        </w:tc>
        <w:tc>
          <w:tcPr>
            <w:tcW w:w="1612" w:type="dxa"/>
          </w:tcPr>
          <w:p w:rsidR="002132AD" w:rsidRPr="00CF6F47" w:rsidRDefault="002132AD" w:rsidP="002132AD">
            <w:pPr>
              <w:rPr>
                <w:rFonts w:ascii="Arial" w:eastAsiaTheme="minorHAnsi" w:hAnsi="Arial" w:cs="Arial"/>
              </w:rPr>
            </w:pPr>
            <w:r w:rsidRPr="00CF6F47">
              <w:rPr>
                <w:rFonts w:ascii="Arial" w:eastAsiaTheme="minorHAnsi" w:hAnsi="Arial" w:cs="Arial"/>
              </w:rPr>
              <w:t>110</w:t>
            </w:r>
          </w:p>
        </w:tc>
      </w:tr>
    </w:tbl>
    <w:p w:rsidR="002132AD" w:rsidRDefault="002132AD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Default="00CF6F47" w:rsidP="00F91225">
      <w:pPr>
        <w:rPr>
          <w:rFonts w:ascii="Arial" w:hAnsi="Arial" w:cs="Arial"/>
          <w:lang w:val="en-ZA" w:eastAsia="x-none"/>
        </w:rPr>
      </w:pPr>
    </w:p>
    <w:p w:rsidR="00CF6F47" w:rsidRPr="00CF6F47" w:rsidRDefault="00CF6F47" w:rsidP="00CF6F47">
      <w:pPr>
        <w:jc w:val="both"/>
        <w:rPr>
          <w:rFonts w:ascii="Arial" w:eastAsiaTheme="minorHAnsi" w:hAnsi="Arial" w:cs="Arial"/>
        </w:rPr>
      </w:pPr>
      <w:r w:rsidRPr="00CF6F47">
        <w:rPr>
          <w:rFonts w:ascii="Arial" w:hAnsi="Arial" w:cs="Arial"/>
        </w:rPr>
        <w:lastRenderedPageBreak/>
        <w:t>Please note that the information in the table below was provided by the South African Police Service (“SAPS”) as it falls within their mandate and responsibility; this function is not carried out by ACSA.</w:t>
      </w:r>
    </w:p>
    <w:p w:rsidR="00CF6F47" w:rsidRPr="002132AD" w:rsidRDefault="00CF6F47" w:rsidP="00CF6F4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CF6F47" w:rsidRPr="002D4778" w:rsidTr="0091777B">
        <w:trPr>
          <w:trHeight w:val="58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F47" w:rsidRPr="002D4778" w:rsidRDefault="00CF6F47" w:rsidP="0091777B">
            <w:pPr>
              <w:jc w:val="center"/>
              <w:rPr>
                <w:rFonts w:ascii="Arial" w:eastAsiaTheme="minorHAnsi" w:hAnsi="Arial" w:cs="Arial"/>
                <w:b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b/>
                <w:sz w:val="20"/>
                <w:lang w:val="en-ZA"/>
              </w:rPr>
              <w:t>SAPS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F47" w:rsidRPr="002D4778" w:rsidRDefault="00CF6F47" w:rsidP="0091777B">
            <w:pPr>
              <w:jc w:val="center"/>
              <w:rPr>
                <w:rFonts w:ascii="Arial" w:eastAsiaTheme="minorHAnsi" w:hAnsi="Arial" w:cs="Arial"/>
                <w:b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b/>
                <w:sz w:val="20"/>
                <w:lang w:val="en-ZA"/>
              </w:rPr>
              <w:t>Comments</w:t>
            </w:r>
          </w:p>
        </w:tc>
      </w:tr>
      <w:tr w:rsidR="00CF6F47" w:rsidRPr="002D4778" w:rsidTr="0091777B">
        <w:trPr>
          <w:trHeight w:val="127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3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What are the objectives of setting up road-blocks outside international airports in the country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Our objective of setting up road-blocks is as follows: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to discourage all crimes by providing a proactive and responsive policing that will reduce the levels of priority crimes</w:t>
            </w:r>
          </w:p>
        </w:tc>
      </w:tr>
      <w:tr w:rsidR="00CF6F47" w:rsidRPr="002D4778" w:rsidTr="0091777B">
        <w:trPr>
          <w:trHeight w:val="90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3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What is the total number of road-blocks that have been set up in the past three financial years at each airport and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Random stop and search procedures are conducted. No formal roadblocks were set up. </w:t>
            </w:r>
          </w:p>
        </w:tc>
      </w:tr>
      <w:tr w:rsidR="00CF6F47" w:rsidRPr="002D4778" w:rsidTr="0091777B">
        <w:trPr>
          <w:trHeight w:val="90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3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What were the </w:t>
            </w:r>
          </w:p>
          <w:p w:rsidR="00CF6F47" w:rsidRPr="002D4778" w:rsidRDefault="00CF6F47" w:rsidP="0091777B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Outcomes and </w:t>
            </w:r>
          </w:p>
          <w:p w:rsidR="00CF6F47" w:rsidRPr="002D4778" w:rsidRDefault="00CF6F47" w:rsidP="0091777B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Statistics in each case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Nil</w:t>
            </w:r>
          </w:p>
        </w:tc>
      </w:tr>
      <w:tr w:rsidR="00CF6F47" w:rsidRPr="002D4778" w:rsidTr="0091777B">
        <w:trPr>
          <w:trHeight w:val="58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F47" w:rsidRPr="002D4778" w:rsidRDefault="00CF6F47" w:rsidP="0091777B">
            <w:pPr>
              <w:jc w:val="center"/>
              <w:rPr>
                <w:rFonts w:ascii="Arial" w:eastAsiaTheme="minorHAnsi" w:hAnsi="Arial" w:cs="Arial"/>
                <w:b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b/>
                <w:sz w:val="20"/>
                <w:lang w:val="en-ZA"/>
              </w:rPr>
              <w:t>METRO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F47" w:rsidRPr="002D4778" w:rsidRDefault="00CF6F47" w:rsidP="0091777B">
            <w:pPr>
              <w:jc w:val="center"/>
              <w:rPr>
                <w:rFonts w:ascii="Arial" w:eastAsiaTheme="minorHAnsi" w:hAnsi="Arial" w:cs="Arial"/>
                <w:b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b/>
                <w:sz w:val="20"/>
                <w:lang w:val="en-ZA"/>
              </w:rPr>
              <w:t>Comments</w:t>
            </w:r>
          </w:p>
        </w:tc>
      </w:tr>
      <w:tr w:rsidR="00CF6F47" w:rsidRPr="002D4778" w:rsidTr="0091777B">
        <w:trPr>
          <w:trHeight w:val="231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6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What are the objectives of setting up road-blocks outside international airports in the country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Our objective in holding Drunk Driving Roadblocks is as follows: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According to the statistics, a large percentage of all serious accidents in the North Region occur as a result of driving under the influence of alcohol. 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Many drunken drivers travel in the Region going to and from casinos and clubs and indulge in alcohol.</w:t>
            </w:r>
          </w:p>
        </w:tc>
      </w:tr>
      <w:tr w:rsidR="00CF6F47" w:rsidRPr="002D4778" w:rsidTr="0091777B">
        <w:trPr>
          <w:trHeight w:val="90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6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What is the total number of road-blocks that have been set up in the past three financial years at each airport and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Four (4)</w:t>
            </w:r>
          </w:p>
        </w:tc>
      </w:tr>
      <w:tr w:rsidR="00CF6F47" w:rsidRPr="002D4778" w:rsidTr="0091777B">
        <w:trPr>
          <w:trHeight w:val="110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6"/>
              </w:numPr>
              <w:ind w:left="447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What were the </w:t>
            </w:r>
          </w:p>
          <w:p w:rsidR="00CF6F47" w:rsidRPr="002D4778" w:rsidRDefault="00CF6F47" w:rsidP="0091777B">
            <w:pPr>
              <w:numPr>
                <w:ilvl w:val="0"/>
                <w:numId w:val="27"/>
              </w:num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Outcomes and </w:t>
            </w:r>
          </w:p>
          <w:p w:rsidR="00CF6F47" w:rsidRPr="002D4778" w:rsidRDefault="00CF6F47" w:rsidP="0091777B">
            <w:pPr>
              <w:numPr>
                <w:ilvl w:val="0"/>
                <w:numId w:val="27"/>
              </w:numPr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Statistics in each case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30</w:t>
            </w:r>
            <w:r w:rsidRPr="002D4778">
              <w:rPr>
                <w:rFonts w:ascii="Arial" w:eastAsiaTheme="minorHAnsi" w:hAnsi="Arial" w:cs="Arial"/>
                <w:sz w:val="20"/>
                <w:vertAlign w:val="superscript"/>
                <w:lang w:val="en-ZA"/>
              </w:rPr>
              <w:t>th</w:t>
            </w: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 of April 2017 – 18 arrests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19</w:t>
            </w:r>
            <w:r w:rsidRPr="002D4778">
              <w:rPr>
                <w:rFonts w:ascii="Arial" w:eastAsiaTheme="minorHAnsi" w:hAnsi="Arial" w:cs="Arial"/>
                <w:sz w:val="20"/>
                <w:vertAlign w:val="superscript"/>
                <w:lang w:val="en-ZA"/>
              </w:rPr>
              <w:t>th</w:t>
            </w: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 of May 2017 – 16 arrests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3</w:t>
            </w:r>
            <w:r w:rsidRPr="002D4778">
              <w:rPr>
                <w:rFonts w:ascii="Arial" w:eastAsiaTheme="minorHAnsi" w:hAnsi="Arial" w:cs="Arial"/>
                <w:sz w:val="20"/>
                <w:vertAlign w:val="superscript"/>
                <w:lang w:val="en-ZA"/>
              </w:rPr>
              <w:t>rd</w:t>
            </w: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 of June 2017 – 20 arrests</w:t>
            </w:r>
          </w:p>
          <w:p w:rsidR="00CF6F47" w:rsidRPr="002D4778" w:rsidRDefault="00CF6F47" w:rsidP="0091777B">
            <w:pPr>
              <w:numPr>
                <w:ilvl w:val="0"/>
                <w:numId w:val="24"/>
              </w:numPr>
              <w:ind w:left="454"/>
              <w:rPr>
                <w:rFonts w:ascii="Arial" w:eastAsiaTheme="minorHAnsi" w:hAnsi="Arial" w:cs="Arial"/>
                <w:sz w:val="20"/>
                <w:lang w:val="en-ZA"/>
              </w:rPr>
            </w:pP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>21</w:t>
            </w:r>
            <w:r w:rsidRPr="002D4778">
              <w:rPr>
                <w:rFonts w:ascii="Arial" w:eastAsiaTheme="minorHAnsi" w:hAnsi="Arial" w:cs="Arial"/>
                <w:sz w:val="20"/>
                <w:vertAlign w:val="superscript"/>
                <w:lang w:val="en-ZA"/>
              </w:rPr>
              <w:t>st</w:t>
            </w:r>
            <w:r w:rsidRPr="002D4778">
              <w:rPr>
                <w:rFonts w:ascii="Arial" w:eastAsiaTheme="minorHAnsi" w:hAnsi="Arial" w:cs="Arial"/>
                <w:sz w:val="20"/>
                <w:lang w:val="en-ZA"/>
              </w:rPr>
              <w:t xml:space="preserve"> of October 2017 – 19 arrests</w:t>
            </w:r>
          </w:p>
        </w:tc>
      </w:tr>
    </w:tbl>
    <w:p w:rsidR="00CF6F47" w:rsidRDefault="00CF6F47" w:rsidP="00CF6F47">
      <w:pPr>
        <w:rPr>
          <w:rFonts w:ascii="Arial" w:hAnsi="Arial" w:cs="Arial"/>
          <w:lang w:val="en-ZA" w:eastAsia="x-none"/>
        </w:rPr>
      </w:pPr>
    </w:p>
    <w:p w:rsidR="00CF6F47" w:rsidRPr="00464C2E" w:rsidRDefault="00CF6F47" w:rsidP="00CF6F47">
      <w:pPr>
        <w:rPr>
          <w:rFonts w:ascii="Arial" w:hAnsi="Arial" w:cs="Arial"/>
          <w:lang w:val="en-ZA" w:eastAsia="x-none"/>
        </w:rPr>
      </w:pPr>
    </w:p>
    <w:p w:rsidR="00CF6F47" w:rsidRPr="00CF6F47" w:rsidRDefault="00CF6F47" w:rsidP="00F91225">
      <w:pPr>
        <w:rPr>
          <w:rFonts w:ascii="Arial" w:hAnsi="Arial" w:cs="Arial"/>
          <w:lang w:val="en-ZA" w:eastAsia="x-none"/>
        </w:rPr>
      </w:pPr>
    </w:p>
    <w:sectPr w:rsidR="00CF6F47" w:rsidRPr="00CF6F4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1" w:rsidRDefault="00F76B71" w:rsidP="00DB1508">
      <w:pPr>
        <w:spacing w:after="0" w:line="240" w:lineRule="auto"/>
      </w:pPr>
      <w:r>
        <w:separator/>
      </w:r>
    </w:p>
  </w:endnote>
  <w:endnote w:type="continuationSeparator" w:id="0">
    <w:p w:rsidR="00F76B71" w:rsidRDefault="00F76B7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1" w:rsidRDefault="00F76B71" w:rsidP="00DB1508">
      <w:pPr>
        <w:spacing w:after="0" w:line="240" w:lineRule="auto"/>
      </w:pPr>
      <w:r>
        <w:separator/>
      </w:r>
    </w:p>
  </w:footnote>
  <w:footnote w:type="continuationSeparator" w:id="0">
    <w:p w:rsidR="00F76B71" w:rsidRDefault="00F76B7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9D3"/>
    <w:multiLevelType w:val="hybridMultilevel"/>
    <w:tmpl w:val="379CC4E0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4CB3"/>
    <w:multiLevelType w:val="hybridMultilevel"/>
    <w:tmpl w:val="49E08BF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E0B74"/>
    <w:multiLevelType w:val="hybridMultilevel"/>
    <w:tmpl w:val="379CC4E0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175651"/>
    <w:multiLevelType w:val="hybridMultilevel"/>
    <w:tmpl w:val="49E08BF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43150D0"/>
    <w:multiLevelType w:val="hybridMultilevel"/>
    <w:tmpl w:val="24A2B00C"/>
    <w:lvl w:ilvl="0" w:tplc="3BA21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4AA"/>
    <w:multiLevelType w:val="hybridMultilevel"/>
    <w:tmpl w:val="C6DC5886"/>
    <w:lvl w:ilvl="0" w:tplc="A4DE7D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8"/>
  </w:num>
  <w:num w:numId="10">
    <w:abstractNumId w:val="12"/>
  </w:num>
  <w:num w:numId="11">
    <w:abstractNumId w:val="25"/>
  </w:num>
  <w:num w:numId="12">
    <w:abstractNumId w:val="6"/>
  </w:num>
  <w:num w:numId="13">
    <w:abstractNumId w:val="14"/>
  </w:num>
  <w:num w:numId="14">
    <w:abstractNumId w:val="22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26"/>
  </w:num>
  <w:num w:numId="20">
    <w:abstractNumId w:val="9"/>
  </w:num>
  <w:num w:numId="21">
    <w:abstractNumId w:val="20"/>
  </w:num>
  <w:num w:numId="22">
    <w:abstractNumId w:val="23"/>
  </w:num>
  <w:num w:numId="23">
    <w:abstractNumId w:val="7"/>
  </w:num>
  <w:num w:numId="24">
    <w:abstractNumId w:val="24"/>
  </w:num>
  <w:num w:numId="25">
    <w:abstractNumId w:val="10"/>
  </w:num>
  <w:num w:numId="26">
    <w:abstractNumId w:val="13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84B38"/>
    <w:rsid w:val="0009500E"/>
    <w:rsid w:val="000A0DBF"/>
    <w:rsid w:val="000A3D6B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1F7C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2AD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02C5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719D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4C2E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3AC5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6D83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7F70B0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2187"/>
    <w:rsid w:val="008A3260"/>
    <w:rsid w:val="008A52D5"/>
    <w:rsid w:val="008B2E50"/>
    <w:rsid w:val="008B4716"/>
    <w:rsid w:val="008B7B8C"/>
    <w:rsid w:val="008C0374"/>
    <w:rsid w:val="008C2F92"/>
    <w:rsid w:val="008D33AA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6F4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55ED9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2CDE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4E2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0379"/>
    <w:rsid w:val="00F4106F"/>
    <w:rsid w:val="00F41319"/>
    <w:rsid w:val="00F47756"/>
    <w:rsid w:val="00F477AC"/>
    <w:rsid w:val="00F50A1A"/>
    <w:rsid w:val="00F526AD"/>
    <w:rsid w:val="00F53DA1"/>
    <w:rsid w:val="00F54D10"/>
    <w:rsid w:val="00F5526F"/>
    <w:rsid w:val="00F65142"/>
    <w:rsid w:val="00F66AA5"/>
    <w:rsid w:val="00F730E5"/>
    <w:rsid w:val="00F76B71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178B"/>
    <w:rsid w:val="00FA3CC6"/>
    <w:rsid w:val="00FA6022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2132A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2132A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B284-869E-4AE9-AD7C-8FA2F77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2017-11-09T06:37:00Z</cp:lastPrinted>
  <dcterms:created xsi:type="dcterms:W3CDTF">2017-11-10T09:48:00Z</dcterms:created>
  <dcterms:modified xsi:type="dcterms:W3CDTF">2017-11-10T09:48:00Z</dcterms:modified>
</cp:coreProperties>
</file>