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87" w:rsidRDefault="00AB0C87">
      <w:pPr>
        <w:pStyle w:val="BodyTextIndent2"/>
        <w:tabs>
          <w:tab w:val="clear" w:pos="864"/>
          <w:tab w:val="left" w:pos="720"/>
          <w:tab w:val="left" w:pos="2700"/>
        </w:tabs>
        <w:jc w:val="center"/>
        <w:rPr>
          <w:rFonts w:ascii="Arial" w:hAnsi="Arial"/>
          <w:b/>
          <w:bCs/>
          <w:sz w:val="20"/>
          <w:szCs w:val="20"/>
        </w:rPr>
      </w:pPr>
    </w:p>
    <w:p w:rsidR="00AB0C87" w:rsidRDefault="009E07EF">
      <w:pPr>
        <w:pStyle w:val="BodyTextIndent2"/>
        <w:tabs>
          <w:tab w:val="clear" w:pos="864"/>
          <w:tab w:val="left" w:pos="720"/>
          <w:tab w:val="left" w:pos="270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</w:t>
      </w:r>
      <w:r w:rsidR="003E78BE">
        <w:rPr>
          <w:rFonts w:ascii="Arial" w:hAnsi="Arial"/>
          <w:b/>
          <w:bCs/>
          <w:sz w:val="20"/>
          <w:szCs w:val="20"/>
        </w:rPr>
        <w:t>THE NATIONAL ASSEMBLY</w:t>
      </w:r>
    </w:p>
    <w:p w:rsidR="00AB0C87" w:rsidRDefault="009E07EF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</w:t>
      </w:r>
      <w:r w:rsidR="003E78BE">
        <w:rPr>
          <w:rFonts w:ascii="Arial" w:hAnsi="Arial"/>
          <w:b/>
          <w:bCs/>
          <w:sz w:val="20"/>
          <w:szCs w:val="20"/>
        </w:rPr>
        <w:t>QUESTION FOR WRITTEN REPLY</w:t>
      </w:r>
    </w:p>
    <w:p w:rsidR="0043308A" w:rsidRDefault="0043308A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B0C87" w:rsidRPr="006A164B" w:rsidRDefault="0043308A">
      <w:pPr>
        <w:spacing w:before="100" w:after="100" w:line="36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6A164B">
        <w:rPr>
          <w:rFonts w:ascii="Arial" w:hAnsi="Arial" w:cs="Arial"/>
          <w:b/>
          <w:bCs/>
          <w:sz w:val="20"/>
          <w:szCs w:val="20"/>
        </w:rPr>
        <w:t>3060.</w:t>
      </w:r>
      <w:r w:rsidRPr="006A164B">
        <w:rPr>
          <w:rFonts w:ascii="Arial" w:hAnsi="Arial" w:cs="Arial"/>
          <w:b/>
          <w:bCs/>
          <w:sz w:val="20"/>
          <w:szCs w:val="20"/>
        </w:rPr>
        <w:tab/>
      </w:r>
      <w:r w:rsidRPr="006A164B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3E78BE" w:rsidRPr="006A164B">
        <w:rPr>
          <w:rFonts w:ascii="Arial" w:hAnsi="Arial" w:cs="Arial"/>
          <w:b/>
          <w:bCs/>
          <w:sz w:val="20"/>
          <w:szCs w:val="20"/>
        </w:rPr>
        <w:t>Mr</w:t>
      </w:r>
      <w:proofErr w:type="spellEnd"/>
      <w:r w:rsidR="003E78BE" w:rsidRPr="006A164B">
        <w:rPr>
          <w:rFonts w:ascii="Arial" w:hAnsi="Arial" w:cs="Arial"/>
          <w:b/>
          <w:bCs/>
          <w:sz w:val="20"/>
          <w:szCs w:val="20"/>
        </w:rPr>
        <w:t xml:space="preserve"> A R </w:t>
      </w:r>
      <w:proofErr w:type="spellStart"/>
      <w:r w:rsidR="003E78BE" w:rsidRPr="006A164B">
        <w:rPr>
          <w:rFonts w:ascii="Arial" w:hAnsi="Arial" w:cs="Arial"/>
          <w:b/>
          <w:bCs/>
          <w:sz w:val="20"/>
          <w:szCs w:val="20"/>
        </w:rPr>
        <w:t>McLoughlin</w:t>
      </w:r>
      <w:proofErr w:type="spellEnd"/>
      <w:r w:rsidR="003E78BE" w:rsidRPr="006A164B">
        <w:rPr>
          <w:rFonts w:ascii="Arial" w:hAnsi="Arial" w:cs="Arial"/>
          <w:b/>
          <w:bCs/>
          <w:sz w:val="20"/>
          <w:szCs w:val="20"/>
        </w:rPr>
        <w:t xml:space="preserve"> (DA) to ask the Minister of Trade and Industry:</w:t>
      </w:r>
    </w:p>
    <w:p w:rsidR="00AB0C87" w:rsidRPr="006A164B" w:rsidRDefault="003E78BE">
      <w:pPr>
        <w:spacing w:before="100" w:after="100"/>
        <w:ind w:left="1440" w:hanging="629"/>
        <w:jc w:val="both"/>
        <w:rPr>
          <w:rFonts w:ascii="Arial" w:eastAsia="Times New Roman" w:hAnsi="Arial" w:cs="Arial"/>
          <w:sz w:val="20"/>
          <w:szCs w:val="20"/>
        </w:rPr>
      </w:pPr>
      <w:r w:rsidRPr="006A164B">
        <w:rPr>
          <w:rFonts w:ascii="Arial" w:eastAsia="Calibri" w:hAnsi="Arial" w:cs="Arial"/>
          <w:sz w:val="20"/>
          <w:szCs w:val="20"/>
        </w:rPr>
        <w:t>(1)</w:t>
      </w:r>
      <w:r w:rsidRPr="006A164B">
        <w:rPr>
          <w:rFonts w:ascii="Arial" w:eastAsia="Calibri" w:hAnsi="Arial" w:cs="Arial"/>
          <w:sz w:val="20"/>
          <w:szCs w:val="20"/>
        </w:rPr>
        <w:tab/>
        <w:t xml:space="preserve">With reference to the 59,1% underspend in respect of his department’s </w:t>
      </w:r>
      <w:proofErr w:type="spellStart"/>
      <w:r w:rsidRPr="006A164B">
        <w:rPr>
          <w:rFonts w:ascii="Arial" w:eastAsia="Calibri" w:hAnsi="Arial" w:cs="Arial"/>
          <w:sz w:val="20"/>
          <w:szCs w:val="20"/>
        </w:rPr>
        <w:t>Programme</w:t>
      </w:r>
      <w:proofErr w:type="spellEnd"/>
      <w:r w:rsidRPr="006A164B">
        <w:rPr>
          <w:rFonts w:ascii="Arial" w:eastAsia="Calibri" w:hAnsi="Arial" w:cs="Arial"/>
          <w:sz w:val="20"/>
          <w:szCs w:val="20"/>
        </w:rPr>
        <w:t xml:space="preserve"> 6 in the first quarter of the 2017-18 financial year, what amount has actually been spent to date on the (a) Critical Infrastructure, (b) Manufacturing Development Incentives, (c) Service Sector Development Incentives and (d) Special Economic Zones </w:t>
      </w:r>
      <w:proofErr w:type="spellStart"/>
      <w:r w:rsidRPr="006A164B">
        <w:rPr>
          <w:rFonts w:ascii="Arial" w:eastAsia="Calibri" w:hAnsi="Arial" w:cs="Arial"/>
          <w:sz w:val="20"/>
          <w:szCs w:val="20"/>
        </w:rPr>
        <w:t>Programmes</w:t>
      </w:r>
      <w:proofErr w:type="spellEnd"/>
      <w:r w:rsidRPr="006A164B">
        <w:rPr>
          <w:rFonts w:ascii="Arial" w:eastAsia="Calibri" w:hAnsi="Arial" w:cs="Arial"/>
          <w:sz w:val="20"/>
          <w:szCs w:val="20"/>
        </w:rPr>
        <w:t>;</w:t>
      </w:r>
    </w:p>
    <w:p w:rsidR="00AB0C87" w:rsidRPr="006A164B" w:rsidRDefault="003E78BE">
      <w:pPr>
        <w:spacing w:before="100" w:after="100"/>
        <w:ind w:left="1440" w:hanging="629"/>
        <w:jc w:val="both"/>
        <w:rPr>
          <w:rFonts w:ascii="Arial" w:eastAsia="Times New Roman" w:hAnsi="Arial" w:cs="Arial"/>
          <w:sz w:val="20"/>
          <w:szCs w:val="20"/>
        </w:rPr>
      </w:pPr>
      <w:r w:rsidRPr="006A164B">
        <w:rPr>
          <w:rFonts w:ascii="Arial" w:eastAsia="Calibri" w:hAnsi="Arial" w:cs="Arial"/>
          <w:sz w:val="20"/>
          <w:szCs w:val="20"/>
        </w:rPr>
        <w:t>(2)</w:t>
      </w:r>
      <w:r w:rsidRPr="006A164B">
        <w:rPr>
          <w:rFonts w:ascii="Arial" w:eastAsia="Calibri" w:hAnsi="Arial" w:cs="Arial"/>
          <w:sz w:val="20"/>
          <w:szCs w:val="20"/>
        </w:rPr>
        <w:tab/>
        <w:t>have (a) the delays caused by outstanding compliance documentation required for the processing of claims and (b) claims that failed to comply with the guidelines been rectified in each case; if not, in each case, (a) why not and (b) what steps have been put in place to rectify the situation; if so, are there any further foreseen causes for future delays</w:t>
      </w:r>
      <w:proofErr w:type="gramStart"/>
      <w:r w:rsidRPr="006A164B">
        <w:rPr>
          <w:rFonts w:ascii="Arial" w:eastAsia="Calibri" w:hAnsi="Arial" w:cs="Arial"/>
          <w:sz w:val="20"/>
          <w:szCs w:val="20"/>
        </w:rPr>
        <w:t>?NW3376E</w:t>
      </w:r>
      <w:proofErr w:type="gramEnd"/>
    </w:p>
    <w:p w:rsidR="00AB0C87" w:rsidRPr="006A164B" w:rsidRDefault="00AB0C87">
      <w:pPr>
        <w:spacing w:before="100" w:after="100"/>
        <w:ind w:left="851"/>
        <w:jc w:val="both"/>
        <w:rPr>
          <w:rFonts w:ascii="Arial" w:eastAsia="Arial" w:hAnsi="Arial" w:cs="Arial"/>
          <w:color w:val="FF0000"/>
          <w:sz w:val="20"/>
          <w:szCs w:val="20"/>
          <w:u w:color="FF0000"/>
        </w:rPr>
      </w:pPr>
    </w:p>
    <w:p w:rsidR="0043308A" w:rsidRPr="006A164B" w:rsidRDefault="003E78BE">
      <w:pPr>
        <w:spacing w:before="100" w:after="100"/>
        <w:ind w:left="85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A164B">
        <w:rPr>
          <w:rFonts w:ascii="Arial" w:eastAsia="Calibri" w:hAnsi="Arial" w:cs="Arial"/>
          <w:b/>
          <w:bCs/>
          <w:sz w:val="20"/>
          <w:szCs w:val="20"/>
        </w:rPr>
        <w:t>Response:</w:t>
      </w:r>
    </w:p>
    <w:p w:rsidR="00AB0C87" w:rsidRPr="006A164B" w:rsidRDefault="003E78BE" w:rsidP="00AE4A2F">
      <w:pPr>
        <w:spacing w:before="100" w:after="100"/>
        <w:ind w:left="1440" w:hanging="629"/>
        <w:jc w:val="both"/>
        <w:rPr>
          <w:rFonts w:ascii="Arial" w:eastAsia="Calibri" w:hAnsi="Arial" w:cs="Arial"/>
          <w:sz w:val="20"/>
          <w:szCs w:val="20"/>
        </w:rPr>
      </w:pPr>
      <w:r w:rsidRPr="006A164B">
        <w:rPr>
          <w:rFonts w:ascii="Arial" w:hAnsi="Arial" w:cs="Arial"/>
          <w:bCs/>
          <w:sz w:val="20"/>
          <w:szCs w:val="20"/>
        </w:rPr>
        <w:t>(1)</w:t>
      </w:r>
      <w:r w:rsidRPr="006A164B">
        <w:rPr>
          <w:rFonts w:ascii="Arial" w:hAnsi="Arial" w:cs="Arial"/>
          <w:b/>
          <w:bCs/>
          <w:sz w:val="20"/>
          <w:szCs w:val="20"/>
        </w:rPr>
        <w:tab/>
      </w:r>
      <w:r w:rsidRPr="006A164B">
        <w:rPr>
          <w:rFonts w:ascii="Arial" w:eastAsia="Calibri" w:hAnsi="Arial" w:cs="Arial"/>
          <w:sz w:val="20"/>
          <w:szCs w:val="20"/>
        </w:rPr>
        <w:t xml:space="preserve">Incentive </w:t>
      </w:r>
      <w:proofErr w:type="spellStart"/>
      <w:r w:rsidRPr="006A164B">
        <w:rPr>
          <w:rFonts w:ascii="Arial" w:eastAsia="Calibri" w:hAnsi="Arial" w:cs="Arial"/>
          <w:sz w:val="20"/>
          <w:szCs w:val="20"/>
        </w:rPr>
        <w:t>programmes</w:t>
      </w:r>
      <w:proofErr w:type="spellEnd"/>
      <w:r w:rsidRPr="006A164B">
        <w:rPr>
          <w:rFonts w:ascii="Arial" w:eastAsia="Calibri" w:hAnsi="Arial" w:cs="Arial"/>
          <w:sz w:val="20"/>
          <w:szCs w:val="20"/>
        </w:rPr>
        <w:t xml:space="preserve"> are cost sharing and reimbursable grants dependent on investments made by enterprises. The expenditure on incentives </w:t>
      </w:r>
      <w:r w:rsidR="003C3B8C" w:rsidRPr="006A164B">
        <w:rPr>
          <w:rFonts w:ascii="Arial" w:eastAsia="Calibri" w:hAnsi="Arial" w:cs="Arial"/>
          <w:sz w:val="20"/>
          <w:szCs w:val="20"/>
        </w:rPr>
        <w:t>by its</w:t>
      </w:r>
      <w:r w:rsidRPr="006A164B">
        <w:rPr>
          <w:rFonts w:ascii="Arial" w:eastAsia="Calibri" w:hAnsi="Arial" w:cs="Arial"/>
          <w:sz w:val="20"/>
          <w:szCs w:val="20"/>
        </w:rPr>
        <w:t xml:space="preserve"> </w:t>
      </w:r>
      <w:r w:rsidR="0043308A" w:rsidRPr="006A164B">
        <w:rPr>
          <w:rFonts w:ascii="Arial" w:eastAsia="Calibri" w:hAnsi="Arial" w:cs="Arial"/>
          <w:sz w:val="20"/>
          <w:szCs w:val="20"/>
        </w:rPr>
        <w:t>nature is</w:t>
      </w:r>
      <w:r w:rsidRPr="006A164B">
        <w:rPr>
          <w:rFonts w:ascii="Arial" w:eastAsia="Calibri" w:hAnsi="Arial" w:cs="Arial"/>
          <w:sz w:val="20"/>
          <w:szCs w:val="20"/>
        </w:rPr>
        <w:t xml:space="preserve"> linked to the business cycle of enterprises as well as the timing of investments and commissioning of assets and infrastructure. To date C</w:t>
      </w:r>
      <w:r w:rsidR="00D0407A">
        <w:rPr>
          <w:rFonts w:ascii="Arial" w:eastAsia="Calibri" w:hAnsi="Arial" w:cs="Arial"/>
          <w:sz w:val="20"/>
          <w:szCs w:val="20"/>
        </w:rPr>
        <w:t>ritical infrastructure</w:t>
      </w:r>
      <w:r w:rsidRPr="006A164B">
        <w:rPr>
          <w:rFonts w:ascii="Arial" w:eastAsia="Calibri" w:hAnsi="Arial" w:cs="Arial"/>
          <w:sz w:val="20"/>
          <w:szCs w:val="20"/>
        </w:rPr>
        <w:t xml:space="preserve"> has spent R90 million, Manufactur</w:t>
      </w:r>
      <w:r w:rsidR="0043308A" w:rsidRPr="006A164B">
        <w:rPr>
          <w:rFonts w:ascii="Arial" w:eastAsia="Calibri" w:hAnsi="Arial" w:cs="Arial"/>
          <w:sz w:val="20"/>
          <w:szCs w:val="20"/>
        </w:rPr>
        <w:t>ing Development Incentives R856 million</w:t>
      </w:r>
      <w:r w:rsidRPr="006A164B">
        <w:rPr>
          <w:rFonts w:ascii="Arial" w:eastAsia="Calibri" w:hAnsi="Arial" w:cs="Arial"/>
          <w:sz w:val="20"/>
          <w:szCs w:val="20"/>
        </w:rPr>
        <w:t>, Service Se</w:t>
      </w:r>
      <w:r w:rsidR="0043308A" w:rsidRPr="006A164B">
        <w:rPr>
          <w:rFonts w:ascii="Arial" w:eastAsia="Calibri" w:hAnsi="Arial" w:cs="Arial"/>
          <w:sz w:val="20"/>
          <w:szCs w:val="20"/>
        </w:rPr>
        <w:t>ctor Development Incentives R308 million</w:t>
      </w:r>
      <w:r w:rsidRPr="006A164B">
        <w:rPr>
          <w:rFonts w:ascii="Arial" w:eastAsia="Calibri" w:hAnsi="Arial" w:cs="Arial"/>
          <w:sz w:val="20"/>
          <w:szCs w:val="20"/>
        </w:rPr>
        <w:t xml:space="preserve"> and Special Economic Zones </w:t>
      </w:r>
      <w:proofErr w:type="spellStart"/>
      <w:r w:rsidRPr="006A164B">
        <w:rPr>
          <w:rFonts w:ascii="Arial" w:eastAsia="Calibri" w:hAnsi="Arial" w:cs="Arial"/>
          <w:sz w:val="20"/>
          <w:szCs w:val="20"/>
        </w:rPr>
        <w:t>Programmes</w:t>
      </w:r>
      <w:proofErr w:type="spellEnd"/>
      <w:r w:rsidRPr="006A164B">
        <w:rPr>
          <w:rFonts w:ascii="Arial" w:eastAsia="Calibri" w:hAnsi="Arial" w:cs="Arial"/>
          <w:sz w:val="20"/>
          <w:szCs w:val="20"/>
        </w:rPr>
        <w:t xml:space="preserve"> R220 million. </w:t>
      </w:r>
    </w:p>
    <w:p w:rsidR="00AB0C87" w:rsidRPr="006A164B" w:rsidRDefault="003E78BE" w:rsidP="00AE4A2F">
      <w:pPr>
        <w:spacing w:before="100" w:after="100"/>
        <w:ind w:left="1440" w:hanging="629"/>
        <w:jc w:val="both"/>
        <w:rPr>
          <w:rFonts w:ascii="Arial" w:eastAsia="Calibri" w:hAnsi="Arial" w:cs="Arial"/>
          <w:sz w:val="20"/>
          <w:szCs w:val="20"/>
        </w:rPr>
      </w:pPr>
      <w:r w:rsidRPr="006A164B">
        <w:rPr>
          <w:rFonts w:ascii="Arial" w:eastAsia="Calibri" w:hAnsi="Arial" w:cs="Arial"/>
          <w:sz w:val="20"/>
          <w:szCs w:val="20"/>
        </w:rPr>
        <w:t xml:space="preserve">(2) </w:t>
      </w:r>
      <w:r w:rsidRPr="006A164B">
        <w:rPr>
          <w:rFonts w:ascii="Arial" w:eastAsia="Calibri" w:hAnsi="Arial" w:cs="Arial"/>
          <w:sz w:val="20"/>
          <w:szCs w:val="20"/>
        </w:rPr>
        <w:tab/>
        <w:t xml:space="preserve">Incentive claims are payable once all </w:t>
      </w:r>
      <w:r w:rsidR="00AE4A2F" w:rsidRPr="006A164B">
        <w:rPr>
          <w:rFonts w:ascii="Arial" w:eastAsia="Calibri" w:hAnsi="Arial" w:cs="Arial"/>
          <w:sz w:val="20"/>
          <w:szCs w:val="20"/>
        </w:rPr>
        <w:t xml:space="preserve">performance criteria agreed at application are met and verified. In addition </w:t>
      </w:r>
      <w:r w:rsidRPr="006A164B">
        <w:rPr>
          <w:rFonts w:ascii="Arial" w:eastAsia="Calibri" w:hAnsi="Arial" w:cs="Arial"/>
          <w:sz w:val="20"/>
          <w:szCs w:val="20"/>
        </w:rPr>
        <w:t>compliance documentation</w:t>
      </w:r>
      <w:r w:rsidR="00AE4A2F" w:rsidRPr="006A164B">
        <w:rPr>
          <w:rFonts w:ascii="Arial" w:eastAsia="Calibri" w:hAnsi="Arial" w:cs="Arial"/>
          <w:sz w:val="20"/>
          <w:szCs w:val="20"/>
        </w:rPr>
        <w:t xml:space="preserve"> as outlined in the guidelines must be submitted. Given that payment of claims is performance based, there is usually </w:t>
      </w:r>
      <w:r w:rsidR="003C3B8C" w:rsidRPr="006A164B">
        <w:rPr>
          <w:rFonts w:ascii="Arial" w:eastAsia="Calibri" w:hAnsi="Arial" w:cs="Arial"/>
          <w:sz w:val="20"/>
          <w:szCs w:val="20"/>
        </w:rPr>
        <w:t>a disjuncture between</w:t>
      </w:r>
      <w:r w:rsidR="00AE4A2F" w:rsidRPr="006A164B">
        <w:rPr>
          <w:rFonts w:ascii="Arial" w:eastAsia="Calibri" w:hAnsi="Arial" w:cs="Arial"/>
          <w:sz w:val="20"/>
          <w:szCs w:val="20"/>
        </w:rPr>
        <w:t xml:space="preserve"> projections and actual expenditure.  This disjuncture is normalized by year end resulting in the division spending </w:t>
      </w:r>
      <w:proofErr w:type="gramStart"/>
      <w:r w:rsidR="00AE4A2F" w:rsidRPr="006A164B">
        <w:rPr>
          <w:rFonts w:ascii="Arial" w:eastAsia="Calibri" w:hAnsi="Arial" w:cs="Arial"/>
          <w:sz w:val="20"/>
          <w:szCs w:val="20"/>
        </w:rPr>
        <w:t>all its</w:t>
      </w:r>
      <w:proofErr w:type="gramEnd"/>
      <w:r w:rsidR="00AE4A2F" w:rsidRPr="006A164B">
        <w:rPr>
          <w:rFonts w:ascii="Arial" w:eastAsia="Calibri" w:hAnsi="Arial" w:cs="Arial"/>
          <w:sz w:val="20"/>
          <w:szCs w:val="20"/>
        </w:rPr>
        <w:t xml:space="preserve"> allocated budget as it has been the case in previous financial years. The division engages with approved enterprises throughout th</w:t>
      </w:r>
      <w:r w:rsidR="003C3B8C" w:rsidRPr="006A164B">
        <w:rPr>
          <w:rFonts w:ascii="Arial" w:eastAsia="Calibri" w:hAnsi="Arial" w:cs="Arial"/>
          <w:sz w:val="20"/>
          <w:szCs w:val="20"/>
        </w:rPr>
        <w:t>e claim cycle to ensure that performance criteria are</w:t>
      </w:r>
      <w:r w:rsidR="00AE4A2F" w:rsidRPr="006A164B">
        <w:rPr>
          <w:rFonts w:ascii="Arial" w:eastAsia="Calibri" w:hAnsi="Arial" w:cs="Arial"/>
          <w:sz w:val="20"/>
          <w:szCs w:val="20"/>
        </w:rPr>
        <w:t xml:space="preserve"> met and required documentation is submitted</w:t>
      </w:r>
      <w:r w:rsidR="003C3B8C" w:rsidRPr="006A164B">
        <w:rPr>
          <w:rFonts w:ascii="Arial" w:eastAsia="Calibri" w:hAnsi="Arial" w:cs="Arial"/>
          <w:sz w:val="20"/>
          <w:szCs w:val="20"/>
        </w:rPr>
        <w:t xml:space="preserve"> timely</w:t>
      </w:r>
      <w:r w:rsidR="00AE4A2F" w:rsidRPr="006A164B">
        <w:rPr>
          <w:rFonts w:ascii="Arial" w:eastAsia="Calibri" w:hAnsi="Arial" w:cs="Arial"/>
          <w:sz w:val="20"/>
          <w:szCs w:val="20"/>
        </w:rPr>
        <w:t>.</w:t>
      </w:r>
    </w:p>
    <w:p w:rsidR="006A164B" w:rsidRDefault="006A164B" w:rsidP="006A164B">
      <w:pPr>
        <w:ind w:left="329" w:firstLine="391"/>
        <w:jc w:val="both"/>
        <w:rPr>
          <w:rFonts w:ascii="Arial" w:hAnsi="Arial" w:cs="Arial"/>
          <w:sz w:val="20"/>
          <w:szCs w:val="20"/>
        </w:rPr>
      </w:pPr>
    </w:p>
    <w:p w:rsidR="006A164B" w:rsidRPr="006A164B" w:rsidRDefault="006A164B" w:rsidP="006A164B">
      <w:pPr>
        <w:ind w:left="329" w:firstLine="391"/>
        <w:jc w:val="both"/>
        <w:rPr>
          <w:rFonts w:ascii="Arial" w:hAnsi="Arial" w:cs="Arial"/>
          <w:sz w:val="20"/>
          <w:szCs w:val="20"/>
        </w:rPr>
      </w:pPr>
    </w:p>
    <w:sectPr w:rsidR="006A164B" w:rsidRPr="006A164B">
      <w:headerReference w:type="default" r:id="rId7"/>
      <w:footerReference w:type="default" r:id="rId8"/>
      <w:pgSz w:w="12240" w:h="15840"/>
      <w:pgMar w:top="426" w:right="1325" w:bottom="426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00" w:rsidRDefault="00992000">
      <w:r>
        <w:separator/>
      </w:r>
    </w:p>
  </w:endnote>
  <w:endnote w:type="continuationSeparator" w:id="0">
    <w:p w:rsidR="00992000" w:rsidRDefault="009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7" w:rsidRDefault="00AB0C8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00" w:rsidRDefault="00992000">
      <w:r>
        <w:separator/>
      </w:r>
    </w:p>
  </w:footnote>
  <w:footnote w:type="continuationSeparator" w:id="0">
    <w:p w:rsidR="00992000" w:rsidRDefault="0099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7" w:rsidRDefault="00AB0C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0C87"/>
    <w:rsid w:val="003C3B8C"/>
    <w:rsid w:val="003E0563"/>
    <w:rsid w:val="003E78BE"/>
    <w:rsid w:val="0043308A"/>
    <w:rsid w:val="006A164B"/>
    <w:rsid w:val="00992000"/>
    <w:rsid w:val="009B7F09"/>
    <w:rsid w:val="009E07EF"/>
    <w:rsid w:val="00AB0C87"/>
    <w:rsid w:val="00AE4A2F"/>
    <w:rsid w:val="00D0407A"/>
    <w:rsid w:val="00F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Indent2">
    <w:name w:val="Body Text Indent 2"/>
    <w:pPr>
      <w:tabs>
        <w:tab w:val="left" w:pos="432"/>
        <w:tab w:val="left" w:pos="864"/>
      </w:tabs>
      <w:spacing w:line="360" w:lineRule="auto"/>
      <w:ind w:left="1440" w:hanging="1440"/>
    </w:pPr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Indent2">
    <w:name w:val="Body Text Indent 2"/>
    <w:pPr>
      <w:tabs>
        <w:tab w:val="left" w:pos="432"/>
        <w:tab w:val="left" w:pos="864"/>
      </w:tabs>
      <w:spacing w:line="360" w:lineRule="auto"/>
      <w:ind w:left="1440" w:hanging="144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TMakgothi</dc:creator>
  <cp:lastModifiedBy>Saroj</cp:lastModifiedBy>
  <cp:revision>2</cp:revision>
  <dcterms:created xsi:type="dcterms:W3CDTF">2017-10-23T05:39:00Z</dcterms:created>
  <dcterms:modified xsi:type="dcterms:W3CDTF">2017-10-23T05:39:00Z</dcterms:modified>
</cp:coreProperties>
</file>