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650D4F"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54125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8421CD" w:rsidRPr="008421CD" w:rsidRDefault="008421CD" w:rsidP="008421CD">
      <w:pPr>
        <w:spacing w:before="100" w:beforeAutospacing="1" w:after="100" w:afterAutospacing="1"/>
        <w:ind w:left="851" w:hanging="851"/>
        <w:rPr>
          <w:rFonts w:ascii="Arial" w:hAnsi="Arial" w:cs="Arial"/>
          <w:b/>
        </w:rPr>
      </w:pPr>
      <w:r w:rsidRPr="008421CD">
        <w:rPr>
          <w:rFonts w:ascii="Arial" w:hAnsi="Arial" w:cs="Arial"/>
          <w:b/>
        </w:rPr>
        <w:t>2878.</w:t>
      </w:r>
      <w:r w:rsidRPr="008421CD">
        <w:rPr>
          <w:rFonts w:ascii="Arial" w:hAnsi="Arial" w:cs="Arial"/>
          <w:b/>
        </w:rPr>
        <w:tab/>
        <w:t>Mr Y Cassim (DA) to ask the Minister of Defence and Military Veterans:</w:t>
      </w:r>
    </w:p>
    <w:p w:rsidR="004C2F12" w:rsidRDefault="008421CD" w:rsidP="004C2F12">
      <w:pPr>
        <w:spacing w:before="100" w:beforeAutospacing="1" w:after="100" w:afterAutospacing="1"/>
        <w:ind w:left="851"/>
        <w:jc w:val="both"/>
        <w:rPr>
          <w:rFonts w:ascii="Arial" w:hAnsi="Arial" w:cs="Arial"/>
          <w:b/>
        </w:rPr>
      </w:pPr>
      <w:r w:rsidRPr="008421CD">
        <w:rPr>
          <w:rFonts w:ascii="Arial" w:hAnsi="Arial" w:cs="Arial"/>
        </w:rPr>
        <w:t>What is the detailed (a) breakdown of and (b) valuation for current and non-current assets and investments held by (i) her department and (ii) each entity reporting to her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Pr="008421CD">
        <w:rPr>
          <w:rFonts w:ascii="Arial" w:hAnsi="Arial" w:cs="Arial"/>
        </w:rPr>
        <w:tab/>
      </w:r>
      <w:r w:rsidRPr="008421CD">
        <w:rPr>
          <w:rFonts w:ascii="Arial" w:hAnsi="Arial" w:cs="Arial"/>
        </w:rPr>
        <w:tab/>
      </w:r>
      <w:r w:rsidRPr="008421CD">
        <w:rPr>
          <w:rFonts w:ascii="Arial" w:hAnsi="Arial" w:cs="Arial"/>
        </w:rPr>
        <w:tab/>
      </w:r>
      <w:r w:rsidRPr="008421CD">
        <w:rPr>
          <w:rFonts w:ascii="Arial" w:hAnsi="Arial" w:cs="Arial"/>
        </w:rPr>
        <w:tab/>
        <w:t>NW3185E</w:t>
      </w:r>
    </w:p>
    <w:p w:rsidR="004C2F12" w:rsidRDefault="004C2F12" w:rsidP="004C2F12">
      <w:pPr>
        <w:ind w:left="851" w:hanging="851"/>
        <w:rPr>
          <w:rFonts w:ascii="Arial" w:hAnsi="Arial" w:cs="Arial"/>
          <w:b/>
        </w:rPr>
      </w:pPr>
    </w:p>
    <w:p w:rsidR="004C2F12" w:rsidRDefault="004C2F12" w:rsidP="004C2F12">
      <w:pPr>
        <w:ind w:left="851" w:hanging="851"/>
        <w:rPr>
          <w:rFonts w:ascii="Arial" w:hAnsi="Arial" w:cs="Arial"/>
          <w:b/>
        </w:rPr>
      </w:pPr>
      <w:r>
        <w:rPr>
          <w:rFonts w:ascii="Arial" w:hAnsi="Arial" w:cs="Arial"/>
          <w:b/>
        </w:rPr>
        <w:t>REPLY:</w:t>
      </w:r>
      <w:bookmarkStart w:id="0" w:name="_GoBack"/>
      <w:bookmarkEnd w:id="0"/>
    </w:p>
    <w:p w:rsidR="004C2F12" w:rsidRDefault="004C2F12" w:rsidP="004C2F12">
      <w:pPr>
        <w:ind w:left="851" w:hanging="851"/>
      </w:pPr>
    </w:p>
    <w:p w:rsidR="004C2F12" w:rsidRDefault="004C2F12" w:rsidP="004C2F12">
      <w:pPr>
        <w:ind w:left="851" w:hanging="851"/>
        <w:rPr>
          <w:sz w:val="20"/>
          <w:szCs w:val="20"/>
          <w:lang w:val="en-ZA" w:eastAsia="en-ZA"/>
        </w:rPr>
      </w:pPr>
      <w:r>
        <w:fldChar w:fldCharType="begin"/>
      </w:r>
      <w:r>
        <w:instrText xml:space="preserve"> LINK Excel.Sheet.12 "Book1" "Sheet2!R1C1:R20C7" \a \f 4 \h  \* MERGEFORMAT </w:instrText>
      </w:r>
      <w:r>
        <w:fldChar w:fldCharType="separate"/>
      </w:r>
    </w:p>
    <w:tbl>
      <w:tblPr>
        <w:tblW w:w="0" w:type="dxa"/>
        <w:tblLayout w:type="fixed"/>
        <w:tblLook w:val="04A0" w:firstRow="1" w:lastRow="0" w:firstColumn="1" w:lastColumn="0" w:noHBand="0" w:noVBand="1"/>
      </w:tblPr>
      <w:tblGrid>
        <w:gridCol w:w="411"/>
        <w:gridCol w:w="412"/>
        <w:gridCol w:w="3572"/>
        <w:gridCol w:w="1134"/>
        <w:gridCol w:w="1008"/>
        <w:gridCol w:w="931"/>
        <w:gridCol w:w="931"/>
      </w:tblGrid>
      <w:tr w:rsidR="004C2F12" w:rsidTr="004C2F12">
        <w:trPr>
          <w:trHeight w:val="300"/>
        </w:trPr>
        <w:tc>
          <w:tcPr>
            <w:tcW w:w="4395" w:type="dxa"/>
            <w:gridSpan w:val="3"/>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NON-CURRENT ASSETS</w:t>
            </w:r>
          </w:p>
        </w:tc>
        <w:tc>
          <w:tcPr>
            <w:tcW w:w="2142" w:type="dxa"/>
            <w:gridSpan w:val="2"/>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R'Millions</w:t>
            </w:r>
          </w:p>
        </w:tc>
        <w:tc>
          <w:tcPr>
            <w:tcW w:w="931" w:type="dxa"/>
            <w:noWrap/>
            <w:vAlign w:val="bottom"/>
            <w:hideMark/>
          </w:tcPr>
          <w:p w:rsidR="004C2F12" w:rsidRDefault="004C2F12">
            <w:pPr>
              <w:rPr>
                <w:rFonts w:ascii="Calibri" w:hAnsi="Calibri"/>
                <w:b/>
                <w:bCs/>
                <w:color w:val="000000"/>
                <w:sz w:val="22"/>
                <w:szCs w:val="22"/>
                <w:lang w:val="en-ZA" w:eastAsia="en-ZA"/>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Property, plant and equipment</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1 463.1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Investment property</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72.9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Intangible assets</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12.8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Investment in joint venture</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3.1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Financial instruments</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131.4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412" w:type="dxa"/>
            <w:noWrap/>
            <w:vAlign w:val="bottom"/>
            <w:hideMark/>
          </w:tcPr>
          <w:p w:rsidR="004C2F12" w:rsidRDefault="004C2F12">
            <w:pPr>
              <w:rPr>
                <w:sz w:val="20"/>
                <w:szCs w:val="20"/>
                <w:lang w:val="en-US"/>
              </w:rPr>
            </w:pPr>
          </w:p>
        </w:tc>
        <w:tc>
          <w:tcPr>
            <w:tcW w:w="3572"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Government and other bonds</w:t>
            </w:r>
          </w:p>
        </w:tc>
        <w:tc>
          <w:tcPr>
            <w:tcW w:w="1134" w:type="dxa"/>
            <w:tcBorders>
              <w:top w:val="single" w:sz="4" w:space="0" w:color="auto"/>
              <w:left w:val="single" w:sz="4" w:space="0" w:color="auto"/>
              <w:bottom w:val="nil"/>
              <w:right w:val="single" w:sz="4" w:space="0" w:color="auto"/>
            </w:tcBorders>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18.4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412" w:type="dxa"/>
            <w:noWrap/>
            <w:vAlign w:val="bottom"/>
            <w:hideMark/>
          </w:tcPr>
          <w:p w:rsidR="004C2F12" w:rsidRDefault="004C2F12">
            <w:pPr>
              <w:rPr>
                <w:sz w:val="20"/>
                <w:szCs w:val="20"/>
                <w:lang w:val="en-US"/>
              </w:rPr>
            </w:pPr>
          </w:p>
        </w:tc>
        <w:tc>
          <w:tcPr>
            <w:tcW w:w="3572"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Shares - Listed</w:t>
            </w:r>
          </w:p>
        </w:tc>
        <w:tc>
          <w:tcPr>
            <w:tcW w:w="1134" w:type="dxa"/>
            <w:tcBorders>
              <w:top w:val="nil"/>
              <w:left w:val="single" w:sz="4" w:space="0" w:color="auto"/>
              <w:bottom w:val="nil"/>
              <w:right w:val="single" w:sz="4" w:space="0" w:color="auto"/>
            </w:tcBorders>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55.6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412" w:type="dxa"/>
            <w:noWrap/>
            <w:vAlign w:val="bottom"/>
            <w:hideMark/>
          </w:tcPr>
          <w:p w:rsidR="004C2F12" w:rsidRDefault="004C2F12">
            <w:pPr>
              <w:rPr>
                <w:sz w:val="20"/>
                <w:szCs w:val="20"/>
                <w:lang w:val="en-US"/>
              </w:rPr>
            </w:pPr>
          </w:p>
        </w:tc>
        <w:tc>
          <w:tcPr>
            <w:tcW w:w="3572"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Deposits at banking institutions</w:t>
            </w:r>
          </w:p>
        </w:tc>
        <w:tc>
          <w:tcPr>
            <w:tcW w:w="1134" w:type="dxa"/>
            <w:tcBorders>
              <w:top w:val="nil"/>
              <w:left w:val="single" w:sz="4" w:space="0" w:color="auto"/>
              <w:bottom w:val="nil"/>
              <w:right w:val="single" w:sz="4" w:space="0" w:color="auto"/>
            </w:tcBorders>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39.2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412" w:type="dxa"/>
            <w:noWrap/>
            <w:vAlign w:val="bottom"/>
            <w:hideMark/>
          </w:tcPr>
          <w:p w:rsidR="004C2F12" w:rsidRDefault="004C2F12">
            <w:pPr>
              <w:rPr>
                <w:sz w:val="20"/>
                <w:szCs w:val="20"/>
                <w:lang w:val="en-US"/>
              </w:rPr>
            </w:pPr>
          </w:p>
        </w:tc>
        <w:tc>
          <w:tcPr>
            <w:tcW w:w="3572"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International investments</w:t>
            </w:r>
          </w:p>
        </w:tc>
        <w:tc>
          <w:tcPr>
            <w:tcW w:w="1134" w:type="dxa"/>
            <w:tcBorders>
              <w:top w:val="nil"/>
              <w:left w:val="single" w:sz="4" w:space="0" w:color="auto"/>
              <w:bottom w:val="single" w:sz="4" w:space="0" w:color="auto"/>
              <w:right w:val="single" w:sz="4" w:space="0" w:color="auto"/>
            </w:tcBorders>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18.2 </w:t>
            </w:r>
          </w:p>
        </w:tc>
        <w:tc>
          <w:tcPr>
            <w:tcW w:w="1008" w:type="dxa"/>
            <w:noWrap/>
            <w:vAlign w:val="bottom"/>
            <w:hideMark/>
          </w:tcPr>
          <w:p w:rsidR="004C2F12" w:rsidRDefault="004C2F12">
            <w:pPr>
              <w:rPr>
                <w:rFonts w:ascii="Calibri" w:hAnsi="Calibri"/>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395" w:type="dxa"/>
            <w:gridSpan w:val="3"/>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TOTAL NON-CURRENT ASSETS</w:t>
            </w:r>
          </w:p>
        </w:tc>
        <w:tc>
          <w:tcPr>
            <w:tcW w:w="1134" w:type="dxa"/>
            <w:tcBorders>
              <w:top w:val="nil"/>
              <w:left w:val="nil"/>
              <w:bottom w:val="single" w:sz="4" w:space="0" w:color="auto"/>
              <w:right w:val="nil"/>
            </w:tcBorders>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 xml:space="preserve">    1 683.3 </w:t>
            </w:r>
          </w:p>
        </w:tc>
        <w:tc>
          <w:tcPr>
            <w:tcW w:w="1008" w:type="dxa"/>
            <w:noWrap/>
            <w:vAlign w:val="bottom"/>
            <w:hideMark/>
          </w:tcPr>
          <w:p w:rsidR="004C2F12" w:rsidRDefault="004C2F12">
            <w:pPr>
              <w:rPr>
                <w:rFonts w:ascii="Calibri" w:hAnsi="Calibri"/>
                <w:b/>
                <w:bCs/>
                <w:color w:val="000000"/>
                <w:sz w:val="22"/>
                <w:szCs w:val="22"/>
                <w:lang w:val="en-ZA" w:eastAsia="en-ZA"/>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hideMark/>
          </w:tcPr>
          <w:p w:rsidR="004C2F12" w:rsidRDefault="004C2F12">
            <w:pPr>
              <w:rPr>
                <w:sz w:val="20"/>
                <w:szCs w:val="20"/>
                <w:lang w:val="en-US"/>
              </w:rPr>
            </w:pPr>
          </w:p>
        </w:tc>
        <w:tc>
          <w:tcPr>
            <w:tcW w:w="412" w:type="dxa"/>
            <w:noWrap/>
            <w:vAlign w:val="bottom"/>
            <w:hideMark/>
          </w:tcPr>
          <w:p w:rsidR="004C2F12" w:rsidRDefault="004C2F12">
            <w:pPr>
              <w:rPr>
                <w:sz w:val="20"/>
                <w:szCs w:val="20"/>
                <w:lang w:val="en-US"/>
              </w:rPr>
            </w:pPr>
          </w:p>
        </w:tc>
        <w:tc>
          <w:tcPr>
            <w:tcW w:w="3572" w:type="dxa"/>
            <w:noWrap/>
            <w:vAlign w:val="bottom"/>
            <w:hideMark/>
          </w:tcPr>
          <w:p w:rsidR="004C2F12" w:rsidRDefault="004C2F12">
            <w:pPr>
              <w:rPr>
                <w:sz w:val="20"/>
                <w:szCs w:val="20"/>
                <w:lang w:val="en-US"/>
              </w:rPr>
            </w:pPr>
          </w:p>
        </w:tc>
        <w:tc>
          <w:tcPr>
            <w:tcW w:w="1134" w:type="dxa"/>
            <w:noWrap/>
            <w:vAlign w:val="bottom"/>
            <w:hideMark/>
          </w:tcPr>
          <w:p w:rsidR="004C2F12" w:rsidRDefault="004C2F12">
            <w:pPr>
              <w:rPr>
                <w:sz w:val="20"/>
                <w:szCs w:val="20"/>
                <w:lang w:val="en-US"/>
              </w:rPr>
            </w:pPr>
          </w:p>
        </w:tc>
        <w:tc>
          <w:tcPr>
            <w:tcW w:w="1008"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300"/>
        </w:trPr>
        <w:tc>
          <w:tcPr>
            <w:tcW w:w="411" w:type="dxa"/>
            <w:noWrap/>
            <w:vAlign w:val="bottom"/>
          </w:tcPr>
          <w:p w:rsidR="004C2F12" w:rsidRDefault="004C2F12">
            <w:pPr>
              <w:rPr>
                <w:sz w:val="20"/>
                <w:szCs w:val="20"/>
                <w:lang w:val="en-ZA" w:eastAsia="en-ZA"/>
              </w:rPr>
            </w:pPr>
          </w:p>
        </w:tc>
        <w:tc>
          <w:tcPr>
            <w:tcW w:w="412" w:type="dxa"/>
            <w:noWrap/>
            <w:vAlign w:val="bottom"/>
          </w:tcPr>
          <w:p w:rsidR="004C2F12" w:rsidRDefault="004C2F12">
            <w:pPr>
              <w:rPr>
                <w:sz w:val="20"/>
                <w:szCs w:val="20"/>
                <w:lang w:val="en-ZA" w:eastAsia="en-ZA"/>
              </w:rPr>
            </w:pPr>
          </w:p>
        </w:tc>
        <w:tc>
          <w:tcPr>
            <w:tcW w:w="3572" w:type="dxa"/>
            <w:noWrap/>
            <w:vAlign w:val="bottom"/>
          </w:tcPr>
          <w:p w:rsidR="004C2F12" w:rsidRDefault="004C2F12">
            <w:pPr>
              <w:rPr>
                <w:sz w:val="20"/>
                <w:szCs w:val="20"/>
                <w:lang w:val="en-ZA" w:eastAsia="en-ZA"/>
              </w:rPr>
            </w:pPr>
          </w:p>
        </w:tc>
        <w:tc>
          <w:tcPr>
            <w:tcW w:w="1134" w:type="dxa"/>
            <w:noWrap/>
            <w:vAlign w:val="bottom"/>
          </w:tcPr>
          <w:p w:rsidR="004C2F12" w:rsidRDefault="004C2F12">
            <w:pPr>
              <w:rPr>
                <w:sz w:val="20"/>
                <w:szCs w:val="20"/>
                <w:lang w:val="en-ZA" w:eastAsia="en-ZA"/>
              </w:rPr>
            </w:pPr>
          </w:p>
        </w:tc>
        <w:tc>
          <w:tcPr>
            <w:tcW w:w="1008" w:type="dxa"/>
            <w:noWrap/>
            <w:vAlign w:val="bottom"/>
          </w:tcPr>
          <w:p w:rsidR="004C2F12" w:rsidRDefault="004C2F12">
            <w:pPr>
              <w:rPr>
                <w:sz w:val="20"/>
                <w:szCs w:val="20"/>
                <w:lang w:val="en-ZA" w:eastAsia="en-ZA"/>
              </w:rPr>
            </w:pPr>
          </w:p>
        </w:tc>
        <w:tc>
          <w:tcPr>
            <w:tcW w:w="931" w:type="dxa"/>
            <w:noWrap/>
            <w:vAlign w:val="bottom"/>
          </w:tcPr>
          <w:p w:rsidR="004C2F12" w:rsidRDefault="004C2F12">
            <w:pPr>
              <w:rPr>
                <w:sz w:val="20"/>
                <w:szCs w:val="20"/>
                <w:lang w:val="en-ZA" w:eastAsia="en-ZA"/>
              </w:rPr>
            </w:pPr>
          </w:p>
        </w:tc>
        <w:tc>
          <w:tcPr>
            <w:tcW w:w="931" w:type="dxa"/>
            <w:noWrap/>
            <w:vAlign w:val="bottom"/>
          </w:tcPr>
          <w:p w:rsidR="004C2F12" w:rsidRDefault="004C2F12">
            <w:pPr>
              <w:rPr>
                <w:sz w:val="20"/>
                <w:szCs w:val="20"/>
                <w:lang w:val="en-ZA" w:eastAsia="en-ZA"/>
              </w:rPr>
            </w:pPr>
          </w:p>
        </w:tc>
      </w:tr>
      <w:tr w:rsidR="004C2F12" w:rsidTr="004C2F12">
        <w:trPr>
          <w:trHeight w:val="300"/>
        </w:trPr>
        <w:tc>
          <w:tcPr>
            <w:tcW w:w="411" w:type="dxa"/>
            <w:noWrap/>
            <w:vAlign w:val="bottom"/>
          </w:tcPr>
          <w:p w:rsidR="004C2F12" w:rsidRDefault="004C2F12">
            <w:pPr>
              <w:rPr>
                <w:sz w:val="20"/>
                <w:szCs w:val="20"/>
                <w:lang w:val="en-ZA" w:eastAsia="en-ZA"/>
              </w:rPr>
            </w:pPr>
          </w:p>
        </w:tc>
        <w:tc>
          <w:tcPr>
            <w:tcW w:w="412" w:type="dxa"/>
            <w:noWrap/>
            <w:vAlign w:val="bottom"/>
          </w:tcPr>
          <w:p w:rsidR="004C2F12" w:rsidRDefault="004C2F12">
            <w:pPr>
              <w:rPr>
                <w:sz w:val="20"/>
                <w:szCs w:val="20"/>
                <w:lang w:val="en-ZA" w:eastAsia="en-ZA"/>
              </w:rPr>
            </w:pPr>
          </w:p>
        </w:tc>
        <w:tc>
          <w:tcPr>
            <w:tcW w:w="3572" w:type="dxa"/>
            <w:noWrap/>
            <w:vAlign w:val="bottom"/>
          </w:tcPr>
          <w:p w:rsidR="004C2F12" w:rsidRDefault="004C2F12">
            <w:pPr>
              <w:rPr>
                <w:sz w:val="20"/>
                <w:szCs w:val="20"/>
                <w:lang w:val="en-ZA" w:eastAsia="en-ZA"/>
              </w:rPr>
            </w:pPr>
          </w:p>
        </w:tc>
        <w:tc>
          <w:tcPr>
            <w:tcW w:w="1134" w:type="dxa"/>
            <w:noWrap/>
            <w:vAlign w:val="bottom"/>
          </w:tcPr>
          <w:p w:rsidR="004C2F12" w:rsidRDefault="004C2F12">
            <w:pPr>
              <w:rPr>
                <w:sz w:val="20"/>
                <w:szCs w:val="20"/>
                <w:lang w:val="en-ZA" w:eastAsia="en-ZA"/>
              </w:rPr>
            </w:pPr>
          </w:p>
        </w:tc>
        <w:tc>
          <w:tcPr>
            <w:tcW w:w="1008" w:type="dxa"/>
            <w:noWrap/>
            <w:vAlign w:val="bottom"/>
          </w:tcPr>
          <w:p w:rsidR="004C2F12" w:rsidRDefault="004C2F12">
            <w:pPr>
              <w:rPr>
                <w:sz w:val="20"/>
                <w:szCs w:val="20"/>
                <w:lang w:val="en-ZA" w:eastAsia="en-ZA"/>
              </w:rPr>
            </w:pPr>
          </w:p>
        </w:tc>
        <w:tc>
          <w:tcPr>
            <w:tcW w:w="931" w:type="dxa"/>
            <w:noWrap/>
            <w:vAlign w:val="bottom"/>
          </w:tcPr>
          <w:p w:rsidR="004C2F12" w:rsidRDefault="004C2F12">
            <w:pPr>
              <w:rPr>
                <w:sz w:val="20"/>
                <w:szCs w:val="20"/>
                <w:lang w:val="en-ZA" w:eastAsia="en-ZA"/>
              </w:rPr>
            </w:pPr>
          </w:p>
        </w:tc>
        <w:tc>
          <w:tcPr>
            <w:tcW w:w="931" w:type="dxa"/>
            <w:noWrap/>
            <w:vAlign w:val="bottom"/>
          </w:tcPr>
          <w:p w:rsidR="004C2F12" w:rsidRDefault="004C2F12">
            <w:pPr>
              <w:rPr>
                <w:sz w:val="20"/>
                <w:szCs w:val="20"/>
                <w:lang w:val="en-ZA" w:eastAsia="en-ZA"/>
              </w:rPr>
            </w:pPr>
          </w:p>
        </w:tc>
      </w:tr>
      <w:tr w:rsidR="004C2F12" w:rsidTr="004C2F12">
        <w:trPr>
          <w:trHeight w:val="300"/>
        </w:trPr>
        <w:tc>
          <w:tcPr>
            <w:tcW w:w="4395" w:type="dxa"/>
            <w:gridSpan w:val="3"/>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CURRENT ASSETS</w:t>
            </w:r>
          </w:p>
        </w:tc>
        <w:tc>
          <w:tcPr>
            <w:tcW w:w="1134" w:type="dxa"/>
            <w:noWrap/>
            <w:vAlign w:val="bottom"/>
            <w:hideMark/>
          </w:tcPr>
          <w:p w:rsidR="004C2F12" w:rsidRDefault="004C2F12">
            <w:pPr>
              <w:rPr>
                <w:rFonts w:ascii="Calibri" w:hAnsi="Calibri"/>
                <w:b/>
                <w:bCs/>
                <w:color w:val="000000"/>
                <w:sz w:val="22"/>
                <w:szCs w:val="22"/>
                <w:lang w:val="en-ZA" w:eastAsia="en-ZA"/>
              </w:rPr>
            </w:pPr>
          </w:p>
        </w:tc>
        <w:tc>
          <w:tcPr>
            <w:tcW w:w="1008"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c>
          <w:tcPr>
            <w:tcW w:w="931" w:type="dxa"/>
            <w:noWrap/>
            <w:vAlign w:val="bottom"/>
            <w:hideMark/>
          </w:tcPr>
          <w:p w:rsidR="004C2F12" w:rsidRDefault="004C2F12">
            <w:pPr>
              <w:rPr>
                <w:sz w:val="20"/>
                <w:szCs w:val="20"/>
                <w:lang w:val="en-US"/>
              </w:rPr>
            </w:pPr>
          </w:p>
        </w:tc>
      </w:tr>
      <w:tr w:rsidR="004C2F12" w:rsidTr="004C2F12">
        <w:trPr>
          <w:trHeight w:val="900"/>
        </w:trPr>
        <w:tc>
          <w:tcPr>
            <w:tcW w:w="4395" w:type="dxa"/>
            <w:gridSpan w:val="3"/>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AGING</w:t>
            </w:r>
          </w:p>
        </w:tc>
        <w:tc>
          <w:tcPr>
            <w:tcW w:w="1134" w:type="dxa"/>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0 - 3 months</w:t>
            </w:r>
          </w:p>
        </w:tc>
        <w:tc>
          <w:tcPr>
            <w:tcW w:w="1008" w:type="dxa"/>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3 - 6 months</w:t>
            </w:r>
          </w:p>
        </w:tc>
        <w:tc>
          <w:tcPr>
            <w:tcW w:w="931" w:type="dxa"/>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6 - 12 months</w:t>
            </w:r>
          </w:p>
        </w:tc>
        <w:tc>
          <w:tcPr>
            <w:tcW w:w="931" w:type="dxa"/>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Beyond 12 months</w:t>
            </w:r>
          </w:p>
        </w:tc>
      </w:tr>
      <w:tr w:rsidR="004C2F12" w:rsidTr="004C2F12">
        <w:trPr>
          <w:trHeight w:val="300"/>
        </w:trPr>
        <w:tc>
          <w:tcPr>
            <w:tcW w:w="411" w:type="dxa"/>
            <w:noWrap/>
            <w:vAlign w:val="bottom"/>
            <w:hideMark/>
          </w:tcPr>
          <w:p w:rsidR="004C2F12" w:rsidRDefault="004C2F12">
            <w:pPr>
              <w:rPr>
                <w:rFonts w:ascii="Calibri" w:hAnsi="Calibri"/>
                <w:b/>
                <w:bCs/>
                <w:color w:val="000000"/>
                <w:sz w:val="22"/>
                <w:szCs w:val="22"/>
                <w:lang w:val="en-ZA" w:eastAsia="en-ZA"/>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Assets held for sale</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0.4 </w:t>
            </w:r>
          </w:p>
        </w:tc>
        <w:tc>
          <w:tcPr>
            <w:tcW w:w="1008"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r>
      <w:tr w:rsidR="004C2F12" w:rsidTr="004C2F12">
        <w:trPr>
          <w:trHeight w:val="300"/>
        </w:trPr>
        <w:tc>
          <w:tcPr>
            <w:tcW w:w="411" w:type="dxa"/>
            <w:noWrap/>
            <w:vAlign w:val="bottom"/>
            <w:hideMark/>
          </w:tcPr>
          <w:p w:rsidR="004C2F12" w:rsidRDefault="004C2F12">
            <w:pPr>
              <w:rPr>
                <w:rFonts w:ascii="Calibri" w:hAnsi="Calibri"/>
                <w:color w:val="000000"/>
                <w:sz w:val="22"/>
                <w:szCs w:val="22"/>
                <w:lang w:val="en-ZA" w:eastAsia="en-ZA"/>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Inventories</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29.6 </w:t>
            </w:r>
          </w:p>
        </w:tc>
        <w:tc>
          <w:tcPr>
            <w:tcW w:w="1008"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r>
      <w:tr w:rsidR="004C2F12" w:rsidTr="004C2F12">
        <w:trPr>
          <w:trHeight w:val="300"/>
        </w:trPr>
        <w:tc>
          <w:tcPr>
            <w:tcW w:w="411" w:type="dxa"/>
            <w:noWrap/>
            <w:vAlign w:val="bottom"/>
            <w:hideMark/>
          </w:tcPr>
          <w:p w:rsidR="004C2F12" w:rsidRDefault="004C2F12">
            <w:pPr>
              <w:rPr>
                <w:rFonts w:ascii="Calibri" w:hAnsi="Calibri"/>
                <w:color w:val="000000"/>
                <w:sz w:val="22"/>
                <w:szCs w:val="22"/>
                <w:lang w:val="en-ZA" w:eastAsia="en-ZA"/>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Trade and other receivables</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123.4 </w:t>
            </w:r>
          </w:p>
        </w:tc>
        <w:tc>
          <w:tcPr>
            <w:tcW w:w="1008"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19.0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20.3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r>
      <w:tr w:rsidR="004C2F12" w:rsidTr="004C2F12">
        <w:trPr>
          <w:trHeight w:val="300"/>
        </w:trPr>
        <w:tc>
          <w:tcPr>
            <w:tcW w:w="411" w:type="dxa"/>
            <w:noWrap/>
            <w:vAlign w:val="bottom"/>
            <w:hideMark/>
          </w:tcPr>
          <w:p w:rsidR="004C2F12" w:rsidRDefault="004C2F12">
            <w:pPr>
              <w:rPr>
                <w:rFonts w:ascii="Calibri" w:hAnsi="Calibri"/>
                <w:color w:val="000000"/>
                <w:sz w:val="22"/>
                <w:szCs w:val="22"/>
                <w:lang w:val="en-ZA" w:eastAsia="en-ZA"/>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Cash and short term deposits</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764.9 </w:t>
            </w:r>
          </w:p>
        </w:tc>
        <w:tc>
          <w:tcPr>
            <w:tcW w:w="1008"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r>
      <w:tr w:rsidR="004C2F12" w:rsidTr="004C2F12">
        <w:trPr>
          <w:trHeight w:val="300"/>
        </w:trPr>
        <w:tc>
          <w:tcPr>
            <w:tcW w:w="411" w:type="dxa"/>
            <w:noWrap/>
            <w:vAlign w:val="bottom"/>
            <w:hideMark/>
          </w:tcPr>
          <w:p w:rsidR="004C2F12" w:rsidRDefault="004C2F12">
            <w:pPr>
              <w:rPr>
                <w:rFonts w:ascii="Calibri" w:hAnsi="Calibri"/>
                <w:color w:val="000000"/>
                <w:sz w:val="22"/>
                <w:szCs w:val="22"/>
                <w:lang w:val="en-ZA" w:eastAsia="en-ZA"/>
              </w:rPr>
            </w:pPr>
          </w:p>
        </w:tc>
        <w:tc>
          <w:tcPr>
            <w:tcW w:w="3984" w:type="dxa"/>
            <w:gridSpan w:val="2"/>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Taxation</w:t>
            </w:r>
          </w:p>
        </w:tc>
        <w:tc>
          <w:tcPr>
            <w:tcW w:w="1134"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26.0 </w:t>
            </w:r>
          </w:p>
        </w:tc>
        <w:tc>
          <w:tcPr>
            <w:tcW w:w="1008"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c>
          <w:tcPr>
            <w:tcW w:w="931" w:type="dxa"/>
            <w:noWrap/>
            <w:vAlign w:val="bottom"/>
            <w:hideMark/>
          </w:tcPr>
          <w:p w:rsidR="004C2F12" w:rsidRDefault="004C2F12">
            <w:pPr>
              <w:rPr>
                <w:rFonts w:ascii="Calibri" w:hAnsi="Calibri"/>
                <w:color w:val="000000"/>
                <w:sz w:val="22"/>
                <w:szCs w:val="22"/>
                <w:lang w:val="en-ZA" w:eastAsia="en-ZA"/>
              </w:rPr>
            </w:pPr>
            <w:r>
              <w:rPr>
                <w:rFonts w:ascii="Calibri" w:hAnsi="Calibri"/>
                <w:color w:val="000000"/>
                <w:sz w:val="22"/>
                <w:szCs w:val="22"/>
                <w:lang w:val="en-ZA" w:eastAsia="en-ZA"/>
              </w:rPr>
              <w:t xml:space="preserve">               -   </w:t>
            </w:r>
          </w:p>
        </w:tc>
      </w:tr>
      <w:tr w:rsidR="004C2F12" w:rsidTr="004C2F12">
        <w:trPr>
          <w:trHeight w:val="300"/>
        </w:trPr>
        <w:tc>
          <w:tcPr>
            <w:tcW w:w="4395" w:type="dxa"/>
            <w:gridSpan w:val="3"/>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TOTAL CURRENT ASSETS</w:t>
            </w:r>
          </w:p>
        </w:tc>
        <w:tc>
          <w:tcPr>
            <w:tcW w:w="1134" w:type="dxa"/>
            <w:tcBorders>
              <w:top w:val="single" w:sz="4" w:space="0" w:color="auto"/>
              <w:left w:val="nil"/>
              <w:bottom w:val="single" w:sz="4" w:space="0" w:color="auto"/>
              <w:right w:val="nil"/>
            </w:tcBorders>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 xml:space="preserve">        944.3 </w:t>
            </w:r>
          </w:p>
        </w:tc>
        <w:tc>
          <w:tcPr>
            <w:tcW w:w="1008" w:type="dxa"/>
            <w:tcBorders>
              <w:top w:val="single" w:sz="4" w:space="0" w:color="auto"/>
              <w:left w:val="nil"/>
              <w:bottom w:val="single" w:sz="4" w:space="0" w:color="auto"/>
              <w:right w:val="nil"/>
            </w:tcBorders>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 xml:space="preserve">          19.0 </w:t>
            </w:r>
          </w:p>
        </w:tc>
        <w:tc>
          <w:tcPr>
            <w:tcW w:w="931" w:type="dxa"/>
            <w:tcBorders>
              <w:top w:val="single" w:sz="4" w:space="0" w:color="auto"/>
              <w:left w:val="nil"/>
              <w:bottom w:val="single" w:sz="4" w:space="0" w:color="auto"/>
              <w:right w:val="nil"/>
            </w:tcBorders>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 xml:space="preserve">          20.3 </w:t>
            </w:r>
          </w:p>
        </w:tc>
        <w:tc>
          <w:tcPr>
            <w:tcW w:w="931" w:type="dxa"/>
            <w:tcBorders>
              <w:top w:val="single" w:sz="4" w:space="0" w:color="auto"/>
              <w:left w:val="nil"/>
              <w:bottom w:val="single" w:sz="4" w:space="0" w:color="auto"/>
              <w:right w:val="nil"/>
            </w:tcBorders>
            <w:noWrap/>
            <w:vAlign w:val="bottom"/>
            <w:hideMark/>
          </w:tcPr>
          <w:p w:rsidR="004C2F12" w:rsidRDefault="004C2F12">
            <w:pPr>
              <w:rPr>
                <w:rFonts w:ascii="Calibri" w:hAnsi="Calibri"/>
                <w:b/>
                <w:bCs/>
                <w:color w:val="000000"/>
                <w:sz w:val="22"/>
                <w:szCs w:val="22"/>
                <w:lang w:val="en-ZA" w:eastAsia="en-ZA"/>
              </w:rPr>
            </w:pPr>
            <w:r>
              <w:rPr>
                <w:rFonts w:ascii="Calibri" w:hAnsi="Calibri"/>
                <w:b/>
                <w:bCs/>
                <w:color w:val="000000"/>
                <w:sz w:val="22"/>
                <w:szCs w:val="22"/>
                <w:lang w:val="en-ZA" w:eastAsia="en-ZA"/>
              </w:rPr>
              <w:t xml:space="preserve">               -   </w:t>
            </w:r>
          </w:p>
        </w:tc>
      </w:tr>
    </w:tbl>
    <w:p w:rsidR="004C2F12" w:rsidRDefault="004C2F12" w:rsidP="004C2F12">
      <w:pPr>
        <w:ind w:left="851" w:hanging="851"/>
        <w:rPr>
          <w:rFonts w:ascii="Arial" w:hAnsi="Arial" w:cs="Arial"/>
        </w:rPr>
      </w:pPr>
      <w:r>
        <w:rPr>
          <w:rFonts w:ascii="Arial" w:hAnsi="Arial" w:cs="Arial"/>
        </w:rPr>
        <w:fldChar w:fldCharType="end"/>
      </w:r>
    </w:p>
    <w:p w:rsidR="004C2F12" w:rsidRDefault="004C2F12" w:rsidP="004C2F12">
      <w:pPr>
        <w:ind w:left="851" w:hanging="851"/>
        <w:rPr>
          <w:rFonts w:ascii="Arial" w:hAnsi="Arial" w:cs="Arial"/>
        </w:rPr>
      </w:pPr>
    </w:p>
    <w:p w:rsidR="004C2F12" w:rsidRDefault="004C2F12" w:rsidP="004C2F12">
      <w:pPr>
        <w:ind w:left="851" w:hanging="851"/>
        <w:rPr>
          <w:rFonts w:ascii="Arial" w:hAnsi="Arial" w:cs="Arial"/>
        </w:rPr>
      </w:pPr>
    </w:p>
    <w:p w:rsidR="004C2F12" w:rsidRDefault="004C2F12" w:rsidP="004C2F12">
      <w:pPr>
        <w:ind w:left="851" w:hanging="851"/>
        <w:rPr>
          <w:rFonts w:ascii="Arial" w:hAnsi="Arial" w:cs="Arial"/>
        </w:rPr>
      </w:pPr>
    </w:p>
    <w:p w:rsidR="004C2F12" w:rsidRDefault="004C2F12" w:rsidP="004C2F12">
      <w:pPr>
        <w:ind w:left="851" w:hanging="851"/>
        <w:rPr>
          <w:rFonts w:ascii="Arial" w:hAnsi="Arial" w:cs="Arial"/>
        </w:rPr>
      </w:pPr>
    </w:p>
    <w:p w:rsidR="004C2F12" w:rsidRDefault="004C2F12" w:rsidP="004C2F12">
      <w:pPr>
        <w:ind w:left="851" w:hanging="851"/>
        <w:rPr>
          <w:rFonts w:ascii="Arial" w:hAnsi="Arial" w:cs="Arial"/>
        </w:rPr>
      </w:pPr>
    </w:p>
    <w:p w:rsidR="004C2F12" w:rsidRDefault="004C2F12" w:rsidP="004C2F12">
      <w:pPr>
        <w:ind w:left="851" w:hanging="851"/>
        <w:rPr>
          <w:rFonts w:ascii="Arial" w:hAnsi="Arial" w:cs="Arial"/>
        </w:rPr>
      </w:pPr>
    </w:p>
    <w:p w:rsidR="004C2F12" w:rsidRDefault="004C2F12" w:rsidP="004C2F12">
      <w:pPr>
        <w:ind w:left="851" w:hanging="851"/>
        <w:rPr>
          <w:rFonts w:ascii="Arial" w:hAnsi="Arial" w:cs="Arial"/>
        </w:rPr>
      </w:pPr>
    </w:p>
    <w:p w:rsidR="004C2F12" w:rsidRDefault="004C2F12" w:rsidP="004C2F12">
      <w:pPr>
        <w:ind w:left="851" w:hanging="851"/>
        <w:rPr>
          <w:rFonts w:ascii="Arial" w:hAnsi="Arial" w:cs="Arial"/>
        </w:rPr>
      </w:pPr>
    </w:p>
    <w:p w:rsidR="004C2F12" w:rsidRDefault="004C2F12" w:rsidP="004C2F12">
      <w:pPr>
        <w:ind w:left="851" w:hanging="851"/>
        <w:rPr>
          <w:rFonts w:ascii="Arial" w:hAnsi="Arial" w:cs="Arial"/>
        </w:rPr>
      </w:pPr>
    </w:p>
    <w:p w:rsidR="004C2F12" w:rsidRDefault="004C2F12" w:rsidP="004C2F12">
      <w:pPr>
        <w:spacing w:before="100" w:beforeAutospacing="1" w:after="100" w:afterAutospacing="1"/>
        <w:ind w:left="851" w:hanging="851"/>
        <w:jc w:val="both"/>
        <w:outlineLvl w:val="0"/>
        <w:rPr>
          <w:rFonts w:ascii="Arial" w:hAnsi="Arial" w:cs="Arial"/>
          <w:b/>
        </w:rPr>
      </w:pPr>
    </w:p>
    <w:p w:rsidR="00BE40E1" w:rsidRPr="00070911" w:rsidRDefault="00BE40E1" w:rsidP="0029087A">
      <w:pPr>
        <w:spacing w:before="100" w:beforeAutospacing="1" w:after="100" w:afterAutospacing="1"/>
        <w:ind w:left="851" w:hanging="851"/>
        <w:rPr>
          <w:rFonts w:ascii="Arial" w:hAnsi="Arial" w:cs="Arial"/>
        </w:rPr>
      </w:pPr>
    </w:p>
    <w:sectPr w:rsidR="00BE40E1" w:rsidRPr="0007091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4F" w:rsidRDefault="00650D4F">
      <w:r>
        <w:separator/>
      </w:r>
    </w:p>
  </w:endnote>
  <w:endnote w:type="continuationSeparator" w:id="0">
    <w:p w:rsidR="00650D4F" w:rsidRDefault="0065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4C2F12">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4F" w:rsidRDefault="00650D4F">
      <w:r>
        <w:separator/>
      </w:r>
    </w:p>
  </w:footnote>
  <w:footnote w:type="continuationSeparator" w:id="0">
    <w:p w:rsidR="00650D4F" w:rsidRDefault="00650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48E1"/>
    <w:rsid w:val="00396992"/>
    <w:rsid w:val="003A5180"/>
    <w:rsid w:val="003B3645"/>
    <w:rsid w:val="00427C8E"/>
    <w:rsid w:val="00433D41"/>
    <w:rsid w:val="00440681"/>
    <w:rsid w:val="00445EC0"/>
    <w:rsid w:val="004555A4"/>
    <w:rsid w:val="004614DF"/>
    <w:rsid w:val="004615A2"/>
    <w:rsid w:val="004722F6"/>
    <w:rsid w:val="0047261E"/>
    <w:rsid w:val="00495C34"/>
    <w:rsid w:val="004C0EAD"/>
    <w:rsid w:val="004C2F12"/>
    <w:rsid w:val="004C37DC"/>
    <w:rsid w:val="004E1435"/>
    <w:rsid w:val="004E2B55"/>
    <w:rsid w:val="00505A3B"/>
    <w:rsid w:val="00512E85"/>
    <w:rsid w:val="00524E6C"/>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50D4F"/>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49156149">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ED46-EB71-4AD7-ABE5-E38A31C4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2017-09-28T12:16:00Z</dcterms:created>
  <dcterms:modified xsi:type="dcterms:W3CDTF">2017-11-30T08:01:00Z</dcterms:modified>
</cp:coreProperties>
</file>