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A6" w:rsidRDefault="00FD78A6" w:rsidP="00CB7801">
      <w:pPr>
        <w:jc w:val="center"/>
        <w:rPr>
          <w:rFonts w:ascii="Trebuchet MS" w:hAnsi="Trebuchet MS"/>
        </w:rPr>
      </w:pPr>
    </w:p>
    <w:p w:rsidR="00FD78A6" w:rsidRDefault="00FD78A6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FD78A6" w:rsidRPr="005A2F75" w:rsidRDefault="00FD78A6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FD78A6" w:rsidRPr="005A2F75" w:rsidRDefault="00FD78A6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FD78A6" w:rsidRPr="005A2F75" w:rsidRDefault="00FD78A6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>
        <w:rPr>
          <w:rFonts w:ascii="Trebuchet MS" w:hAnsi="Trebuchet MS"/>
          <w:color w:val="0000FF"/>
          <w:sz w:val="18"/>
          <w:szCs w:val="18"/>
          <w:u w:val="single"/>
        </w:rPr>
        <w:t>Vuselelo.Magagula@dmr.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FD78A6" w:rsidRPr="00D71BFC" w:rsidRDefault="00FD78A6" w:rsidP="00CB7801">
      <w:pPr>
        <w:jc w:val="center"/>
        <w:rPr>
          <w:rFonts w:ascii="Arial" w:hAnsi="Arial" w:cs="Arial"/>
        </w:rPr>
      </w:pPr>
    </w:p>
    <w:p w:rsidR="00FD78A6" w:rsidRPr="009D5245" w:rsidRDefault="00FD78A6" w:rsidP="00CB7801">
      <w:pPr>
        <w:rPr>
          <w:rFonts w:cs="Tunga"/>
          <w:szCs w:val="24"/>
        </w:rPr>
      </w:pPr>
    </w:p>
    <w:p w:rsidR="00FD78A6" w:rsidRPr="009D5245" w:rsidRDefault="00FD78A6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b/>
          <w:szCs w:val="24"/>
          <w:lang w:val="en-ZA"/>
        </w:rPr>
      </w:pPr>
    </w:p>
    <w:p w:rsidR="00FD78A6" w:rsidRDefault="00FD78A6" w:rsidP="00CB7801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National Assembly </w:t>
      </w:r>
      <w:r w:rsidRPr="009D5245">
        <w:rPr>
          <w:rFonts w:cs="Tunga"/>
          <w:b/>
          <w:szCs w:val="24"/>
          <w:lang w:val="en-ZA"/>
        </w:rPr>
        <w:t>question</w:t>
      </w:r>
      <w:r>
        <w:rPr>
          <w:rFonts w:cs="Tunga"/>
          <w:b/>
          <w:szCs w:val="24"/>
          <w:lang w:val="en-ZA"/>
        </w:rPr>
        <w:t xml:space="preserve"> for written reply</w:t>
      </w:r>
      <w:r w:rsidRPr="009D5245">
        <w:rPr>
          <w:rFonts w:cs="Tunga"/>
          <w:b/>
          <w:szCs w:val="24"/>
          <w:lang w:val="en-ZA"/>
        </w:rPr>
        <w:t xml:space="preserve">: </w:t>
      </w:r>
      <w:r>
        <w:rPr>
          <w:rFonts w:cs="Tunga"/>
          <w:b/>
          <w:szCs w:val="24"/>
          <w:lang w:val="en-ZA"/>
        </w:rPr>
        <w:t>Question 2703</w:t>
      </w:r>
    </w:p>
    <w:p w:rsidR="00FD78A6" w:rsidRDefault="00FD78A6" w:rsidP="00CB7801">
      <w:pPr>
        <w:rPr>
          <w:rFonts w:cs="Tunga"/>
          <w:szCs w:val="24"/>
          <w:lang w:val="en-ZA"/>
        </w:rPr>
      </w:pPr>
    </w:p>
    <w:p w:rsidR="00FD78A6" w:rsidRDefault="00FD78A6" w:rsidP="00CB7801">
      <w:pPr>
        <w:rPr>
          <w:rFonts w:cs="Tunga"/>
          <w:szCs w:val="24"/>
          <w:lang w:val="en-ZA"/>
        </w:rPr>
      </w:pPr>
    </w:p>
    <w:p w:rsidR="00FD78A6" w:rsidRPr="00763576" w:rsidRDefault="00FD78A6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 xml:space="preserve">DDG: </w:t>
      </w:r>
    </w:p>
    <w:p w:rsidR="00FD78A6" w:rsidRPr="00763576" w:rsidRDefault="00FD78A6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FD78A6" w:rsidRDefault="00FD78A6" w:rsidP="00CB7801">
      <w:pPr>
        <w:rPr>
          <w:rFonts w:cs="Tunga"/>
          <w:szCs w:val="24"/>
          <w:lang w:val="en-ZA"/>
        </w:rPr>
      </w:pPr>
    </w:p>
    <w:p w:rsidR="00FD78A6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FD78A6" w:rsidRPr="009D5245" w:rsidRDefault="00FD78A6" w:rsidP="00CB7801">
      <w:pPr>
        <w:rPr>
          <w:rFonts w:cs="Tunga"/>
          <w:b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2A6E90" w:rsidRDefault="00FD78A6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Dr. T Ramontja</w:t>
      </w:r>
    </w:p>
    <w:p w:rsidR="00FD78A6" w:rsidRPr="009D5245" w:rsidRDefault="00FD78A6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>
        <w:rPr>
          <w:rFonts w:cs="Tunga"/>
          <w:szCs w:val="24"/>
          <w:lang w:val="en-ZA"/>
        </w:rPr>
        <w:t>15</w:t>
      </w: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Pr="009D5245" w:rsidRDefault="00FD78A6" w:rsidP="00CB7801">
      <w:pPr>
        <w:rPr>
          <w:rFonts w:cs="Tunga"/>
          <w:szCs w:val="24"/>
          <w:lang w:val="en-ZA"/>
        </w:rPr>
      </w:pPr>
    </w:p>
    <w:p w:rsidR="00FD78A6" w:rsidRDefault="00FD78A6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Pr="009D5245" w:rsidRDefault="00FD78A6" w:rsidP="00F2065C">
      <w:pPr>
        <w:rPr>
          <w:rFonts w:cs="Tunga"/>
          <w:szCs w:val="24"/>
          <w:lang w:val="en-ZA"/>
        </w:rPr>
      </w:pPr>
    </w:p>
    <w:p w:rsidR="00FD78A6" w:rsidRPr="009D5245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>
      <w:pPr>
        <w:rPr>
          <w:rFonts w:cs="Tunga"/>
          <w:szCs w:val="24"/>
          <w:lang w:val="en-ZA"/>
        </w:rPr>
      </w:pPr>
    </w:p>
    <w:p w:rsidR="00FD78A6" w:rsidRDefault="00FD78A6" w:rsidP="00F2065C"/>
    <w:p w:rsidR="00FD78A6" w:rsidRDefault="00FD78A6" w:rsidP="0012321F">
      <w:pPr>
        <w:spacing w:before="100" w:beforeAutospacing="1" w:after="100" w:afterAutospacing="1"/>
        <w:ind w:left="720" w:hanging="720"/>
        <w:jc w:val="center"/>
        <w:outlineLvl w:val="0"/>
        <w:rPr>
          <w:rFonts w:cs="Tunga"/>
          <w:b/>
          <w:szCs w:val="24"/>
        </w:rPr>
      </w:pPr>
      <w:r>
        <w:rPr>
          <w:rFonts w:cs="Tunga"/>
          <w:b/>
          <w:szCs w:val="24"/>
        </w:rPr>
        <w:t>NA QUESTION FOR WRITTEN REPLY</w:t>
      </w:r>
    </w:p>
    <w:p w:rsidR="00FD78A6" w:rsidRPr="00A90EBC" w:rsidRDefault="00FD78A6" w:rsidP="0012321F">
      <w:pPr>
        <w:spacing w:before="100" w:beforeAutospacing="1" w:after="100" w:afterAutospacing="1"/>
        <w:ind w:left="720" w:hanging="720"/>
        <w:jc w:val="left"/>
        <w:outlineLvl w:val="0"/>
        <w:rPr>
          <w:b/>
        </w:rPr>
      </w:pPr>
      <w:r w:rsidRPr="006B7DC1">
        <w:rPr>
          <w:rFonts w:cs="Tunga"/>
          <w:b/>
          <w:szCs w:val="24"/>
        </w:rPr>
        <w:t>QUESTION N</w:t>
      </w:r>
      <w:r>
        <w:rPr>
          <w:rFonts w:cs="Tunga"/>
          <w:b/>
          <w:szCs w:val="24"/>
        </w:rPr>
        <w:t>UMBER:</w:t>
      </w:r>
      <w:r>
        <w:rPr>
          <w:rFonts w:cs="Tunga"/>
          <w:b/>
          <w:szCs w:val="24"/>
        </w:rPr>
        <w:tab/>
        <w:t>2703</w:t>
      </w:r>
      <w:r>
        <w:rPr>
          <w:rFonts w:cs="Tunga"/>
          <w:b/>
          <w:szCs w:val="24"/>
        </w:rPr>
        <w:tab/>
        <w:t>ADVANCE NOTICE NO: NW3134E</w:t>
      </w:r>
    </w:p>
    <w:p w:rsidR="00FD78A6" w:rsidRPr="00A81B0B" w:rsidRDefault="00FD78A6" w:rsidP="00420BEB">
      <w:pPr>
        <w:spacing w:line="360" w:lineRule="auto"/>
        <w:jc w:val="left"/>
        <w:rPr>
          <w:rFonts w:cs="Tunga"/>
          <w:b/>
          <w:color w:val="FF0000"/>
          <w:szCs w:val="24"/>
        </w:rPr>
      </w:pPr>
      <w:r w:rsidRPr="006B7DC1">
        <w:rPr>
          <w:rFonts w:cs="Tunga"/>
          <w:b/>
          <w:szCs w:val="24"/>
        </w:rPr>
        <w:t>DATE OF PUBLICATI</w:t>
      </w:r>
      <w:r>
        <w:rPr>
          <w:rFonts w:cs="Tunga"/>
          <w:b/>
          <w:szCs w:val="24"/>
        </w:rPr>
        <w:t>ON IN INTERNAL QUESTION PAPER: 31 July 2015</w:t>
      </w:r>
    </w:p>
    <w:p w:rsidR="00FD78A6" w:rsidRPr="00A81B0B" w:rsidRDefault="00FD78A6" w:rsidP="00420BEB">
      <w:pPr>
        <w:pBdr>
          <w:bottom w:val="single" w:sz="12" w:space="1" w:color="auto"/>
        </w:pBdr>
        <w:spacing w:line="360" w:lineRule="auto"/>
        <w:jc w:val="left"/>
        <w:rPr>
          <w:rFonts w:cs="Tunga"/>
          <w:b/>
          <w:color w:val="FF0000"/>
          <w:szCs w:val="24"/>
        </w:rPr>
      </w:pPr>
      <w:r>
        <w:rPr>
          <w:rFonts w:cs="Tunga"/>
          <w:b/>
          <w:szCs w:val="24"/>
        </w:rPr>
        <w:t xml:space="preserve">INTERNAL QUESTION PAPER NUMBER: </w:t>
      </w:r>
    </w:p>
    <w:p w:rsidR="00FD78A6" w:rsidRPr="00596769" w:rsidRDefault="00FD78A6" w:rsidP="00596769">
      <w:pPr>
        <w:spacing w:before="100" w:beforeAutospacing="1" w:after="100" w:afterAutospacing="1"/>
        <w:ind w:left="993" w:hanging="851"/>
        <w:outlineLvl w:val="0"/>
        <w:rPr>
          <w:rFonts w:ascii="Times New Roman" w:hAnsi="Times New Roman"/>
          <w:b/>
          <w:color w:val="auto"/>
          <w:szCs w:val="24"/>
        </w:rPr>
      </w:pPr>
      <w:r w:rsidRPr="00596769">
        <w:rPr>
          <w:rFonts w:ascii="Times New Roman" w:hAnsi="Times New Roman"/>
          <w:b/>
          <w:color w:val="auto"/>
          <w:szCs w:val="24"/>
        </w:rPr>
        <w:t>2703.</w:t>
      </w:r>
      <w:r w:rsidRPr="00596769">
        <w:rPr>
          <w:rFonts w:ascii="Times New Roman" w:hAnsi="Times New Roman"/>
          <w:b/>
          <w:color w:val="auto"/>
          <w:szCs w:val="24"/>
        </w:rPr>
        <w:tab/>
        <w:t>Mr J R B Lorimer (DA) to ask the Minister of Mineral Resources:</w:t>
      </w:r>
    </w:p>
    <w:p w:rsidR="00FD78A6" w:rsidRPr="00596769" w:rsidRDefault="00FD78A6" w:rsidP="00596769">
      <w:pPr>
        <w:spacing w:before="100" w:beforeAutospacing="1" w:after="100" w:afterAutospacing="1"/>
        <w:ind w:left="993"/>
        <w:outlineLvl w:val="0"/>
        <w:rPr>
          <w:rFonts w:ascii="Times New Roman" w:hAnsi="Times New Roman"/>
          <w:color w:val="auto"/>
          <w:szCs w:val="24"/>
          <w:lang w:val="en-ZA"/>
        </w:rPr>
      </w:pPr>
      <w:r w:rsidRPr="00596769">
        <w:rPr>
          <w:rFonts w:ascii="Times New Roman" w:hAnsi="Times New Roman"/>
          <w:color w:val="auto"/>
          <w:szCs w:val="24"/>
        </w:rPr>
        <w:t xml:space="preserve">Whether (a) he, (b) his Deputy Minister and (c) any officials in his department travelled to China in the 2014-15 financial year; if so, what was the (i) purpose of each </w:t>
      </w:r>
      <w:r w:rsidRPr="00596769">
        <w:rPr>
          <w:rFonts w:ascii="Times New Roman" w:hAnsi="Times New Roman"/>
          <w:szCs w:val="24"/>
        </w:rPr>
        <w:t>specified</w:t>
      </w:r>
      <w:r w:rsidRPr="00596769">
        <w:rPr>
          <w:rFonts w:ascii="Times New Roman" w:hAnsi="Times New Roman"/>
          <w:color w:val="auto"/>
          <w:szCs w:val="24"/>
        </w:rPr>
        <w:t xml:space="preserve"> visit and (ii)(aa) total cost and (bb) breakdown of such costs of each specified visit?</w:t>
      </w:r>
      <w:r w:rsidRPr="00596769">
        <w:rPr>
          <w:rFonts w:ascii="Times New Roman" w:hAnsi="Times New Roman"/>
          <w:color w:val="auto"/>
          <w:szCs w:val="24"/>
        </w:rPr>
        <w:tab/>
      </w:r>
      <w:r w:rsidRPr="00596769">
        <w:rPr>
          <w:rFonts w:ascii="Times New Roman" w:hAnsi="Times New Roman"/>
          <w:color w:val="auto"/>
          <w:szCs w:val="24"/>
        </w:rPr>
        <w:tab/>
      </w:r>
      <w:r w:rsidRPr="00596769">
        <w:rPr>
          <w:rFonts w:ascii="Times New Roman" w:hAnsi="Times New Roman"/>
          <w:color w:val="auto"/>
          <w:szCs w:val="24"/>
        </w:rPr>
        <w:tab/>
      </w:r>
      <w:r w:rsidRPr="00596769">
        <w:rPr>
          <w:rFonts w:ascii="Times New Roman" w:hAnsi="Times New Roman"/>
          <w:color w:val="auto"/>
          <w:szCs w:val="24"/>
        </w:rPr>
        <w:tab/>
      </w:r>
      <w:r w:rsidRPr="00596769">
        <w:rPr>
          <w:rFonts w:ascii="Times New Roman" w:hAnsi="Times New Roman"/>
          <w:color w:val="auto"/>
          <w:szCs w:val="24"/>
        </w:rPr>
        <w:tab/>
      </w:r>
      <w:r w:rsidRPr="00596769">
        <w:rPr>
          <w:rFonts w:ascii="Times New Roman" w:hAnsi="Times New Roman"/>
          <w:color w:val="auto"/>
          <w:szCs w:val="24"/>
        </w:rPr>
        <w:tab/>
      </w:r>
      <w:r w:rsidRPr="00596769">
        <w:rPr>
          <w:rFonts w:ascii="Times New Roman" w:hAnsi="Times New Roman"/>
          <w:color w:val="auto"/>
          <w:sz w:val="20"/>
        </w:rPr>
        <w:t>NW3134E</w:t>
      </w:r>
    </w:p>
    <w:p w:rsidR="00FD78A6" w:rsidRDefault="00FD78A6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FD78A6" w:rsidRDefault="00FD78A6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REPLY</w:t>
      </w:r>
    </w:p>
    <w:p w:rsidR="00FD78A6" w:rsidRDefault="00FD78A6" w:rsidP="004F4DFF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(a) Minister Ngoako Ramatlhodi and (c) the officials of the Department of Mineral Resources (DMR) </w:t>
      </w:r>
      <w:r w:rsidRPr="00B25C14">
        <w:rPr>
          <w:rFonts w:cs="Tunga"/>
          <w:b/>
          <w:szCs w:val="24"/>
          <w:lang w:val="en-ZA"/>
        </w:rPr>
        <w:t>travelled to Chin</w:t>
      </w:r>
      <w:r>
        <w:rPr>
          <w:rFonts w:cs="Tunga"/>
          <w:b/>
          <w:szCs w:val="24"/>
          <w:lang w:val="en-ZA"/>
        </w:rPr>
        <w:t>a in the 2014-15 financial year on two occasions, See details below.</w:t>
      </w:r>
    </w:p>
    <w:p w:rsidR="00FD78A6" w:rsidRDefault="00FD78A6" w:rsidP="00B25C14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A.</w:t>
      </w:r>
      <w:r>
        <w:rPr>
          <w:rFonts w:cs="Tunga"/>
          <w:b/>
          <w:szCs w:val="24"/>
          <w:lang w:val="en-ZA"/>
        </w:rPr>
        <w:tab/>
      </w:r>
      <w:r w:rsidRPr="00B25C14">
        <w:rPr>
          <w:rFonts w:cs="Tunga"/>
          <w:b/>
          <w:szCs w:val="24"/>
          <w:lang w:val="en-ZA"/>
        </w:rPr>
        <w:t>2014 China Mining Congress and Expo</w:t>
      </w:r>
      <w:r>
        <w:rPr>
          <w:rFonts w:cs="Tunga"/>
          <w:b/>
          <w:szCs w:val="24"/>
          <w:lang w:val="en-ZA"/>
        </w:rPr>
        <w:t xml:space="preserve"> (Tianjin-Beijing, </w:t>
      </w:r>
      <w:r w:rsidRPr="00E47681">
        <w:rPr>
          <w:rFonts w:cs="Tunga"/>
          <w:b/>
          <w:szCs w:val="24"/>
          <w:lang w:val="en-ZA"/>
        </w:rPr>
        <w:t>21 - 22 October 2014)</w:t>
      </w:r>
    </w:p>
    <w:p w:rsidR="00FD78A6" w:rsidRDefault="00FD78A6" w:rsidP="00E47681">
      <w:pPr>
        <w:spacing w:before="100" w:beforeAutospacing="1" w:after="100" w:afterAutospacing="1"/>
        <w:ind w:left="709"/>
        <w:outlineLvl w:val="0"/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(i) The purpose of the visit:</w:t>
      </w:r>
    </w:p>
    <w:p w:rsidR="00FD78A6" w:rsidRDefault="00FD78A6" w:rsidP="00E47681">
      <w:pPr>
        <w:spacing w:before="100" w:beforeAutospacing="1" w:after="100" w:afterAutospacing="1"/>
        <w:ind w:left="709"/>
        <w:outlineLvl w:val="0"/>
        <w:rPr>
          <w:rFonts w:cs="Tunga"/>
          <w:szCs w:val="24"/>
          <w:lang w:val="en-ZA"/>
        </w:rPr>
      </w:pPr>
      <w:r w:rsidRPr="00E47681">
        <w:rPr>
          <w:rFonts w:cs="Tunga"/>
          <w:szCs w:val="24"/>
          <w:lang w:val="en-ZA"/>
        </w:rPr>
        <w:t>China Mining</w:t>
      </w:r>
      <w:r>
        <w:rPr>
          <w:rFonts w:cs="Tunga"/>
          <w:szCs w:val="24"/>
          <w:lang w:val="en-ZA"/>
        </w:rPr>
        <w:t xml:space="preserve"> is a standing item on the international promotional programme of the DMR. Minister Ramatlhodi led the Department’s participation in 2014. The </w:t>
      </w:r>
      <w:r w:rsidRPr="00E47681">
        <w:rPr>
          <w:rFonts w:cs="Tunga"/>
          <w:szCs w:val="24"/>
          <w:lang w:val="en-ZA"/>
        </w:rPr>
        <w:t xml:space="preserve">DMR has participated in the past </w:t>
      </w:r>
      <w:r>
        <w:rPr>
          <w:rFonts w:cs="Tunga"/>
          <w:szCs w:val="24"/>
          <w:lang w:val="en-ZA"/>
        </w:rPr>
        <w:t>five</w:t>
      </w:r>
      <w:r w:rsidRPr="00E47681">
        <w:rPr>
          <w:rFonts w:cs="Tunga"/>
          <w:szCs w:val="24"/>
          <w:lang w:val="en-ZA"/>
        </w:rPr>
        <w:t xml:space="preserve"> sessions of China Mining</w:t>
      </w:r>
      <w:r>
        <w:rPr>
          <w:rFonts w:cs="Tunga"/>
          <w:szCs w:val="24"/>
          <w:lang w:val="en-ZA"/>
        </w:rPr>
        <w:t xml:space="preserve">, including </w:t>
      </w:r>
      <w:r w:rsidRPr="00E47681">
        <w:rPr>
          <w:rFonts w:cs="Tunga"/>
          <w:szCs w:val="24"/>
          <w:lang w:val="en-ZA"/>
        </w:rPr>
        <w:t>the 2014-15 financial year</w:t>
      </w:r>
      <w:r>
        <w:rPr>
          <w:rFonts w:cs="Tunga"/>
          <w:szCs w:val="24"/>
          <w:lang w:val="en-ZA"/>
        </w:rPr>
        <w:t>. T</w:t>
      </w:r>
      <w:r w:rsidRPr="00E47681">
        <w:rPr>
          <w:rFonts w:cs="Tunga"/>
          <w:szCs w:val="24"/>
          <w:lang w:val="en-ZA"/>
        </w:rPr>
        <w:t xml:space="preserve">he assessment </w:t>
      </w:r>
      <w:r>
        <w:rPr>
          <w:rFonts w:cs="Tunga"/>
          <w:szCs w:val="24"/>
          <w:lang w:val="en-ZA"/>
        </w:rPr>
        <w:t>is</w:t>
      </w:r>
      <w:r w:rsidRPr="00E47681">
        <w:rPr>
          <w:rFonts w:cs="Tunga"/>
          <w:szCs w:val="24"/>
          <w:lang w:val="en-ZA"/>
        </w:rPr>
        <w:t xml:space="preserve"> that it </w:t>
      </w:r>
      <w:r>
        <w:rPr>
          <w:rFonts w:cs="Tunga"/>
          <w:szCs w:val="24"/>
          <w:lang w:val="en-ZA"/>
        </w:rPr>
        <w:t>will</w:t>
      </w:r>
      <w:r w:rsidRPr="00E47681">
        <w:rPr>
          <w:rFonts w:cs="Tunga"/>
          <w:szCs w:val="24"/>
          <w:lang w:val="en-ZA"/>
        </w:rPr>
        <w:t xml:space="preserve"> continue doing so</w:t>
      </w:r>
      <w:r>
        <w:rPr>
          <w:rFonts w:cs="Tunga"/>
          <w:szCs w:val="24"/>
          <w:lang w:val="en-ZA"/>
        </w:rPr>
        <w:t>,</w:t>
      </w:r>
      <w:r w:rsidRPr="00E47681">
        <w:rPr>
          <w:rFonts w:cs="Tunga"/>
          <w:szCs w:val="24"/>
          <w:lang w:val="en-ZA"/>
        </w:rPr>
        <w:t xml:space="preserve"> because the Conference offers South Africa an opportunity to engage with the investment community in the mining sector and to promote the country as a top mining investment destination. </w:t>
      </w:r>
    </w:p>
    <w:p w:rsidR="00FD78A6" w:rsidRDefault="00FD78A6" w:rsidP="00E47681">
      <w:pPr>
        <w:spacing w:before="100" w:beforeAutospacing="1" w:after="100" w:afterAutospacing="1"/>
        <w:ind w:left="709"/>
        <w:outlineLvl w:val="0"/>
        <w:rPr>
          <w:rFonts w:cs="Arial"/>
          <w:szCs w:val="24"/>
        </w:rPr>
      </w:pPr>
      <w:r w:rsidRPr="00E47681">
        <w:rPr>
          <w:rFonts w:cs="Tunga"/>
          <w:szCs w:val="24"/>
          <w:lang w:val="en-ZA"/>
        </w:rPr>
        <w:t xml:space="preserve">The following officials </w:t>
      </w:r>
      <w:r>
        <w:rPr>
          <w:rFonts w:cs="Tunga"/>
          <w:szCs w:val="24"/>
          <w:lang w:val="en-ZA"/>
        </w:rPr>
        <w:t xml:space="preserve">provided </w:t>
      </w:r>
      <w:r w:rsidRPr="00E47681">
        <w:rPr>
          <w:rFonts w:cs="Tunga"/>
          <w:szCs w:val="24"/>
          <w:lang w:val="en-ZA"/>
        </w:rPr>
        <w:t xml:space="preserve">support </w:t>
      </w:r>
      <w:r>
        <w:rPr>
          <w:rFonts w:cs="Tunga"/>
          <w:szCs w:val="24"/>
          <w:lang w:val="en-ZA"/>
        </w:rPr>
        <w:t xml:space="preserve">to </w:t>
      </w:r>
      <w:r w:rsidRPr="00E47681">
        <w:rPr>
          <w:rFonts w:cs="Tunga"/>
          <w:szCs w:val="24"/>
          <w:lang w:val="en-ZA"/>
        </w:rPr>
        <w:t xml:space="preserve">the Minister: </w:t>
      </w:r>
      <w:r>
        <w:rPr>
          <w:rFonts w:cs="Tunga"/>
          <w:szCs w:val="24"/>
          <w:lang w:val="en-ZA"/>
        </w:rPr>
        <w:t>Dr T. Ramontja</w:t>
      </w:r>
      <w:r w:rsidRPr="00E47681">
        <w:rPr>
          <w:rFonts w:cs="Tunga"/>
          <w:szCs w:val="24"/>
          <w:lang w:val="en-ZA"/>
        </w:rPr>
        <w:t xml:space="preserve"> </w:t>
      </w:r>
      <w:r>
        <w:rPr>
          <w:rFonts w:cs="Tunga"/>
          <w:szCs w:val="24"/>
          <w:lang w:val="en-ZA"/>
        </w:rPr>
        <w:t>(</w:t>
      </w:r>
      <w:r w:rsidRPr="00E47681">
        <w:rPr>
          <w:rFonts w:cs="Tunga"/>
          <w:szCs w:val="24"/>
          <w:lang w:val="en-ZA"/>
        </w:rPr>
        <w:t xml:space="preserve">DG Mineral </w:t>
      </w:r>
      <w:r>
        <w:rPr>
          <w:rFonts w:cs="Tunga"/>
          <w:szCs w:val="24"/>
          <w:lang w:val="en-ZA"/>
        </w:rPr>
        <w:t>Resources)</w:t>
      </w:r>
      <w:r w:rsidRPr="00E47681">
        <w:rPr>
          <w:rFonts w:cs="Tunga"/>
          <w:szCs w:val="24"/>
          <w:lang w:val="en-ZA"/>
        </w:rPr>
        <w:t xml:space="preserve">; </w:t>
      </w:r>
      <w:r>
        <w:rPr>
          <w:rFonts w:cs="Tunga"/>
          <w:szCs w:val="24"/>
          <w:lang w:val="en-ZA"/>
        </w:rPr>
        <w:t>J. Raphela</w:t>
      </w:r>
      <w:r w:rsidRPr="00E47681">
        <w:rPr>
          <w:rFonts w:cs="Tunga"/>
          <w:szCs w:val="24"/>
          <w:lang w:val="en-ZA"/>
        </w:rPr>
        <w:t xml:space="preserve"> </w:t>
      </w:r>
      <w:r>
        <w:rPr>
          <w:rFonts w:cs="Tunga"/>
          <w:szCs w:val="24"/>
          <w:lang w:val="en-ZA"/>
        </w:rPr>
        <w:t>(</w:t>
      </w:r>
      <w:r w:rsidRPr="00E47681">
        <w:rPr>
          <w:rFonts w:cs="Tunga"/>
          <w:szCs w:val="24"/>
          <w:lang w:val="en-ZA"/>
        </w:rPr>
        <w:t>DDG Mineral Regulation</w:t>
      </w:r>
      <w:r>
        <w:rPr>
          <w:rFonts w:cs="Tunga"/>
          <w:szCs w:val="24"/>
          <w:lang w:val="en-ZA"/>
        </w:rPr>
        <w:t>)</w:t>
      </w:r>
      <w:r w:rsidRPr="00E47681">
        <w:rPr>
          <w:rFonts w:cs="Tunga"/>
          <w:szCs w:val="24"/>
          <w:lang w:val="en-ZA"/>
        </w:rPr>
        <w:t>;</w:t>
      </w:r>
      <w:r>
        <w:rPr>
          <w:rFonts w:cs="Tunga"/>
          <w:szCs w:val="24"/>
          <w:lang w:val="en-ZA"/>
        </w:rPr>
        <w:t xml:space="preserve"> P.</w:t>
      </w:r>
      <w:r w:rsidRPr="00E47681">
        <w:rPr>
          <w:rFonts w:cs="Tunga"/>
          <w:szCs w:val="24"/>
          <w:lang w:val="en-ZA"/>
        </w:rPr>
        <w:t xml:space="preserve"> Mabelebele </w:t>
      </w:r>
      <w:r>
        <w:rPr>
          <w:rFonts w:cs="Tunga"/>
          <w:szCs w:val="24"/>
          <w:lang w:val="en-ZA"/>
        </w:rPr>
        <w:t>(</w:t>
      </w:r>
      <w:r w:rsidRPr="00E47681">
        <w:rPr>
          <w:rFonts w:cs="Tunga"/>
          <w:szCs w:val="24"/>
          <w:lang w:val="en-ZA"/>
        </w:rPr>
        <w:t>Media Liaison Officer</w:t>
      </w:r>
      <w:r>
        <w:rPr>
          <w:rFonts w:cs="Tunga"/>
          <w:szCs w:val="24"/>
          <w:lang w:val="en-ZA"/>
        </w:rPr>
        <w:t xml:space="preserve">); and </w:t>
      </w:r>
      <w:r>
        <w:rPr>
          <w:rFonts w:cs="Arial"/>
          <w:szCs w:val="24"/>
        </w:rPr>
        <w:t xml:space="preserve">R. Motau (PA to the Minister). </w:t>
      </w:r>
    </w:p>
    <w:p w:rsidR="00FD78A6" w:rsidRDefault="00FD78A6" w:rsidP="00E47681">
      <w:pPr>
        <w:spacing w:before="100" w:beforeAutospacing="1" w:after="100" w:afterAutospacing="1"/>
        <w:ind w:left="709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(ii) (aa) </w:t>
      </w:r>
      <w:r w:rsidRPr="00E47681">
        <w:rPr>
          <w:rFonts w:cs="Tunga"/>
          <w:b/>
          <w:szCs w:val="24"/>
          <w:lang w:val="en-ZA"/>
        </w:rPr>
        <w:t xml:space="preserve">total cost and (bb) breakdown of costs of </w:t>
      </w:r>
      <w:r>
        <w:rPr>
          <w:rFonts w:cs="Tunga"/>
          <w:b/>
          <w:szCs w:val="24"/>
          <w:lang w:val="en-ZA"/>
        </w:rPr>
        <w:t>the</w:t>
      </w:r>
      <w:r w:rsidRPr="00E47681">
        <w:rPr>
          <w:rFonts w:cs="Tunga"/>
          <w:b/>
          <w:szCs w:val="24"/>
          <w:lang w:val="en-ZA"/>
        </w:rPr>
        <w:t xml:space="preserve"> visit</w:t>
      </w:r>
      <w:r>
        <w:rPr>
          <w:rFonts w:cs="Tunga"/>
          <w:b/>
          <w:szCs w:val="24"/>
          <w:lang w:val="en-ZA"/>
        </w:rPr>
        <w:t>:</w:t>
      </w:r>
    </w:p>
    <w:tbl>
      <w:tblPr>
        <w:tblW w:w="4961" w:type="dxa"/>
        <w:tblInd w:w="817" w:type="dxa"/>
        <w:tblLook w:val="00A0"/>
      </w:tblPr>
      <w:tblGrid>
        <w:gridCol w:w="2977"/>
        <w:gridCol w:w="1984"/>
      </w:tblGrid>
      <w:tr w:rsidR="00FD78A6" w:rsidRPr="00E47681" w:rsidTr="00E47681">
        <w:trPr>
          <w:trHeight w:val="300"/>
        </w:trPr>
        <w:tc>
          <w:tcPr>
            <w:tcW w:w="2977" w:type="dxa"/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E47681">
              <w:rPr>
                <w:rFonts w:ascii="Calibri" w:hAnsi="Calibri"/>
                <w:sz w:val="22"/>
                <w:szCs w:val="22"/>
                <w:lang w:val="en-ZA" w:eastAsia="en-ZA"/>
              </w:rPr>
              <w:t>Accommodation</w:t>
            </w:r>
          </w:p>
        </w:tc>
        <w:tc>
          <w:tcPr>
            <w:tcW w:w="1984" w:type="dxa"/>
          </w:tcPr>
          <w:p w:rsidR="00FD78A6" w:rsidRPr="00E47681" w:rsidRDefault="00FD78A6" w:rsidP="00D40B57">
            <w:pPr>
              <w:jc w:val="lef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E47681">
              <w:rPr>
                <w:rFonts w:ascii="Calibri" w:hAnsi="Calibri"/>
                <w:sz w:val="22"/>
                <w:szCs w:val="22"/>
                <w:lang w:val="en-ZA" w:eastAsia="en-ZA"/>
              </w:rPr>
              <w:t xml:space="preserve">R </w:t>
            </w:r>
            <w:r w:rsidRPr="00E91DFA">
              <w:rPr>
                <w:rFonts w:ascii="Calibri" w:hAnsi="Calibri"/>
                <w:sz w:val="22"/>
                <w:szCs w:val="22"/>
                <w:lang w:val="en-ZA" w:eastAsia="en-ZA"/>
              </w:rPr>
              <w:t>89 149.24</w:t>
            </w:r>
          </w:p>
        </w:tc>
      </w:tr>
      <w:tr w:rsidR="00FD78A6" w:rsidRPr="00E47681" w:rsidTr="00E47681">
        <w:trPr>
          <w:trHeight w:val="300"/>
        </w:trPr>
        <w:tc>
          <w:tcPr>
            <w:tcW w:w="2977" w:type="dxa"/>
            <w:tcBorders>
              <w:bottom w:val="single" w:sz="2" w:space="0" w:color="auto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E47681">
              <w:rPr>
                <w:rFonts w:ascii="Calibri" w:hAnsi="Calibri"/>
                <w:sz w:val="22"/>
                <w:szCs w:val="22"/>
                <w:lang w:val="en-ZA" w:eastAsia="en-ZA"/>
              </w:rPr>
              <w:t>Air travel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FD78A6" w:rsidRPr="00E47681" w:rsidRDefault="00FD78A6" w:rsidP="00D40B57">
            <w:pPr>
              <w:jc w:val="lef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 w:rsidRPr="00E91DFA">
              <w:rPr>
                <w:rFonts w:ascii="Calibri" w:hAnsi="Calibri"/>
                <w:sz w:val="22"/>
                <w:szCs w:val="22"/>
                <w:lang w:val="en-ZA" w:eastAsia="en-ZA"/>
              </w:rPr>
              <w:t>R 276 307.00</w:t>
            </w:r>
          </w:p>
        </w:tc>
      </w:tr>
      <w:tr w:rsidR="00FD78A6" w:rsidRPr="00E47681" w:rsidTr="00E47681">
        <w:trPr>
          <w:trHeight w:val="300"/>
        </w:trPr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rFonts w:ascii="Calibri" w:hAnsi="Calibri"/>
                <w:sz w:val="22"/>
                <w:szCs w:val="22"/>
                <w:lang w:val="en-ZA" w:eastAsia="en-ZA"/>
              </w:rPr>
            </w:pPr>
            <w:r>
              <w:rPr>
                <w:rFonts w:ascii="Calibri" w:hAnsi="Calibri"/>
                <w:sz w:val="22"/>
                <w:szCs w:val="22"/>
                <w:lang w:val="en-ZA" w:eastAsia="en-ZA"/>
              </w:rPr>
              <w:t>TOTAL</w:t>
            </w: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:rsidR="00FD78A6" w:rsidRPr="00E91DFA" w:rsidRDefault="00FD78A6" w:rsidP="00D40B57">
            <w:pPr>
              <w:jc w:val="left"/>
              <w:rPr>
                <w:rFonts w:ascii="Calibri" w:hAnsi="Calibri"/>
                <w:b/>
                <w:sz w:val="22"/>
                <w:szCs w:val="22"/>
                <w:lang w:val="en-ZA" w:eastAsia="en-ZA"/>
              </w:rPr>
            </w:pPr>
            <w:r w:rsidRPr="00E91DFA">
              <w:rPr>
                <w:rFonts w:ascii="Calibri" w:hAnsi="Calibri"/>
                <w:b/>
                <w:sz w:val="22"/>
                <w:szCs w:val="22"/>
                <w:lang w:val="en-ZA" w:eastAsia="en-ZA"/>
              </w:rPr>
              <w:t>R 365 456.24</w:t>
            </w:r>
          </w:p>
        </w:tc>
      </w:tr>
    </w:tbl>
    <w:p w:rsidR="00FD78A6" w:rsidRDefault="00FD78A6" w:rsidP="00E47681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</w:p>
    <w:p w:rsidR="00FD78A6" w:rsidRDefault="00FD78A6" w:rsidP="00E47681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B.</w:t>
      </w:r>
      <w:r>
        <w:rPr>
          <w:rFonts w:cs="Tunga"/>
          <w:b/>
          <w:szCs w:val="24"/>
          <w:lang w:val="en-ZA"/>
        </w:rPr>
        <w:tab/>
        <w:t xml:space="preserve">Kimberly </w:t>
      </w:r>
      <w:r w:rsidRPr="00E91DFA">
        <w:rPr>
          <w:rFonts w:cs="Tunga"/>
          <w:b/>
          <w:szCs w:val="24"/>
          <w:lang w:val="en-ZA"/>
        </w:rPr>
        <w:t>Process Certification Scheme</w:t>
      </w:r>
    </w:p>
    <w:p w:rsidR="00FD78A6" w:rsidRDefault="00FD78A6" w:rsidP="00E91DFA">
      <w:pPr>
        <w:spacing w:before="100" w:beforeAutospacing="1" w:after="100" w:afterAutospacing="1"/>
        <w:ind w:left="709"/>
        <w:outlineLvl w:val="0"/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ab/>
      </w:r>
      <w:r w:rsidRPr="00E47681">
        <w:rPr>
          <w:rFonts w:cs="Tunga"/>
          <w:szCs w:val="24"/>
          <w:lang w:val="en-ZA"/>
        </w:rPr>
        <w:t>South Africa is a founding member of the Kimberley Process Certification Scheme (KPCS) in 2003, aimed at prevent</w:t>
      </w:r>
      <w:r>
        <w:rPr>
          <w:rFonts w:cs="Tunga"/>
          <w:szCs w:val="24"/>
          <w:lang w:val="en-ZA"/>
        </w:rPr>
        <w:t>ing trade of conflict diamonds:</w:t>
      </w:r>
    </w:p>
    <w:p w:rsidR="00FD78A6" w:rsidRPr="00AA7A0B" w:rsidRDefault="00FD78A6" w:rsidP="00E91DFA">
      <w:pPr>
        <w:pStyle w:val="ListParagraph"/>
        <w:numPr>
          <w:ilvl w:val="0"/>
          <w:numId w:val="3"/>
        </w:numPr>
        <w:spacing w:before="100" w:beforeAutospacing="1" w:after="100" w:afterAutospacing="1"/>
        <w:ind w:left="1134" w:hanging="425"/>
        <w:outlineLvl w:val="0"/>
        <w:rPr>
          <w:rFonts w:cs="Tunga"/>
          <w:b/>
          <w:i/>
          <w:szCs w:val="24"/>
          <w:u w:val="single"/>
          <w:lang w:val="en-ZA"/>
        </w:rPr>
      </w:pPr>
      <w:r w:rsidRPr="00AA7A0B">
        <w:rPr>
          <w:rFonts w:cs="Tunga"/>
          <w:b/>
          <w:i/>
          <w:szCs w:val="24"/>
          <w:u w:val="single"/>
          <w:lang w:val="en-ZA"/>
        </w:rPr>
        <w:t>Plenary Meeting (Guangzhou, 10 - 14 November 2014)</w:t>
      </w:r>
    </w:p>
    <w:p w:rsidR="00FD78A6" w:rsidRDefault="00FD78A6" w:rsidP="00E47681">
      <w:pPr>
        <w:spacing w:before="100" w:beforeAutospacing="1" w:after="100" w:afterAutospacing="1"/>
        <w:ind w:left="709"/>
        <w:outlineLvl w:val="0"/>
        <w:rPr>
          <w:rFonts w:cs="Arial"/>
          <w:szCs w:val="24"/>
        </w:rPr>
      </w:pPr>
      <w:r>
        <w:rPr>
          <w:rFonts w:cs="Tunga"/>
          <w:b/>
          <w:szCs w:val="24"/>
          <w:lang w:val="en-ZA"/>
        </w:rPr>
        <w:t xml:space="preserve">(i) The purpose of the visit: </w:t>
      </w:r>
      <w:r w:rsidRPr="00E47681">
        <w:rPr>
          <w:rFonts w:cs="Tunga"/>
          <w:szCs w:val="24"/>
          <w:lang w:val="en-ZA"/>
        </w:rPr>
        <w:t xml:space="preserve">The KP Plenary is the highest decision body of the scheme. Minister Ramatlhodi travelled to China as part of the country’s standing obligation. The following officials </w:t>
      </w:r>
      <w:r>
        <w:rPr>
          <w:rFonts w:cs="Tunga"/>
          <w:szCs w:val="24"/>
          <w:lang w:val="en-ZA"/>
        </w:rPr>
        <w:t xml:space="preserve">provided </w:t>
      </w:r>
      <w:r w:rsidRPr="00E47681">
        <w:rPr>
          <w:rFonts w:cs="Tunga"/>
          <w:szCs w:val="24"/>
          <w:lang w:val="en-ZA"/>
        </w:rPr>
        <w:t xml:space="preserve">support </w:t>
      </w:r>
      <w:r>
        <w:rPr>
          <w:rFonts w:cs="Tunga"/>
          <w:szCs w:val="24"/>
          <w:lang w:val="en-ZA"/>
        </w:rPr>
        <w:t xml:space="preserve">to </w:t>
      </w:r>
      <w:r w:rsidRPr="00E47681">
        <w:rPr>
          <w:rFonts w:cs="Tunga"/>
          <w:szCs w:val="24"/>
          <w:lang w:val="en-ZA"/>
        </w:rPr>
        <w:t xml:space="preserve">the Minister: </w:t>
      </w:r>
      <w:r>
        <w:rPr>
          <w:rFonts w:cs="Tunga"/>
          <w:szCs w:val="24"/>
          <w:lang w:val="en-ZA"/>
        </w:rPr>
        <w:t>Dr T. Ramontja</w:t>
      </w:r>
      <w:r w:rsidRPr="00E47681">
        <w:rPr>
          <w:rFonts w:cs="Tunga"/>
          <w:szCs w:val="24"/>
          <w:lang w:val="en-ZA"/>
        </w:rPr>
        <w:t xml:space="preserve"> </w:t>
      </w:r>
      <w:r>
        <w:rPr>
          <w:rFonts w:cs="Tunga"/>
          <w:szCs w:val="24"/>
          <w:lang w:val="en-ZA"/>
        </w:rPr>
        <w:t>(</w:t>
      </w:r>
      <w:r w:rsidRPr="00E47681">
        <w:rPr>
          <w:rFonts w:cs="Tunga"/>
          <w:szCs w:val="24"/>
          <w:lang w:val="en-ZA"/>
        </w:rPr>
        <w:t xml:space="preserve">DG Mineral </w:t>
      </w:r>
      <w:r>
        <w:rPr>
          <w:rFonts w:cs="Tunga"/>
          <w:szCs w:val="24"/>
          <w:lang w:val="en-ZA"/>
        </w:rPr>
        <w:t>Resources)</w:t>
      </w:r>
      <w:r w:rsidRPr="00E47681">
        <w:rPr>
          <w:rFonts w:cs="Tunga"/>
          <w:szCs w:val="24"/>
          <w:lang w:val="en-ZA"/>
        </w:rPr>
        <w:t xml:space="preserve">; </w:t>
      </w:r>
      <w:r>
        <w:rPr>
          <w:rFonts w:cs="Tunga"/>
          <w:szCs w:val="24"/>
          <w:lang w:val="en-ZA"/>
        </w:rPr>
        <w:t>R. Muthige</w:t>
      </w:r>
      <w:r w:rsidRPr="00E47681">
        <w:rPr>
          <w:rFonts w:cs="Tunga"/>
          <w:szCs w:val="24"/>
          <w:lang w:val="en-ZA"/>
        </w:rPr>
        <w:t xml:space="preserve"> </w:t>
      </w:r>
      <w:r>
        <w:rPr>
          <w:rFonts w:cs="Tunga"/>
          <w:szCs w:val="24"/>
          <w:lang w:val="en-ZA"/>
        </w:rPr>
        <w:t>(D</w:t>
      </w:r>
      <w:r w:rsidRPr="00E47681">
        <w:rPr>
          <w:rFonts w:cs="Tunga"/>
          <w:szCs w:val="24"/>
          <w:lang w:val="en-ZA"/>
        </w:rPr>
        <w:t>D Mineral P</w:t>
      </w:r>
      <w:r>
        <w:rPr>
          <w:rFonts w:cs="Tunga"/>
          <w:szCs w:val="24"/>
          <w:lang w:val="en-ZA"/>
        </w:rPr>
        <w:t>olicy)</w:t>
      </w:r>
      <w:r w:rsidRPr="00E47681">
        <w:rPr>
          <w:rFonts w:cs="Tunga"/>
          <w:szCs w:val="24"/>
          <w:lang w:val="en-ZA"/>
        </w:rPr>
        <w:t xml:space="preserve">; </w:t>
      </w:r>
      <w:r>
        <w:rPr>
          <w:rFonts w:cs="Tunga"/>
          <w:szCs w:val="24"/>
          <w:lang w:val="en-ZA"/>
        </w:rPr>
        <w:t xml:space="preserve">and </w:t>
      </w:r>
      <w:r>
        <w:rPr>
          <w:rFonts w:cs="Arial"/>
          <w:szCs w:val="24"/>
        </w:rPr>
        <w:t xml:space="preserve">T. Sekaya (Assistant PA to the Minister). </w:t>
      </w:r>
    </w:p>
    <w:p w:rsidR="00FD78A6" w:rsidRDefault="00FD78A6" w:rsidP="00E47681">
      <w:pPr>
        <w:spacing w:before="100" w:beforeAutospacing="1" w:after="100" w:afterAutospacing="1"/>
        <w:ind w:left="709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(ii) (aa) </w:t>
      </w:r>
      <w:r w:rsidRPr="00E47681">
        <w:rPr>
          <w:rFonts w:cs="Tunga"/>
          <w:b/>
          <w:szCs w:val="24"/>
          <w:lang w:val="en-ZA"/>
        </w:rPr>
        <w:t xml:space="preserve">total cost and (bb) breakdown of costs of </w:t>
      </w:r>
      <w:r>
        <w:rPr>
          <w:rFonts w:cs="Tunga"/>
          <w:b/>
          <w:szCs w:val="24"/>
          <w:lang w:val="en-ZA"/>
        </w:rPr>
        <w:t>the</w:t>
      </w:r>
      <w:r w:rsidRPr="00E47681">
        <w:rPr>
          <w:rFonts w:cs="Tunga"/>
          <w:b/>
          <w:szCs w:val="24"/>
          <w:lang w:val="en-ZA"/>
        </w:rPr>
        <w:t xml:space="preserve"> visit</w:t>
      </w:r>
      <w:r>
        <w:rPr>
          <w:rFonts w:cs="Tunga"/>
          <w:b/>
          <w:szCs w:val="24"/>
          <w:lang w:val="en-ZA"/>
        </w:rPr>
        <w:t>:</w:t>
      </w:r>
    </w:p>
    <w:tbl>
      <w:tblPr>
        <w:tblW w:w="4961" w:type="dxa"/>
        <w:tblInd w:w="817" w:type="dxa"/>
        <w:tblLook w:val="00A0"/>
      </w:tblPr>
      <w:tblGrid>
        <w:gridCol w:w="2977"/>
        <w:gridCol w:w="1984"/>
      </w:tblGrid>
      <w:tr w:rsidR="00FD78A6" w:rsidRPr="00E47681" w:rsidTr="00D40B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47681">
              <w:rPr>
                <w:sz w:val="22"/>
                <w:szCs w:val="22"/>
                <w:lang w:val="en-ZA" w:eastAsia="en-ZA"/>
              </w:rPr>
              <w:t>Accommodation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91DFA">
              <w:rPr>
                <w:sz w:val="22"/>
                <w:szCs w:val="22"/>
                <w:lang w:val="en-ZA" w:eastAsia="en-ZA"/>
              </w:rPr>
              <w:t>R 169 285.91</w:t>
            </w:r>
          </w:p>
        </w:tc>
      </w:tr>
      <w:tr w:rsidR="00FD78A6" w:rsidRPr="00E47681" w:rsidTr="00D40B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47681">
              <w:rPr>
                <w:sz w:val="22"/>
                <w:szCs w:val="22"/>
                <w:lang w:val="en-ZA" w:eastAsia="en-ZA"/>
              </w:rPr>
              <w:t>Air travel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91DFA">
              <w:rPr>
                <w:sz w:val="22"/>
                <w:szCs w:val="22"/>
                <w:lang w:val="en-ZA" w:eastAsia="en-ZA"/>
              </w:rPr>
              <w:t>R 159 636.56</w:t>
            </w:r>
          </w:p>
        </w:tc>
      </w:tr>
      <w:tr w:rsidR="00FD78A6" w:rsidRPr="00E47681" w:rsidTr="00D40B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47681">
              <w:rPr>
                <w:sz w:val="22"/>
                <w:szCs w:val="22"/>
                <w:lang w:val="en-ZA" w:eastAsia="en-ZA"/>
              </w:rPr>
              <w:t>Ground transportation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91DFA">
              <w:rPr>
                <w:sz w:val="22"/>
                <w:szCs w:val="22"/>
                <w:lang w:val="en-ZA" w:eastAsia="en-ZA"/>
              </w:rPr>
              <w:t>R 40 300.33</w:t>
            </w:r>
          </w:p>
        </w:tc>
      </w:tr>
      <w:tr w:rsidR="00FD78A6" w:rsidRPr="00E47681" w:rsidTr="00D40B57">
        <w:trPr>
          <w:trHeight w:val="300"/>
        </w:trPr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b/>
                <w:sz w:val="22"/>
                <w:szCs w:val="22"/>
                <w:lang w:val="en-ZA" w:eastAsia="en-ZA"/>
              </w:rPr>
            </w:pPr>
            <w:r w:rsidRPr="00E47681">
              <w:rPr>
                <w:b/>
                <w:sz w:val="22"/>
                <w:szCs w:val="22"/>
                <w:lang w:val="en-ZA" w:eastAsia="en-ZA"/>
              </w:rPr>
              <w:t> Total cost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8A6" w:rsidRPr="00E91DFA" w:rsidRDefault="00FD78A6" w:rsidP="00E91DFA">
            <w:pPr>
              <w:jc w:val="left"/>
              <w:rPr>
                <w:b/>
                <w:sz w:val="22"/>
                <w:szCs w:val="22"/>
                <w:lang w:val="en-ZA" w:eastAsia="en-ZA"/>
              </w:rPr>
            </w:pPr>
            <w:r w:rsidRPr="00E91DFA">
              <w:rPr>
                <w:b/>
                <w:sz w:val="22"/>
                <w:szCs w:val="22"/>
                <w:lang w:val="en-ZA" w:eastAsia="en-ZA"/>
              </w:rPr>
              <w:t>R 369 222.80</w:t>
            </w:r>
          </w:p>
        </w:tc>
      </w:tr>
    </w:tbl>
    <w:p w:rsidR="00FD78A6" w:rsidRPr="00AA7A0B" w:rsidRDefault="00FD78A6" w:rsidP="00E91DFA">
      <w:pPr>
        <w:pStyle w:val="ListParagraph"/>
        <w:numPr>
          <w:ilvl w:val="0"/>
          <w:numId w:val="3"/>
        </w:numPr>
        <w:spacing w:before="100" w:beforeAutospacing="1" w:after="100" w:afterAutospacing="1"/>
        <w:ind w:left="1134" w:hanging="425"/>
        <w:outlineLvl w:val="0"/>
        <w:rPr>
          <w:rFonts w:cs="Tunga"/>
          <w:b/>
          <w:i/>
          <w:szCs w:val="24"/>
          <w:u w:val="single"/>
          <w:lang w:val="en-ZA"/>
        </w:rPr>
      </w:pPr>
      <w:r w:rsidRPr="00AA7A0B">
        <w:rPr>
          <w:rFonts w:cs="Tunga"/>
          <w:b/>
          <w:i/>
          <w:szCs w:val="24"/>
          <w:u w:val="single"/>
          <w:lang w:val="en-ZA"/>
        </w:rPr>
        <w:t>Intersessional Meeting (Shanghai, 9 - 12 June 2014)</w:t>
      </w:r>
    </w:p>
    <w:p w:rsidR="00FD78A6" w:rsidRPr="00E91DFA" w:rsidRDefault="00FD78A6" w:rsidP="00E91DFA">
      <w:pPr>
        <w:spacing w:before="100" w:beforeAutospacing="1" w:after="100" w:afterAutospacing="1"/>
        <w:ind w:left="709"/>
        <w:outlineLvl w:val="0"/>
        <w:rPr>
          <w:rFonts w:cs="Tunga"/>
          <w:szCs w:val="24"/>
          <w:lang w:val="en-ZA"/>
        </w:rPr>
      </w:pPr>
      <w:r w:rsidRPr="00E91DFA">
        <w:rPr>
          <w:rFonts w:cs="Tunga"/>
          <w:b/>
          <w:szCs w:val="24"/>
          <w:lang w:val="en-ZA"/>
        </w:rPr>
        <w:t>(i) The purpose of the visit:</w:t>
      </w:r>
      <w:r>
        <w:rPr>
          <w:rFonts w:cs="Tunga"/>
          <w:b/>
          <w:szCs w:val="24"/>
          <w:lang w:val="en-ZA"/>
        </w:rPr>
        <w:t xml:space="preserve"> </w:t>
      </w:r>
      <w:r w:rsidRPr="00E91DFA">
        <w:rPr>
          <w:rFonts w:cs="Tunga"/>
          <w:szCs w:val="24"/>
          <w:lang w:val="en-ZA"/>
        </w:rPr>
        <w:t>The Intersessional Meeting is implementing structure of decisions taken at the highest decision body of the scheme</w:t>
      </w:r>
      <w:r>
        <w:rPr>
          <w:rFonts w:cs="Tunga"/>
          <w:szCs w:val="24"/>
          <w:lang w:val="en-ZA"/>
        </w:rPr>
        <w:t xml:space="preserve">, </w:t>
      </w:r>
      <w:r w:rsidRPr="00E91DFA">
        <w:rPr>
          <w:rFonts w:cs="Tunga"/>
          <w:szCs w:val="24"/>
          <w:lang w:val="en-ZA"/>
        </w:rPr>
        <w:t xml:space="preserve">KP Plenary. </w:t>
      </w:r>
      <w:r>
        <w:rPr>
          <w:rFonts w:cs="Tunga"/>
          <w:szCs w:val="24"/>
          <w:lang w:val="en-ZA"/>
        </w:rPr>
        <w:t>The DMR participated in this</w:t>
      </w:r>
      <w:r w:rsidRPr="00E91DFA">
        <w:rPr>
          <w:rFonts w:cs="Tunga"/>
          <w:szCs w:val="24"/>
          <w:lang w:val="en-ZA"/>
        </w:rPr>
        <w:t xml:space="preserve"> </w:t>
      </w:r>
      <w:r>
        <w:rPr>
          <w:rFonts w:cs="Tunga"/>
          <w:szCs w:val="24"/>
          <w:lang w:val="en-ZA"/>
        </w:rPr>
        <w:t>Meeting</w:t>
      </w:r>
      <w:r w:rsidRPr="00E91DFA">
        <w:rPr>
          <w:rFonts w:cs="Tunga"/>
          <w:szCs w:val="24"/>
          <w:lang w:val="en-ZA"/>
        </w:rPr>
        <w:t xml:space="preserve"> as part of the country’s standing obligation. </w:t>
      </w:r>
      <w:r>
        <w:rPr>
          <w:rFonts w:cs="Tunga"/>
          <w:szCs w:val="24"/>
          <w:lang w:val="en-ZA"/>
        </w:rPr>
        <w:t>One DMR</w:t>
      </w:r>
      <w:r w:rsidRPr="00E91DFA">
        <w:rPr>
          <w:rFonts w:cs="Tunga"/>
          <w:szCs w:val="24"/>
          <w:lang w:val="en-ZA"/>
        </w:rPr>
        <w:t xml:space="preserve"> official</w:t>
      </w:r>
      <w:r>
        <w:rPr>
          <w:rFonts w:cs="Tunga"/>
          <w:szCs w:val="24"/>
          <w:lang w:val="en-ZA"/>
        </w:rPr>
        <w:t xml:space="preserve"> attended the KP Intersessional Meeting</w:t>
      </w:r>
      <w:r w:rsidRPr="00E91DFA">
        <w:rPr>
          <w:rFonts w:cs="Tunga"/>
          <w:szCs w:val="24"/>
          <w:lang w:val="en-ZA"/>
        </w:rPr>
        <w:t>: R. Muthige (DD Mineral Policy)</w:t>
      </w:r>
      <w:r>
        <w:rPr>
          <w:rFonts w:cs="Tunga"/>
          <w:szCs w:val="24"/>
          <w:lang w:val="en-ZA"/>
        </w:rPr>
        <w:t>.</w:t>
      </w:r>
    </w:p>
    <w:p w:rsidR="00FD78A6" w:rsidRPr="00E91DFA" w:rsidRDefault="00FD78A6" w:rsidP="00E91DFA">
      <w:pPr>
        <w:spacing w:before="100" w:beforeAutospacing="1" w:after="100" w:afterAutospacing="1"/>
        <w:ind w:left="709"/>
        <w:outlineLvl w:val="0"/>
        <w:rPr>
          <w:rFonts w:cs="Tunga"/>
          <w:b/>
          <w:szCs w:val="24"/>
          <w:lang w:val="en-ZA"/>
        </w:rPr>
      </w:pPr>
      <w:r w:rsidRPr="00E91DFA">
        <w:rPr>
          <w:rFonts w:cs="Tunga"/>
          <w:b/>
          <w:szCs w:val="24"/>
          <w:lang w:val="en-ZA"/>
        </w:rPr>
        <w:t>(ii) (aa) total cost and (bb) breakdown of costs of the visit:</w:t>
      </w:r>
    </w:p>
    <w:tbl>
      <w:tblPr>
        <w:tblW w:w="4961" w:type="dxa"/>
        <w:tblInd w:w="817" w:type="dxa"/>
        <w:tblLook w:val="00A0"/>
      </w:tblPr>
      <w:tblGrid>
        <w:gridCol w:w="2977"/>
        <w:gridCol w:w="1984"/>
      </w:tblGrid>
      <w:tr w:rsidR="00FD78A6" w:rsidRPr="00E47681" w:rsidTr="00D40B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47681">
              <w:rPr>
                <w:sz w:val="22"/>
                <w:szCs w:val="22"/>
                <w:lang w:val="en-ZA" w:eastAsia="en-ZA"/>
              </w:rPr>
              <w:t>Accommodation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78A6" w:rsidRPr="00E47681" w:rsidRDefault="00FD78A6" w:rsidP="00E91DFA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91DFA">
              <w:rPr>
                <w:sz w:val="22"/>
                <w:szCs w:val="22"/>
                <w:lang w:val="en-ZA" w:eastAsia="en-ZA"/>
              </w:rPr>
              <w:t>R 3</w:t>
            </w:r>
            <w:r>
              <w:rPr>
                <w:sz w:val="22"/>
                <w:szCs w:val="22"/>
                <w:lang w:val="en-ZA" w:eastAsia="en-ZA"/>
              </w:rPr>
              <w:t>6 2</w:t>
            </w:r>
            <w:r w:rsidRPr="00E91DFA">
              <w:rPr>
                <w:sz w:val="22"/>
                <w:szCs w:val="22"/>
                <w:lang w:val="en-ZA" w:eastAsia="en-ZA"/>
              </w:rPr>
              <w:t>00.00</w:t>
            </w:r>
          </w:p>
        </w:tc>
      </w:tr>
      <w:tr w:rsidR="00FD78A6" w:rsidRPr="00E47681" w:rsidTr="00D40B5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47681">
              <w:rPr>
                <w:sz w:val="22"/>
                <w:szCs w:val="22"/>
                <w:lang w:val="en-ZA" w:eastAsia="en-ZA"/>
              </w:rPr>
              <w:t>Air travel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78A6" w:rsidRPr="00E47681" w:rsidRDefault="00FD78A6" w:rsidP="00E91DFA">
            <w:pPr>
              <w:jc w:val="left"/>
              <w:rPr>
                <w:sz w:val="22"/>
                <w:szCs w:val="22"/>
                <w:lang w:val="en-ZA" w:eastAsia="en-ZA"/>
              </w:rPr>
            </w:pPr>
            <w:r w:rsidRPr="00E91DFA">
              <w:rPr>
                <w:sz w:val="22"/>
                <w:szCs w:val="22"/>
                <w:lang w:val="en-ZA" w:eastAsia="en-ZA"/>
              </w:rPr>
              <w:t xml:space="preserve">R </w:t>
            </w:r>
            <w:r>
              <w:rPr>
                <w:sz w:val="22"/>
                <w:szCs w:val="22"/>
                <w:lang w:val="en-ZA" w:eastAsia="en-ZA"/>
              </w:rPr>
              <w:t>27</w:t>
            </w:r>
            <w:r w:rsidRPr="00E91DFA">
              <w:rPr>
                <w:sz w:val="22"/>
                <w:szCs w:val="22"/>
                <w:lang w:val="en-ZA" w:eastAsia="en-ZA"/>
              </w:rPr>
              <w:t xml:space="preserve"> </w:t>
            </w:r>
            <w:r>
              <w:rPr>
                <w:sz w:val="22"/>
                <w:szCs w:val="22"/>
                <w:lang w:val="en-ZA" w:eastAsia="en-ZA"/>
              </w:rPr>
              <w:t>000</w:t>
            </w:r>
            <w:r w:rsidRPr="00E91DFA">
              <w:rPr>
                <w:sz w:val="22"/>
                <w:szCs w:val="22"/>
                <w:lang w:val="en-ZA" w:eastAsia="en-ZA"/>
              </w:rPr>
              <w:t>.</w:t>
            </w:r>
            <w:r>
              <w:rPr>
                <w:sz w:val="22"/>
                <w:szCs w:val="22"/>
                <w:lang w:val="en-ZA" w:eastAsia="en-ZA"/>
              </w:rPr>
              <w:t>00</w:t>
            </w:r>
          </w:p>
        </w:tc>
      </w:tr>
      <w:tr w:rsidR="00FD78A6" w:rsidRPr="00E47681" w:rsidTr="00D40B57">
        <w:trPr>
          <w:trHeight w:val="300"/>
        </w:trPr>
        <w:tc>
          <w:tcPr>
            <w:tcW w:w="297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noWrap/>
            <w:vAlign w:val="bottom"/>
          </w:tcPr>
          <w:p w:rsidR="00FD78A6" w:rsidRPr="00E47681" w:rsidRDefault="00FD78A6" w:rsidP="00D40B57">
            <w:pPr>
              <w:jc w:val="left"/>
              <w:rPr>
                <w:b/>
                <w:sz w:val="22"/>
                <w:szCs w:val="22"/>
                <w:lang w:val="en-ZA" w:eastAsia="en-ZA"/>
              </w:rPr>
            </w:pPr>
            <w:r w:rsidRPr="00E47681">
              <w:rPr>
                <w:b/>
                <w:sz w:val="22"/>
                <w:szCs w:val="22"/>
                <w:lang w:val="en-ZA" w:eastAsia="en-ZA"/>
              </w:rPr>
              <w:t> Total cost</w:t>
            </w:r>
          </w:p>
        </w:tc>
        <w:tc>
          <w:tcPr>
            <w:tcW w:w="198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D78A6" w:rsidRPr="00E91DFA" w:rsidRDefault="00FD78A6" w:rsidP="00E91DFA">
            <w:pPr>
              <w:jc w:val="left"/>
              <w:rPr>
                <w:b/>
                <w:sz w:val="22"/>
                <w:szCs w:val="22"/>
                <w:lang w:val="en-ZA" w:eastAsia="en-ZA"/>
              </w:rPr>
            </w:pPr>
            <w:r w:rsidRPr="00E91DFA">
              <w:rPr>
                <w:b/>
                <w:sz w:val="22"/>
                <w:szCs w:val="22"/>
                <w:lang w:val="en-ZA" w:eastAsia="en-ZA"/>
              </w:rPr>
              <w:t>R 63</w:t>
            </w:r>
            <w:r>
              <w:rPr>
                <w:b/>
                <w:sz w:val="22"/>
                <w:szCs w:val="22"/>
                <w:lang w:val="en-ZA" w:eastAsia="en-ZA"/>
              </w:rPr>
              <w:t xml:space="preserve"> </w:t>
            </w:r>
            <w:r w:rsidRPr="00E91DFA">
              <w:rPr>
                <w:b/>
                <w:sz w:val="22"/>
                <w:szCs w:val="22"/>
                <w:lang w:val="en-ZA" w:eastAsia="en-ZA"/>
              </w:rPr>
              <w:t>200</w:t>
            </w:r>
            <w:r>
              <w:rPr>
                <w:b/>
                <w:sz w:val="22"/>
                <w:szCs w:val="22"/>
                <w:lang w:val="en-ZA" w:eastAsia="en-ZA"/>
              </w:rPr>
              <w:t>.00</w:t>
            </w:r>
          </w:p>
        </w:tc>
      </w:tr>
    </w:tbl>
    <w:p w:rsidR="00FD78A6" w:rsidRDefault="00FD78A6" w:rsidP="00E47681">
      <w:pPr>
        <w:spacing w:before="100" w:beforeAutospacing="1" w:after="100" w:afterAutospacing="1"/>
        <w:outlineLvl w:val="0"/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 xml:space="preserve">(b) </w:t>
      </w:r>
      <w:r w:rsidRPr="00B25C14">
        <w:rPr>
          <w:rFonts w:cs="Tunga"/>
          <w:b/>
          <w:szCs w:val="24"/>
          <w:lang w:val="en-ZA"/>
        </w:rPr>
        <w:t xml:space="preserve">Deputy Minister Godfrey Oliphant did not travel to China in </w:t>
      </w:r>
      <w:r>
        <w:rPr>
          <w:rFonts w:cs="Tunga"/>
          <w:b/>
          <w:szCs w:val="24"/>
          <w:lang w:val="en-ZA"/>
        </w:rPr>
        <w:t>the 2014-15 financial year</w:t>
      </w:r>
      <w:r w:rsidRPr="00B25C14">
        <w:rPr>
          <w:rFonts w:cs="Tunga"/>
          <w:b/>
          <w:szCs w:val="24"/>
          <w:lang w:val="en-ZA"/>
        </w:rPr>
        <w:t>.</w:t>
      </w:r>
    </w:p>
    <w:p w:rsidR="00FD78A6" w:rsidRPr="00346D93" w:rsidRDefault="00FD78A6" w:rsidP="0077048C">
      <w:pPr>
        <w:spacing w:before="100" w:beforeAutospacing="1" w:after="100" w:afterAutospacing="1"/>
        <w:ind w:left="1440" w:hanging="720"/>
        <w:outlineLvl w:val="0"/>
        <w:rPr>
          <w:color w:val="222222"/>
        </w:rPr>
      </w:pPr>
    </w:p>
    <w:p w:rsidR="00FD78A6" w:rsidRPr="009D5245" w:rsidRDefault="00FD78A6" w:rsidP="001476BB">
      <w:pPr>
        <w:rPr>
          <w:rFonts w:cs="Tunga"/>
          <w:szCs w:val="24"/>
          <w:lang w:val="en-ZA"/>
        </w:rPr>
      </w:pPr>
      <w:r>
        <w:rPr>
          <w:rFonts w:cs="Tunga"/>
          <w:szCs w:val="24"/>
          <w:lang w:val="en-ZA"/>
        </w:rPr>
        <w:t>Approved/not approved</w:t>
      </w:r>
    </w:p>
    <w:p w:rsidR="00FD78A6" w:rsidRDefault="00FD78A6"/>
    <w:p w:rsidR="00FD78A6" w:rsidRDefault="00FD78A6"/>
    <w:p w:rsidR="00FD78A6" w:rsidRDefault="00FD78A6"/>
    <w:p w:rsidR="00FD78A6" w:rsidRPr="009D5245" w:rsidRDefault="00FD78A6" w:rsidP="00C21927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 N.A Ramatlhodi</w:t>
      </w:r>
    </w:p>
    <w:p w:rsidR="00FD78A6" w:rsidRDefault="00FD78A6" w:rsidP="00C21927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Minister of Mineral Resources</w:t>
      </w:r>
    </w:p>
    <w:p w:rsidR="00FD78A6" w:rsidRDefault="00FD78A6" w:rsidP="00E91DFA">
      <w:r>
        <w:rPr>
          <w:rFonts w:cs="Tunga"/>
          <w:b/>
          <w:szCs w:val="24"/>
          <w:lang w:val="en-ZA"/>
        </w:rPr>
        <w:t>Date Submitted:-</w:t>
      </w:r>
      <w:r w:rsidRPr="009D5245">
        <w:rPr>
          <w:rFonts w:cs="Tunga"/>
          <w:szCs w:val="24"/>
          <w:lang w:val="en-ZA"/>
        </w:rPr>
        <w:t>……………/………………/20</w:t>
      </w:r>
      <w:r>
        <w:rPr>
          <w:rFonts w:cs="Tunga"/>
          <w:szCs w:val="24"/>
          <w:lang w:val="en-ZA"/>
        </w:rPr>
        <w:t>15</w:t>
      </w:r>
      <w:bookmarkStart w:id="0" w:name="_GoBack"/>
      <w:bookmarkEnd w:id="0"/>
    </w:p>
    <w:sectPr w:rsidR="00FD78A6" w:rsidSect="00F2065C">
      <w:headerReference w:type="default" r:id="rId7"/>
      <w:pgSz w:w="12240" w:h="15840"/>
      <w:pgMar w:top="1440" w:right="1800" w:bottom="720" w:left="180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8A6" w:rsidRDefault="00FD78A6" w:rsidP="0012321F">
      <w:r>
        <w:separator/>
      </w:r>
    </w:p>
  </w:endnote>
  <w:endnote w:type="continuationSeparator" w:id="0">
    <w:p w:rsidR="00FD78A6" w:rsidRDefault="00FD78A6" w:rsidP="00123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8A6" w:rsidRDefault="00FD78A6" w:rsidP="0012321F">
      <w:r>
        <w:separator/>
      </w:r>
    </w:p>
  </w:footnote>
  <w:footnote w:type="continuationSeparator" w:id="0">
    <w:p w:rsidR="00FD78A6" w:rsidRDefault="00FD78A6" w:rsidP="001232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8A6" w:rsidRDefault="00FD78A6">
    <w:pPr>
      <w:pStyle w:val="Header"/>
      <w:rPr>
        <w:rFonts w:ascii="Trebuchet MS" w:hAnsi="Trebuchet MS"/>
        <w:b/>
        <w:bCs/>
      </w:rPr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coat of arms" style="position:absolute;left:0;text-align:left;margin-left:194.7pt;margin-top:-5pt;width:39.6pt;height:49pt;z-index:251660288;visibility:visible">
          <v:imagedata r:id="rId1" o:title=""/>
          <w10:wrap type="topAndBottom"/>
        </v:shape>
      </w:pict>
    </w:r>
  </w:p>
  <w:p w:rsidR="00FD78A6" w:rsidRDefault="00FD78A6">
    <w:pPr>
      <w:pStyle w:val="Header"/>
      <w:rPr>
        <w:rFonts w:ascii="Trebuchet MS" w:hAnsi="Trebuchet MS"/>
        <w:b/>
        <w:bCs/>
      </w:rPr>
    </w:pPr>
  </w:p>
  <w:p w:rsidR="00FD78A6" w:rsidRDefault="00FD78A6">
    <w:pPr>
      <w:pStyle w:val="Header"/>
      <w:rPr>
        <w:rFonts w:ascii="Trebuchet MS" w:hAnsi="Trebuchet MS"/>
        <w:b/>
        <w:bCs/>
      </w:rPr>
    </w:pPr>
  </w:p>
  <w:p w:rsidR="00FD78A6" w:rsidRDefault="00FD78A6" w:rsidP="00A81B0B">
    <w:pPr>
      <w:pStyle w:val="Header"/>
      <w:jc w:val="center"/>
      <w:rPr>
        <w:rFonts w:ascii="Trebuchet MS" w:hAnsi="Trebuchet MS"/>
        <w:b/>
        <w:bCs/>
      </w:rPr>
    </w:pPr>
  </w:p>
  <w:p w:rsidR="00FD78A6" w:rsidRDefault="00FD78A6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FD78A6" w:rsidRDefault="00FD78A6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FD78A6" w:rsidRPr="0012321F" w:rsidRDefault="00FD78A6" w:rsidP="0012321F">
    <w:pPr>
      <w:pStyle w:val="Header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BD4080"/>
    <w:multiLevelType w:val="hybridMultilevel"/>
    <w:tmpl w:val="4922F1F4"/>
    <w:lvl w:ilvl="0" w:tplc="04090001">
      <w:start w:val="1"/>
      <w:numFmt w:val="bullet"/>
      <w:lvlText w:val=""/>
      <w:lvlJc w:val="left"/>
      <w:pPr>
        <w:ind w:left="13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">
    <w:nsid w:val="77CC21F0"/>
    <w:multiLevelType w:val="hybridMultilevel"/>
    <w:tmpl w:val="4552C420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84"/>
    <w:rsid w:val="0000608C"/>
    <w:rsid w:val="00020D35"/>
    <w:rsid w:val="00024D66"/>
    <w:rsid w:val="000270C4"/>
    <w:rsid w:val="00027257"/>
    <w:rsid w:val="00033112"/>
    <w:rsid w:val="00033FD6"/>
    <w:rsid w:val="000530B0"/>
    <w:rsid w:val="000724F5"/>
    <w:rsid w:val="00073630"/>
    <w:rsid w:val="00092BBD"/>
    <w:rsid w:val="00097DDA"/>
    <w:rsid w:val="000B4E34"/>
    <w:rsid w:val="0012321F"/>
    <w:rsid w:val="00135861"/>
    <w:rsid w:val="00140786"/>
    <w:rsid w:val="00142115"/>
    <w:rsid w:val="001476BB"/>
    <w:rsid w:val="001675A5"/>
    <w:rsid w:val="001B1FEB"/>
    <w:rsid w:val="001F4B6F"/>
    <w:rsid w:val="002312A6"/>
    <w:rsid w:val="00245861"/>
    <w:rsid w:val="00250E00"/>
    <w:rsid w:val="002555DE"/>
    <w:rsid w:val="00271A0D"/>
    <w:rsid w:val="002803CB"/>
    <w:rsid w:val="00294F5D"/>
    <w:rsid w:val="002A6E90"/>
    <w:rsid w:val="002C4587"/>
    <w:rsid w:val="002F32B6"/>
    <w:rsid w:val="0031331C"/>
    <w:rsid w:val="00342AA4"/>
    <w:rsid w:val="00346D93"/>
    <w:rsid w:val="003653EA"/>
    <w:rsid w:val="0037542B"/>
    <w:rsid w:val="00393ADF"/>
    <w:rsid w:val="00396BEC"/>
    <w:rsid w:val="003B7A03"/>
    <w:rsid w:val="003D3AC3"/>
    <w:rsid w:val="003F1003"/>
    <w:rsid w:val="003F5331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81E65"/>
    <w:rsid w:val="004859C3"/>
    <w:rsid w:val="004A1D94"/>
    <w:rsid w:val="004D7CCF"/>
    <w:rsid w:val="004F0568"/>
    <w:rsid w:val="004F4DFF"/>
    <w:rsid w:val="005045BB"/>
    <w:rsid w:val="00511FD5"/>
    <w:rsid w:val="00552B58"/>
    <w:rsid w:val="005625C5"/>
    <w:rsid w:val="005630FC"/>
    <w:rsid w:val="005700EF"/>
    <w:rsid w:val="005739B1"/>
    <w:rsid w:val="005745B0"/>
    <w:rsid w:val="00592FE8"/>
    <w:rsid w:val="00596769"/>
    <w:rsid w:val="005A2F75"/>
    <w:rsid w:val="005C10C6"/>
    <w:rsid w:val="005D7A8A"/>
    <w:rsid w:val="005E2C1B"/>
    <w:rsid w:val="005F42C7"/>
    <w:rsid w:val="00625D2C"/>
    <w:rsid w:val="00631C90"/>
    <w:rsid w:val="00637660"/>
    <w:rsid w:val="00650D3B"/>
    <w:rsid w:val="006779F0"/>
    <w:rsid w:val="006813C3"/>
    <w:rsid w:val="00683EA0"/>
    <w:rsid w:val="006B42AF"/>
    <w:rsid w:val="006B7DC1"/>
    <w:rsid w:val="006E0049"/>
    <w:rsid w:val="007009AE"/>
    <w:rsid w:val="00724221"/>
    <w:rsid w:val="007248BE"/>
    <w:rsid w:val="00740702"/>
    <w:rsid w:val="00763576"/>
    <w:rsid w:val="0077048C"/>
    <w:rsid w:val="0077306F"/>
    <w:rsid w:val="00784604"/>
    <w:rsid w:val="00785489"/>
    <w:rsid w:val="007A0F40"/>
    <w:rsid w:val="007B3608"/>
    <w:rsid w:val="007B73E5"/>
    <w:rsid w:val="007D2AA0"/>
    <w:rsid w:val="007D5D3D"/>
    <w:rsid w:val="007F708D"/>
    <w:rsid w:val="00823695"/>
    <w:rsid w:val="0083753D"/>
    <w:rsid w:val="00853CA4"/>
    <w:rsid w:val="00871139"/>
    <w:rsid w:val="00872C97"/>
    <w:rsid w:val="008838EC"/>
    <w:rsid w:val="008A0458"/>
    <w:rsid w:val="008B33A5"/>
    <w:rsid w:val="008B51C1"/>
    <w:rsid w:val="008E3BE8"/>
    <w:rsid w:val="008E3F26"/>
    <w:rsid w:val="008F2354"/>
    <w:rsid w:val="00902564"/>
    <w:rsid w:val="00904C28"/>
    <w:rsid w:val="00926281"/>
    <w:rsid w:val="00955899"/>
    <w:rsid w:val="00985A6F"/>
    <w:rsid w:val="009A2D48"/>
    <w:rsid w:val="009C2715"/>
    <w:rsid w:val="009C7542"/>
    <w:rsid w:val="009D5245"/>
    <w:rsid w:val="009E7F84"/>
    <w:rsid w:val="009F5FF1"/>
    <w:rsid w:val="00A040D1"/>
    <w:rsid w:val="00A12417"/>
    <w:rsid w:val="00A3448F"/>
    <w:rsid w:val="00A46751"/>
    <w:rsid w:val="00A55C7D"/>
    <w:rsid w:val="00A63FAF"/>
    <w:rsid w:val="00A744FF"/>
    <w:rsid w:val="00A81B0B"/>
    <w:rsid w:val="00A90EBC"/>
    <w:rsid w:val="00AA7A0B"/>
    <w:rsid w:val="00AB3942"/>
    <w:rsid w:val="00AC54CF"/>
    <w:rsid w:val="00AE7899"/>
    <w:rsid w:val="00AF2149"/>
    <w:rsid w:val="00AF2EBD"/>
    <w:rsid w:val="00AF62A0"/>
    <w:rsid w:val="00AF7A09"/>
    <w:rsid w:val="00B10F8B"/>
    <w:rsid w:val="00B23333"/>
    <w:rsid w:val="00B25C14"/>
    <w:rsid w:val="00B27BBA"/>
    <w:rsid w:val="00B81428"/>
    <w:rsid w:val="00B91B5B"/>
    <w:rsid w:val="00B95B9A"/>
    <w:rsid w:val="00BC1876"/>
    <w:rsid w:val="00BD43C4"/>
    <w:rsid w:val="00BD55E4"/>
    <w:rsid w:val="00BD58C0"/>
    <w:rsid w:val="00C021A3"/>
    <w:rsid w:val="00C04964"/>
    <w:rsid w:val="00C05847"/>
    <w:rsid w:val="00C05A5F"/>
    <w:rsid w:val="00C06BA2"/>
    <w:rsid w:val="00C1782E"/>
    <w:rsid w:val="00C21927"/>
    <w:rsid w:val="00C30EC1"/>
    <w:rsid w:val="00C360D8"/>
    <w:rsid w:val="00C77CC9"/>
    <w:rsid w:val="00C8125C"/>
    <w:rsid w:val="00CB7801"/>
    <w:rsid w:val="00CD28D9"/>
    <w:rsid w:val="00CD3CB5"/>
    <w:rsid w:val="00D24D52"/>
    <w:rsid w:val="00D40B57"/>
    <w:rsid w:val="00D43912"/>
    <w:rsid w:val="00D469AD"/>
    <w:rsid w:val="00D67958"/>
    <w:rsid w:val="00D71BFC"/>
    <w:rsid w:val="00D755A4"/>
    <w:rsid w:val="00DB54AC"/>
    <w:rsid w:val="00DD5354"/>
    <w:rsid w:val="00E47681"/>
    <w:rsid w:val="00E677C4"/>
    <w:rsid w:val="00E91DFA"/>
    <w:rsid w:val="00EE0A89"/>
    <w:rsid w:val="00F2065C"/>
    <w:rsid w:val="00F51A35"/>
    <w:rsid w:val="00F63503"/>
    <w:rsid w:val="00FD78A6"/>
    <w:rsid w:val="00FF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color w:val="000000"/>
      <w:sz w:val="24"/>
      <w:szCs w:val="2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7801"/>
    <w:pPr>
      <w:jc w:val="center"/>
    </w:pPr>
    <w:rPr>
      <w:rFonts w:ascii="Arial" w:hAnsi="Arial"/>
      <w:b/>
      <w:bCs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uiPriority w:val="99"/>
    <w:locked/>
    <w:rsid w:val="00CB7801"/>
    <w:rPr>
      <w:rFonts w:ascii="Arial" w:hAnsi="Arial" w:cs="Times New Roman"/>
      <w:b/>
      <w:bCs/>
      <w:sz w:val="24"/>
      <w:szCs w:val="24"/>
    </w:rPr>
  </w:style>
  <w:style w:type="paragraph" w:customStyle="1" w:styleId="Style1">
    <w:name w:val="Style1"/>
    <w:basedOn w:val="Normal"/>
    <w:autoRedefine/>
    <w:uiPriority w:val="99"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uiPriority w:val="99"/>
    <w:rsid w:val="00142115"/>
    <w:rPr>
      <w:rFonts w:cs="Times New Roman"/>
    </w:rPr>
  </w:style>
  <w:style w:type="character" w:customStyle="1" w:styleId="st1">
    <w:name w:val="st1"/>
    <w:basedOn w:val="DefaultParagraphFont"/>
    <w:uiPriority w:val="99"/>
    <w:rsid w:val="00B814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53EA"/>
    <w:rPr>
      <w:rFonts w:ascii="Tahoma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803CB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2321F"/>
    <w:rPr>
      <w:rFonts w:ascii="Arial Narrow" w:hAnsi="Arial Narrow" w:cs="Times New Roman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99"/>
    <w:qFormat/>
    <w:rsid w:val="0077306F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B25C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25C14"/>
    <w:rPr>
      <w:rFonts w:ascii="Arial Narrow" w:hAnsi="Arial Narrow" w:cs="Times New Roman"/>
      <w:snapToGrid w:val="0"/>
      <w:color w:val="000000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TEMPLATE.dot</Template>
  <TotalTime>1</TotalTime>
  <Pages>3</Pages>
  <Words>538</Words>
  <Characters>3067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vuyiswa.mdemka</dc:creator>
  <cp:keywords/>
  <dc:description/>
  <cp:lastModifiedBy>schuene</cp:lastModifiedBy>
  <cp:revision>2</cp:revision>
  <cp:lastPrinted>2015-07-07T16:33:00Z</cp:lastPrinted>
  <dcterms:created xsi:type="dcterms:W3CDTF">2015-08-11T06:04:00Z</dcterms:created>
  <dcterms:modified xsi:type="dcterms:W3CDTF">2015-08-11T06:04:00Z</dcterms:modified>
</cp:coreProperties>
</file>