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65E9"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0097527F"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4844841D" w14:textId="77777777" w:rsidR="00AD00CE" w:rsidRPr="00D119A2" w:rsidRDefault="00647EF2" w:rsidP="001B0917">
      <w:pPr>
        <w:tabs>
          <w:tab w:val="left" w:pos="432"/>
          <w:tab w:val="left" w:pos="864"/>
        </w:tabs>
        <w:spacing w:line="276" w:lineRule="auto"/>
        <w:jc w:val="center"/>
        <w:rPr>
          <w:rFonts w:ascii="Arial" w:hAnsi="Arial" w:cs="Arial"/>
          <w:b/>
          <w:sz w:val="22"/>
          <w:szCs w:val="22"/>
        </w:rPr>
      </w:pPr>
      <w:r w:rsidRPr="00D119A2">
        <w:rPr>
          <w:rFonts w:ascii="Arial" w:hAnsi="Arial" w:cs="Arial"/>
          <w:b/>
          <w:sz w:val="22"/>
          <w:szCs w:val="22"/>
        </w:rPr>
        <w:t>QUESTION NUMBER</w:t>
      </w:r>
      <w:r w:rsidR="001B0917" w:rsidRPr="00D119A2">
        <w:rPr>
          <w:rFonts w:ascii="Arial" w:hAnsi="Arial" w:cs="Arial"/>
          <w:b/>
          <w:sz w:val="22"/>
          <w:szCs w:val="22"/>
        </w:rPr>
        <w:t>:</w:t>
      </w:r>
      <w:r w:rsidRPr="00D119A2">
        <w:rPr>
          <w:rFonts w:ascii="Arial" w:hAnsi="Arial" w:cs="Arial"/>
          <w:b/>
          <w:sz w:val="22"/>
          <w:szCs w:val="22"/>
        </w:rPr>
        <w:t xml:space="preserve"> </w:t>
      </w:r>
      <w:r w:rsidR="00D119A2" w:rsidRPr="00D119A2">
        <w:rPr>
          <w:rFonts w:ascii="Arial" w:hAnsi="Arial" w:cs="Arial"/>
          <w:b/>
          <w:sz w:val="22"/>
          <w:szCs w:val="22"/>
        </w:rPr>
        <w:t>2675</w:t>
      </w:r>
      <w:r w:rsidR="00AD00CE" w:rsidRPr="00D119A2">
        <w:rPr>
          <w:rFonts w:ascii="Arial" w:hAnsi="Arial" w:cs="Arial"/>
          <w:b/>
          <w:sz w:val="22"/>
          <w:szCs w:val="22"/>
        </w:rPr>
        <w:t xml:space="preserve"> [NW</w:t>
      </w:r>
      <w:r w:rsidR="00D119A2" w:rsidRPr="00D119A2">
        <w:rPr>
          <w:rFonts w:ascii="Arial" w:hAnsi="Arial" w:cs="Arial"/>
          <w:b/>
          <w:sz w:val="22"/>
          <w:szCs w:val="22"/>
        </w:rPr>
        <w:t>3159</w:t>
      </w:r>
      <w:r w:rsidR="00AD00CE" w:rsidRPr="00D119A2">
        <w:rPr>
          <w:rFonts w:ascii="Arial" w:hAnsi="Arial" w:cs="Arial"/>
          <w:b/>
          <w:sz w:val="22"/>
          <w:szCs w:val="22"/>
        </w:rPr>
        <w:t>E]</w:t>
      </w:r>
    </w:p>
    <w:p w14:paraId="078D2C4C" w14:textId="77777777" w:rsidR="00C312EA" w:rsidRPr="00D119A2" w:rsidRDefault="00BD31C6" w:rsidP="001B0917">
      <w:pPr>
        <w:tabs>
          <w:tab w:val="left" w:pos="432"/>
          <w:tab w:val="left" w:pos="864"/>
        </w:tabs>
        <w:spacing w:line="276" w:lineRule="auto"/>
        <w:jc w:val="center"/>
        <w:rPr>
          <w:rFonts w:ascii="Arial" w:hAnsi="Arial" w:cs="Arial"/>
          <w:b/>
          <w:sz w:val="22"/>
          <w:szCs w:val="22"/>
        </w:rPr>
      </w:pPr>
      <w:r w:rsidRPr="00D119A2">
        <w:rPr>
          <w:rFonts w:ascii="Arial" w:hAnsi="Arial" w:cs="Arial"/>
          <w:b/>
          <w:sz w:val="22"/>
          <w:szCs w:val="22"/>
        </w:rPr>
        <w:t xml:space="preserve">DATE OF PUBLICATION: </w:t>
      </w:r>
      <w:r w:rsidR="00D119A2" w:rsidRPr="00D119A2">
        <w:rPr>
          <w:rFonts w:ascii="Arial" w:hAnsi="Arial" w:cs="Arial"/>
          <w:b/>
          <w:sz w:val="22"/>
          <w:szCs w:val="22"/>
        </w:rPr>
        <w:t>25 NOVEMBER 2016</w:t>
      </w:r>
    </w:p>
    <w:p w14:paraId="4DE923CB" w14:textId="77777777" w:rsidR="00D119A2" w:rsidRPr="00D119A2" w:rsidRDefault="00D119A2" w:rsidP="00D119A2">
      <w:pPr>
        <w:spacing w:before="100" w:beforeAutospacing="1" w:after="100" w:afterAutospacing="1" w:line="276" w:lineRule="auto"/>
        <w:ind w:left="851" w:hanging="851"/>
        <w:jc w:val="both"/>
        <w:rPr>
          <w:rFonts w:ascii="Arial" w:eastAsia="Calibri" w:hAnsi="Arial" w:cs="Arial"/>
          <w:b/>
          <w:noProof/>
          <w:sz w:val="22"/>
          <w:szCs w:val="22"/>
          <w:lang w:val="af-ZA"/>
        </w:rPr>
      </w:pPr>
      <w:r w:rsidRPr="00D119A2">
        <w:rPr>
          <w:rFonts w:ascii="Arial" w:eastAsia="Calibri" w:hAnsi="Arial" w:cs="Arial"/>
          <w:b/>
          <w:noProof/>
          <w:sz w:val="22"/>
          <w:szCs w:val="22"/>
          <w:lang w:val="af-ZA"/>
        </w:rPr>
        <w:t>2675.</w:t>
      </w:r>
      <w:r w:rsidRPr="00D119A2">
        <w:rPr>
          <w:rFonts w:ascii="Arial" w:eastAsia="Calibri" w:hAnsi="Arial" w:cs="Arial"/>
          <w:b/>
          <w:noProof/>
          <w:sz w:val="22"/>
          <w:szCs w:val="22"/>
          <w:lang w:val="af-ZA"/>
        </w:rPr>
        <w:tab/>
        <w:t xml:space="preserve">Mr R W T Chance (DA) </w:t>
      </w:r>
      <w:r w:rsidRPr="00D119A2">
        <w:rPr>
          <w:rFonts w:ascii="Arial" w:eastAsia="Calibri" w:hAnsi="Arial" w:cs="Arial"/>
          <w:b/>
          <w:sz w:val="22"/>
          <w:szCs w:val="22"/>
          <w:lang w:val="en-GB"/>
        </w:rPr>
        <w:t>to</w:t>
      </w:r>
      <w:r w:rsidRPr="00D119A2">
        <w:rPr>
          <w:rFonts w:ascii="Arial" w:eastAsia="Calibri" w:hAnsi="Arial" w:cs="Arial"/>
          <w:b/>
          <w:noProof/>
          <w:sz w:val="22"/>
          <w:szCs w:val="22"/>
          <w:lang w:val="af-ZA"/>
        </w:rPr>
        <w:t xml:space="preserve"> ask the Minister of Finance:</w:t>
      </w:r>
    </w:p>
    <w:p w14:paraId="040F07D4" w14:textId="77777777" w:rsidR="00D119A2" w:rsidRDefault="00D119A2" w:rsidP="00D119A2">
      <w:pPr>
        <w:spacing w:before="100" w:beforeAutospacing="1" w:after="100" w:afterAutospacing="1" w:line="276" w:lineRule="auto"/>
        <w:ind w:left="851"/>
        <w:jc w:val="both"/>
        <w:rPr>
          <w:rFonts w:ascii="Arial" w:eastAsia="Calibri" w:hAnsi="Arial" w:cs="Arial"/>
          <w:noProof/>
          <w:sz w:val="22"/>
          <w:szCs w:val="22"/>
          <w:lang w:val="af-ZA"/>
        </w:rPr>
      </w:pPr>
      <w:r w:rsidRPr="00D119A2">
        <w:rPr>
          <w:rFonts w:ascii="Arial" w:eastAsia="Calibri" w:hAnsi="Arial" w:cs="Arial"/>
          <w:sz w:val="22"/>
          <w:szCs w:val="22"/>
          <w:lang w:val="en-ZA"/>
        </w:rPr>
        <w:t xml:space="preserve">What was the contribution in (a) </w:t>
      </w:r>
      <w:proofErr w:type="spellStart"/>
      <w:r w:rsidRPr="00D119A2">
        <w:rPr>
          <w:rFonts w:ascii="Arial" w:eastAsia="Calibri" w:hAnsi="Arial" w:cs="Arial"/>
          <w:sz w:val="22"/>
          <w:szCs w:val="22"/>
          <w:lang w:val="en-ZA"/>
        </w:rPr>
        <w:t>rands</w:t>
      </w:r>
      <w:proofErr w:type="spellEnd"/>
      <w:r w:rsidRPr="00D119A2">
        <w:rPr>
          <w:rFonts w:ascii="Arial" w:eastAsia="Calibri" w:hAnsi="Arial" w:cs="Arial"/>
          <w:sz w:val="22"/>
          <w:szCs w:val="22"/>
          <w:lang w:val="en-ZA"/>
        </w:rPr>
        <w:t xml:space="preserve"> and (b) percentages of the (i) private, (ii) public, (iii) </w:t>
      </w:r>
      <w:proofErr w:type="spellStart"/>
      <w:r w:rsidRPr="00D119A2">
        <w:rPr>
          <w:rFonts w:ascii="Arial" w:eastAsia="Calibri" w:hAnsi="Arial" w:cs="Arial"/>
          <w:sz w:val="22"/>
          <w:szCs w:val="22"/>
          <w:lang w:val="en-ZA"/>
        </w:rPr>
        <w:t>nonprofit</w:t>
      </w:r>
      <w:proofErr w:type="spellEnd"/>
      <w:r w:rsidRPr="00D119A2">
        <w:rPr>
          <w:rFonts w:ascii="Arial" w:eastAsia="Calibri" w:hAnsi="Arial" w:cs="Arial"/>
          <w:sz w:val="22"/>
          <w:szCs w:val="22"/>
          <w:lang w:val="en-ZA"/>
        </w:rPr>
        <w:t xml:space="preserve"> and (iv) co-operative business sectors to the Gross Domestic Product in the 2015-16 financial year?</w:t>
      </w:r>
      <w:r w:rsidRPr="00D119A2">
        <w:rPr>
          <w:rFonts w:ascii="Arial" w:eastAsia="Calibri" w:hAnsi="Arial" w:cs="Arial"/>
          <w:noProof/>
          <w:sz w:val="22"/>
          <w:szCs w:val="22"/>
          <w:lang w:val="af-ZA"/>
        </w:rPr>
        <w:tab/>
      </w:r>
      <w:r w:rsidRPr="00D119A2">
        <w:rPr>
          <w:rFonts w:ascii="Arial" w:eastAsia="Calibri" w:hAnsi="Arial" w:cs="Arial"/>
          <w:noProof/>
          <w:sz w:val="22"/>
          <w:szCs w:val="22"/>
          <w:lang w:val="af-ZA"/>
        </w:rPr>
        <w:tab/>
      </w:r>
      <w:r w:rsidRPr="00D119A2">
        <w:rPr>
          <w:rFonts w:ascii="Arial" w:eastAsia="Calibri" w:hAnsi="Arial" w:cs="Arial"/>
          <w:noProof/>
          <w:sz w:val="22"/>
          <w:szCs w:val="22"/>
          <w:lang w:val="af-ZA"/>
        </w:rPr>
        <w:tab/>
      </w:r>
      <w:r w:rsidRPr="00D119A2">
        <w:rPr>
          <w:rFonts w:ascii="Arial" w:eastAsia="Calibri" w:hAnsi="Arial" w:cs="Arial"/>
          <w:noProof/>
          <w:sz w:val="22"/>
          <w:szCs w:val="22"/>
          <w:lang w:val="af-ZA"/>
        </w:rPr>
        <w:tab/>
      </w:r>
      <w:r w:rsidRPr="00D119A2">
        <w:rPr>
          <w:rFonts w:ascii="Arial" w:eastAsia="Calibri" w:hAnsi="Arial" w:cs="Arial"/>
          <w:noProof/>
          <w:sz w:val="22"/>
          <w:szCs w:val="22"/>
          <w:lang w:val="af-ZA"/>
        </w:rPr>
        <w:tab/>
      </w:r>
      <w:r w:rsidRPr="00D119A2">
        <w:rPr>
          <w:rFonts w:ascii="Arial" w:eastAsia="Calibri" w:hAnsi="Arial" w:cs="Arial"/>
          <w:noProof/>
          <w:sz w:val="22"/>
          <w:szCs w:val="22"/>
          <w:lang w:val="af-ZA"/>
        </w:rPr>
        <w:tab/>
      </w:r>
    </w:p>
    <w:p w14:paraId="4FAC04C4" w14:textId="77777777" w:rsidR="00D119A2" w:rsidRPr="00D119A2" w:rsidRDefault="00D119A2" w:rsidP="00D119A2">
      <w:pPr>
        <w:spacing w:before="100" w:beforeAutospacing="1" w:after="100" w:afterAutospacing="1" w:line="276" w:lineRule="auto"/>
        <w:ind w:left="851"/>
        <w:jc w:val="both"/>
        <w:rPr>
          <w:rFonts w:ascii="Arial" w:eastAsia="Calibri" w:hAnsi="Arial" w:cs="Arial"/>
          <w:sz w:val="22"/>
          <w:szCs w:val="22"/>
          <w:lang w:val="en-ZA"/>
        </w:rPr>
      </w:pP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D119A2">
        <w:rPr>
          <w:rFonts w:ascii="Arial" w:eastAsia="Calibri" w:hAnsi="Arial" w:cs="Arial"/>
          <w:noProof/>
          <w:sz w:val="22"/>
          <w:szCs w:val="22"/>
          <w:lang w:val="af-ZA"/>
        </w:rPr>
        <w:tab/>
      </w:r>
      <w:r w:rsidRPr="00D119A2">
        <w:rPr>
          <w:rFonts w:ascii="Arial" w:eastAsia="Calibri" w:hAnsi="Arial" w:cs="Arial"/>
          <w:sz w:val="22"/>
          <w:szCs w:val="22"/>
          <w:lang w:val="en-ZA"/>
        </w:rPr>
        <w:t>NW3159E</w:t>
      </w:r>
    </w:p>
    <w:p w14:paraId="153FA840" w14:textId="77777777"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462658F2" w14:textId="77777777" w:rsidR="005E37E2" w:rsidRDefault="005E37E2" w:rsidP="001B0917">
      <w:pPr>
        <w:pStyle w:val="BodyTextIndent"/>
        <w:spacing w:line="276" w:lineRule="auto"/>
        <w:ind w:left="0" w:firstLine="0"/>
        <w:rPr>
          <w:rFonts w:ascii="Arial" w:hAnsi="Arial" w:cs="Arial"/>
          <w:b/>
          <w:sz w:val="22"/>
          <w:szCs w:val="22"/>
        </w:rPr>
      </w:pPr>
    </w:p>
    <w:p w14:paraId="482F1082" w14:textId="77777777" w:rsidR="008A5CB7" w:rsidRPr="008A5CB7" w:rsidRDefault="008A5CB7" w:rsidP="008A5CB7">
      <w:pPr>
        <w:pStyle w:val="BodyTextIndent"/>
        <w:spacing w:line="276" w:lineRule="auto"/>
        <w:ind w:left="0" w:firstLine="0"/>
        <w:jc w:val="both"/>
        <w:rPr>
          <w:rFonts w:ascii="Arial" w:hAnsi="Arial" w:cs="Arial"/>
          <w:bCs/>
          <w:sz w:val="22"/>
          <w:szCs w:val="22"/>
        </w:rPr>
      </w:pPr>
      <w:r w:rsidRPr="008A5CB7">
        <w:rPr>
          <w:rFonts w:ascii="Arial" w:hAnsi="Arial" w:cs="Arial"/>
          <w:bCs/>
          <w:sz w:val="22"/>
          <w:szCs w:val="22"/>
        </w:rPr>
        <w:t xml:space="preserve">The sectoral contributions to gross value added are presented in Table 1, over the period requested. As official national accounts data are not published by </w:t>
      </w:r>
      <w:proofErr w:type="spellStart"/>
      <w:r w:rsidRPr="008A5CB7">
        <w:rPr>
          <w:rFonts w:ascii="Arial" w:hAnsi="Arial" w:cs="Arial"/>
          <w:bCs/>
          <w:sz w:val="22"/>
          <w:szCs w:val="22"/>
        </w:rPr>
        <w:t>organisational</w:t>
      </w:r>
      <w:proofErr w:type="spellEnd"/>
      <w:r w:rsidRPr="008A5CB7">
        <w:rPr>
          <w:rFonts w:ascii="Arial" w:hAnsi="Arial" w:cs="Arial"/>
          <w:bCs/>
          <w:sz w:val="22"/>
          <w:szCs w:val="22"/>
        </w:rPr>
        <w:t xml:space="preserve"> type, it is not possible to provide the requested breakdown according to the above categories using publicly available data. Private business enterprises dominate economic activity in most sectors, except in the electricity, gas, and water sector, as well as general government services, which are largely concentrated by the public sector. There is also sizeable participation of the public sector in the transport services sector. Nonprofit firms are largely found in the community, social, and personal services sector. Based on estimates from the Annual Financial Statistics Survey 2015 (Statistics South Africa, 2016), co-operative firms contributed little over R10 billion (or 0.12%) to total turnover in 2015, most of which is generated in the trade services sector. </w:t>
      </w:r>
    </w:p>
    <w:p w14:paraId="509927D6" w14:textId="77777777" w:rsidR="008A5CB7" w:rsidRPr="008A5CB7" w:rsidRDefault="008A5CB7" w:rsidP="008A5CB7">
      <w:pPr>
        <w:pStyle w:val="BodyTextIndent"/>
        <w:spacing w:line="276" w:lineRule="auto"/>
        <w:ind w:left="0" w:firstLine="0"/>
        <w:jc w:val="both"/>
        <w:rPr>
          <w:rFonts w:ascii="Arial" w:hAnsi="Arial" w:cs="Arial"/>
          <w:bCs/>
          <w:sz w:val="22"/>
          <w:szCs w:val="22"/>
        </w:rPr>
      </w:pPr>
    </w:p>
    <w:p w14:paraId="1E9A2A11" w14:textId="77777777" w:rsidR="008A5CB7" w:rsidRPr="008A5CB7" w:rsidRDefault="00F3493E" w:rsidP="008A5CB7">
      <w:pPr>
        <w:pStyle w:val="BodyTextIndent"/>
        <w:spacing w:line="276" w:lineRule="auto"/>
        <w:ind w:left="0" w:firstLine="0"/>
        <w:jc w:val="both"/>
        <w:rPr>
          <w:rFonts w:ascii="Arial" w:hAnsi="Arial" w:cs="Arial"/>
          <w:bCs/>
          <w:sz w:val="22"/>
          <w:szCs w:val="22"/>
        </w:rPr>
      </w:pPr>
      <w:r>
        <w:rPr>
          <w:rFonts w:ascii="Arial" w:hAnsi="Arial" w:cs="Arial"/>
          <w:bCs/>
          <w:sz w:val="22"/>
          <w:szCs w:val="22"/>
        </w:rPr>
        <w:t>M</w:t>
      </w:r>
      <w:r w:rsidR="008A5CB7" w:rsidRPr="008A5CB7">
        <w:rPr>
          <w:rFonts w:ascii="Arial" w:hAnsi="Arial" w:cs="Arial"/>
          <w:bCs/>
          <w:sz w:val="22"/>
          <w:szCs w:val="22"/>
        </w:rPr>
        <w:t xml:space="preserve">ore information </w:t>
      </w:r>
      <w:r>
        <w:rPr>
          <w:rFonts w:ascii="Arial" w:hAnsi="Arial" w:cs="Arial"/>
          <w:bCs/>
          <w:sz w:val="22"/>
          <w:szCs w:val="22"/>
        </w:rPr>
        <w:t xml:space="preserve">on sector level contributions can be obtained from </w:t>
      </w:r>
      <w:r w:rsidR="008A5CB7" w:rsidRPr="008A5CB7">
        <w:rPr>
          <w:rFonts w:ascii="Arial" w:hAnsi="Arial" w:cs="Arial"/>
          <w:bCs/>
          <w:sz w:val="22"/>
          <w:szCs w:val="22"/>
        </w:rPr>
        <w:t>Statistics South Africa.</w:t>
      </w:r>
    </w:p>
    <w:p w14:paraId="1B4C822E" w14:textId="77777777" w:rsidR="008A5CB7" w:rsidRDefault="008A5CB7" w:rsidP="008A5CB7">
      <w:pPr>
        <w:pStyle w:val="BodyTextIndent"/>
        <w:spacing w:line="276" w:lineRule="auto"/>
        <w:ind w:left="0" w:firstLine="0"/>
        <w:rPr>
          <w:rFonts w:ascii="Arial" w:hAnsi="Arial" w:cs="Arial"/>
          <w:b/>
          <w:bCs/>
          <w:sz w:val="22"/>
          <w:szCs w:val="22"/>
        </w:rPr>
      </w:pPr>
    </w:p>
    <w:p w14:paraId="612AD46F" w14:textId="77777777" w:rsidR="008A5CB7" w:rsidRDefault="008A5CB7" w:rsidP="008A5CB7">
      <w:pPr>
        <w:pStyle w:val="Caption"/>
        <w:keepNext/>
        <w:rPr>
          <w:rFonts w:ascii="Calibri" w:hAnsi="Calibri" w:cs="Calibri"/>
          <w:color w:val="auto"/>
        </w:rPr>
      </w:pPr>
      <w:r>
        <w:rPr>
          <w:rFonts w:ascii="Calibri" w:hAnsi="Calibri" w:cs="Calibri"/>
          <w:color w:val="auto"/>
        </w:rPr>
        <w:t>Table 1: Sectoral composition of total gross value added, 2015-2016</w:t>
      </w:r>
    </w:p>
    <w:tbl>
      <w:tblPr>
        <w:tblW w:w="9340" w:type="dxa"/>
        <w:tblInd w:w="93" w:type="dxa"/>
        <w:tblCellMar>
          <w:left w:w="0" w:type="dxa"/>
          <w:right w:w="0" w:type="dxa"/>
        </w:tblCellMar>
        <w:tblLook w:val="04A0" w:firstRow="1" w:lastRow="0" w:firstColumn="1" w:lastColumn="0" w:noHBand="0" w:noVBand="1"/>
      </w:tblPr>
      <w:tblGrid>
        <w:gridCol w:w="3740"/>
        <w:gridCol w:w="2464"/>
        <w:gridCol w:w="3136"/>
      </w:tblGrid>
      <w:tr w:rsidR="008A5CB7" w14:paraId="2FB3E759" w14:textId="77777777" w:rsidTr="008A5CB7">
        <w:trPr>
          <w:trHeight w:val="216"/>
        </w:trPr>
        <w:tc>
          <w:tcPr>
            <w:tcW w:w="3740" w:type="dxa"/>
            <w:tcBorders>
              <w:top w:val="single" w:sz="8" w:space="0" w:color="auto"/>
              <w:left w:val="single" w:sz="8" w:space="0" w:color="auto"/>
              <w:bottom w:val="single" w:sz="8" w:space="0" w:color="auto"/>
              <w:right w:val="single" w:sz="8" w:space="0" w:color="auto"/>
            </w:tcBorders>
            <w:shd w:val="clear" w:color="auto" w:fill="800000"/>
            <w:noWrap/>
            <w:tcMar>
              <w:top w:w="0" w:type="dxa"/>
              <w:left w:w="108" w:type="dxa"/>
              <w:bottom w:w="0" w:type="dxa"/>
              <w:right w:w="108" w:type="dxa"/>
            </w:tcMar>
            <w:vAlign w:val="center"/>
            <w:hideMark/>
          </w:tcPr>
          <w:p w14:paraId="4324893B" w14:textId="77777777" w:rsidR="008A5CB7" w:rsidRDefault="008A5CB7">
            <w:pPr>
              <w:rPr>
                <w:rFonts w:ascii="Arial" w:eastAsiaTheme="minorHAnsi" w:hAnsi="Arial" w:cs="Arial"/>
                <w:b/>
                <w:bCs/>
                <w:color w:val="FFFFFF"/>
                <w:sz w:val="18"/>
                <w:szCs w:val="18"/>
              </w:rPr>
            </w:pPr>
            <w:r>
              <w:rPr>
                <w:rFonts w:ascii="Arial" w:hAnsi="Arial" w:cs="Arial"/>
                <w:b/>
                <w:bCs/>
                <w:color w:val="FFFFFF"/>
                <w:sz w:val="18"/>
                <w:szCs w:val="18"/>
              </w:rPr>
              <w:t>Industry</w:t>
            </w:r>
          </w:p>
        </w:tc>
        <w:tc>
          <w:tcPr>
            <w:tcW w:w="2464"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14:paraId="6BB16D47" w14:textId="77777777" w:rsidR="008A5CB7" w:rsidRDefault="008A5CB7">
            <w:pPr>
              <w:rPr>
                <w:rFonts w:ascii="Arial" w:eastAsiaTheme="minorHAnsi" w:hAnsi="Arial" w:cs="Arial"/>
                <w:b/>
                <w:bCs/>
                <w:color w:val="FFFFFF"/>
                <w:sz w:val="18"/>
                <w:szCs w:val="18"/>
              </w:rPr>
            </w:pPr>
            <w:r>
              <w:rPr>
                <w:rFonts w:ascii="Arial" w:hAnsi="Arial" w:cs="Arial"/>
                <w:b/>
                <w:bCs/>
                <w:color w:val="FFFFFF"/>
                <w:sz w:val="18"/>
                <w:szCs w:val="18"/>
              </w:rPr>
              <w:t xml:space="preserve">Gross value added </w:t>
            </w:r>
          </w:p>
          <w:p w14:paraId="10BA3CA0" w14:textId="77777777" w:rsidR="008A5CB7" w:rsidRDefault="008A5CB7">
            <w:pPr>
              <w:rPr>
                <w:rFonts w:ascii="Arial" w:eastAsiaTheme="minorHAnsi" w:hAnsi="Arial" w:cs="Arial"/>
                <w:b/>
                <w:bCs/>
                <w:color w:val="FFFFFF"/>
                <w:sz w:val="18"/>
                <w:szCs w:val="18"/>
              </w:rPr>
            </w:pPr>
            <w:r>
              <w:rPr>
                <w:rFonts w:ascii="Arial" w:hAnsi="Arial" w:cs="Arial"/>
                <w:b/>
                <w:bCs/>
                <w:color w:val="FFFFFF"/>
                <w:sz w:val="18"/>
                <w:szCs w:val="18"/>
              </w:rPr>
              <w:t>(R million, current prices, 2015-16</w:t>
            </w:r>
            <w:r>
              <w:rPr>
                <w:rFonts w:ascii="Arial" w:hAnsi="Arial" w:cs="Arial"/>
                <w:b/>
                <w:bCs/>
                <w:color w:val="FFFFFF"/>
                <w:sz w:val="18"/>
                <w:szCs w:val="18"/>
                <w:vertAlign w:val="superscript"/>
              </w:rPr>
              <w:t>1</w:t>
            </w:r>
            <w:r>
              <w:rPr>
                <w:rFonts w:ascii="Arial" w:hAnsi="Arial" w:cs="Arial"/>
                <w:b/>
                <w:bCs/>
                <w:color w:val="FFFFFF"/>
                <w:sz w:val="18"/>
                <w:szCs w:val="18"/>
              </w:rPr>
              <w:t>)</w:t>
            </w:r>
          </w:p>
        </w:tc>
        <w:tc>
          <w:tcPr>
            <w:tcW w:w="3136" w:type="dxa"/>
            <w:tcBorders>
              <w:top w:val="single" w:sz="8" w:space="0" w:color="auto"/>
              <w:left w:val="nil"/>
              <w:bottom w:val="single" w:sz="8" w:space="0" w:color="auto"/>
              <w:right w:val="single" w:sz="8" w:space="0" w:color="auto"/>
            </w:tcBorders>
            <w:shd w:val="clear" w:color="auto" w:fill="800000"/>
            <w:noWrap/>
            <w:tcMar>
              <w:top w:w="0" w:type="dxa"/>
              <w:left w:w="108" w:type="dxa"/>
              <w:bottom w:w="0" w:type="dxa"/>
              <w:right w:w="108" w:type="dxa"/>
            </w:tcMar>
            <w:vAlign w:val="center"/>
            <w:hideMark/>
          </w:tcPr>
          <w:p w14:paraId="53B4751B" w14:textId="77777777" w:rsidR="008A5CB7" w:rsidRDefault="008A5CB7">
            <w:pPr>
              <w:rPr>
                <w:rFonts w:ascii="Arial" w:eastAsiaTheme="minorHAnsi" w:hAnsi="Arial" w:cs="Arial"/>
                <w:b/>
                <w:bCs/>
                <w:color w:val="FFFFFF"/>
                <w:sz w:val="18"/>
                <w:szCs w:val="18"/>
              </w:rPr>
            </w:pPr>
            <w:r>
              <w:rPr>
                <w:rFonts w:ascii="Arial" w:hAnsi="Arial" w:cs="Arial"/>
                <w:b/>
                <w:bCs/>
                <w:color w:val="FFFFFF"/>
                <w:sz w:val="18"/>
                <w:szCs w:val="18"/>
              </w:rPr>
              <w:t>Contribution to total value added</w:t>
            </w:r>
          </w:p>
          <w:p w14:paraId="4CFD6260" w14:textId="77777777" w:rsidR="008A5CB7" w:rsidRDefault="008A5CB7">
            <w:pPr>
              <w:rPr>
                <w:rFonts w:ascii="Arial" w:eastAsiaTheme="minorHAnsi" w:hAnsi="Arial" w:cs="Arial"/>
                <w:b/>
                <w:bCs/>
                <w:color w:val="FFFFFF"/>
                <w:sz w:val="18"/>
                <w:szCs w:val="18"/>
              </w:rPr>
            </w:pPr>
            <w:r>
              <w:rPr>
                <w:rFonts w:ascii="Arial" w:hAnsi="Arial" w:cs="Arial"/>
                <w:b/>
                <w:bCs/>
                <w:color w:val="FFFFFF"/>
                <w:sz w:val="18"/>
                <w:szCs w:val="18"/>
              </w:rPr>
              <w:t>(%, 2015-16)</w:t>
            </w:r>
          </w:p>
        </w:tc>
      </w:tr>
      <w:tr w:rsidR="008A5CB7" w14:paraId="0764FF2C"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BF1F72" w14:textId="77777777" w:rsidR="008A5CB7" w:rsidRDefault="008A5CB7">
            <w:pPr>
              <w:rPr>
                <w:rFonts w:ascii="Arial" w:eastAsiaTheme="minorHAnsi" w:hAnsi="Arial" w:cs="Arial"/>
                <w:color w:val="000000"/>
                <w:sz w:val="18"/>
                <w:szCs w:val="18"/>
              </w:rPr>
            </w:pPr>
            <w:r>
              <w:rPr>
                <w:rFonts w:ascii="Arial" w:hAnsi="Arial" w:cs="Arial"/>
                <w:sz w:val="18"/>
                <w:szCs w:val="18"/>
              </w:rPr>
              <w:t>Agriculture, forestry and fishing</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61148" w14:textId="77777777" w:rsidR="008A5CB7" w:rsidRDefault="008A5CB7">
            <w:pPr>
              <w:jc w:val="right"/>
              <w:rPr>
                <w:rFonts w:ascii="Arial" w:eastAsiaTheme="minorHAnsi" w:hAnsi="Arial" w:cs="Arial"/>
                <w:color w:val="000000"/>
                <w:sz w:val="18"/>
                <w:szCs w:val="18"/>
              </w:rPr>
            </w:pPr>
            <w:r>
              <w:rPr>
                <w:rFonts w:ascii="Arial" w:hAnsi="Arial" w:cs="Arial"/>
                <w:sz w:val="18"/>
                <w:szCs w:val="18"/>
              </w:rPr>
              <w:t>89,328</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71F231" w14:textId="77777777" w:rsidR="008A5CB7" w:rsidRDefault="008A5CB7">
            <w:pPr>
              <w:jc w:val="right"/>
              <w:rPr>
                <w:rFonts w:ascii="Arial" w:eastAsiaTheme="minorHAnsi" w:hAnsi="Arial" w:cs="Arial"/>
                <w:color w:val="000000"/>
                <w:sz w:val="18"/>
                <w:szCs w:val="18"/>
              </w:rPr>
            </w:pPr>
            <w:r>
              <w:rPr>
                <w:rFonts w:ascii="Arial" w:hAnsi="Arial" w:cs="Arial"/>
                <w:sz w:val="18"/>
                <w:szCs w:val="18"/>
              </w:rPr>
              <w:t>2.5%</w:t>
            </w:r>
          </w:p>
        </w:tc>
      </w:tr>
      <w:tr w:rsidR="008A5CB7" w14:paraId="27BF2B5F"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9DE565" w14:textId="77777777" w:rsidR="008A5CB7" w:rsidRDefault="008A5CB7">
            <w:pPr>
              <w:rPr>
                <w:rFonts w:ascii="Arial" w:eastAsiaTheme="minorHAnsi" w:hAnsi="Arial" w:cs="Arial"/>
                <w:color w:val="000000"/>
                <w:sz w:val="18"/>
                <w:szCs w:val="18"/>
              </w:rPr>
            </w:pPr>
            <w:r>
              <w:rPr>
                <w:rFonts w:ascii="Arial" w:hAnsi="Arial" w:cs="Arial"/>
                <w:sz w:val="18"/>
                <w:szCs w:val="18"/>
              </w:rPr>
              <w:t>Mining and quarrying</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262F" w14:textId="77777777" w:rsidR="008A5CB7" w:rsidRDefault="008A5CB7">
            <w:pPr>
              <w:jc w:val="right"/>
              <w:rPr>
                <w:rFonts w:ascii="Arial" w:eastAsiaTheme="minorHAnsi" w:hAnsi="Arial" w:cs="Arial"/>
                <w:color w:val="000000"/>
                <w:sz w:val="18"/>
                <w:szCs w:val="18"/>
              </w:rPr>
            </w:pPr>
            <w:r>
              <w:rPr>
                <w:rFonts w:ascii="Arial" w:hAnsi="Arial" w:cs="Arial"/>
                <w:sz w:val="18"/>
                <w:szCs w:val="18"/>
              </w:rPr>
              <w:t>285,489</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A3D8C1" w14:textId="77777777" w:rsidR="008A5CB7" w:rsidRDefault="008A5CB7">
            <w:pPr>
              <w:jc w:val="right"/>
              <w:rPr>
                <w:rFonts w:ascii="Arial" w:eastAsiaTheme="minorHAnsi" w:hAnsi="Arial" w:cs="Arial"/>
                <w:color w:val="000000"/>
                <w:sz w:val="18"/>
                <w:szCs w:val="18"/>
              </w:rPr>
            </w:pPr>
            <w:r>
              <w:rPr>
                <w:rFonts w:ascii="Arial" w:hAnsi="Arial" w:cs="Arial"/>
                <w:sz w:val="18"/>
                <w:szCs w:val="18"/>
              </w:rPr>
              <w:t>7.8%</w:t>
            </w:r>
          </w:p>
        </w:tc>
      </w:tr>
      <w:tr w:rsidR="008A5CB7" w14:paraId="32154B43"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EFAB62" w14:textId="77777777" w:rsidR="008A5CB7" w:rsidRDefault="008A5CB7">
            <w:pPr>
              <w:rPr>
                <w:rFonts w:ascii="Arial" w:eastAsiaTheme="minorHAnsi" w:hAnsi="Arial" w:cs="Arial"/>
                <w:color w:val="000000"/>
                <w:sz w:val="18"/>
                <w:szCs w:val="18"/>
              </w:rPr>
            </w:pPr>
            <w:r>
              <w:rPr>
                <w:rFonts w:ascii="Arial" w:hAnsi="Arial" w:cs="Arial"/>
                <w:sz w:val="18"/>
                <w:szCs w:val="18"/>
              </w:rPr>
              <w:t>Manufacturing</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EC091" w14:textId="77777777" w:rsidR="008A5CB7" w:rsidRDefault="008A5CB7">
            <w:pPr>
              <w:jc w:val="right"/>
              <w:rPr>
                <w:rFonts w:ascii="Arial" w:eastAsiaTheme="minorHAnsi" w:hAnsi="Arial" w:cs="Arial"/>
                <w:color w:val="000000"/>
                <w:sz w:val="18"/>
                <w:szCs w:val="18"/>
              </w:rPr>
            </w:pPr>
            <w:r>
              <w:rPr>
                <w:rFonts w:ascii="Arial" w:hAnsi="Arial" w:cs="Arial"/>
                <w:sz w:val="18"/>
                <w:szCs w:val="18"/>
              </w:rPr>
              <w:t>479,595</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7E5F27" w14:textId="77777777" w:rsidR="008A5CB7" w:rsidRDefault="008A5CB7">
            <w:pPr>
              <w:jc w:val="right"/>
              <w:rPr>
                <w:rFonts w:ascii="Arial" w:eastAsiaTheme="minorHAnsi" w:hAnsi="Arial" w:cs="Arial"/>
                <w:color w:val="000000"/>
                <w:sz w:val="18"/>
                <w:szCs w:val="18"/>
              </w:rPr>
            </w:pPr>
            <w:r>
              <w:rPr>
                <w:rFonts w:ascii="Arial" w:hAnsi="Arial" w:cs="Arial"/>
                <w:sz w:val="18"/>
                <w:szCs w:val="18"/>
              </w:rPr>
              <w:t>13.2%</w:t>
            </w:r>
          </w:p>
        </w:tc>
      </w:tr>
      <w:tr w:rsidR="008A5CB7" w14:paraId="0DD7FFAB"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F518FC" w14:textId="77777777" w:rsidR="008A5CB7" w:rsidRDefault="008A5CB7">
            <w:pPr>
              <w:rPr>
                <w:rFonts w:ascii="Arial" w:eastAsiaTheme="minorHAnsi" w:hAnsi="Arial" w:cs="Arial"/>
                <w:color w:val="000000"/>
                <w:sz w:val="18"/>
                <w:szCs w:val="18"/>
              </w:rPr>
            </w:pPr>
            <w:r>
              <w:rPr>
                <w:rFonts w:ascii="Arial" w:hAnsi="Arial" w:cs="Arial"/>
                <w:sz w:val="18"/>
                <w:szCs w:val="18"/>
              </w:rPr>
              <w:t>Electricity, gas and water</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C7EF8" w14:textId="77777777" w:rsidR="008A5CB7" w:rsidRDefault="008A5CB7">
            <w:pPr>
              <w:jc w:val="right"/>
              <w:rPr>
                <w:rFonts w:ascii="Arial" w:eastAsiaTheme="minorHAnsi" w:hAnsi="Arial" w:cs="Arial"/>
                <w:color w:val="000000"/>
                <w:sz w:val="18"/>
                <w:szCs w:val="18"/>
              </w:rPr>
            </w:pPr>
            <w:r>
              <w:rPr>
                <w:rFonts w:ascii="Arial" w:hAnsi="Arial" w:cs="Arial"/>
                <w:sz w:val="18"/>
                <w:szCs w:val="18"/>
              </w:rPr>
              <w:t>132,811</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FE102" w14:textId="77777777" w:rsidR="008A5CB7" w:rsidRDefault="008A5CB7">
            <w:pPr>
              <w:jc w:val="right"/>
              <w:rPr>
                <w:rFonts w:ascii="Arial" w:eastAsiaTheme="minorHAnsi" w:hAnsi="Arial" w:cs="Arial"/>
                <w:color w:val="000000"/>
                <w:sz w:val="18"/>
                <w:szCs w:val="18"/>
              </w:rPr>
            </w:pPr>
            <w:r>
              <w:rPr>
                <w:rFonts w:ascii="Arial" w:hAnsi="Arial" w:cs="Arial"/>
                <w:sz w:val="18"/>
                <w:szCs w:val="18"/>
              </w:rPr>
              <w:t>3.6%</w:t>
            </w:r>
          </w:p>
        </w:tc>
      </w:tr>
      <w:tr w:rsidR="008A5CB7" w14:paraId="58F88ADB"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77F300" w14:textId="77777777" w:rsidR="008A5CB7" w:rsidRDefault="008A5CB7">
            <w:pPr>
              <w:rPr>
                <w:rFonts w:ascii="Arial" w:eastAsiaTheme="minorHAnsi" w:hAnsi="Arial" w:cs="Arial"/>
                <w:color w:val="000000"/>
                <w:sz w:val="18"/>
                <w:szCs w:val="18"/>
              </w:rPr>
            </w:pPr>
            <w:r>
              <w:rPr>
                <w:rFonts w:ascii="Arial" w:hAnsi="Arial" w:cs="Arial"/>
                <w:sz w:val="18"/>
                <w:szCs w:val="18"/>
              </w:rPr>
              <w:t>Construction</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22376" w14:textId="77777777" w:rsidR="008A5CB7" w:rsidRDefault="008A5CB7">
            <w:pPr>
              <w:jc w:val="right"/>
              <w:rPr>
                <w:rFonts w:ascii="Arial" w:eastAsiaTheme="minorHAnsi" w:hAnsi="Arial" w:cs="Arial"/>
                <w:color w:val="000000"/>
                <w:sz w:val="18"/>
                <w:szCs w:val="18"/>
              </w:rPr>
            </w:pPr>
            <w:r>
              <w:rPr>
                <w:rFonts w:ascii="Arial" w:hAnsi="Arial" w:cs="Arial"/>
                <w:sz w:val="18"/>
                <w:szCs w:val="18"/>
              </w:rPr>
              <w:t>146,333</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74540" w14:textId="77777777" w:rsidR="008A5CB7" w:rsidRDefault="008A5CB7">
            <w:pPr>
              <w:jc w:val="right"/>
              <w:rPr>
                <w:rFonts w:ascii="Arial" w:eastAsiaTheme="minorHAnsi" w:hAnsi="Arial" w:cs="Arial"/>
                <w:color w:val="000000"/>
                <w:sz w:val="18"/>
                <w:szCs w:val="18"/>
              </w:rPr>
            </w:pPr>
            <w:r>
              <w:rPr>
                <w:rFonts w:ascii="Arial" w:hAnsi="Arial" w:cs="Arial"/>
                <w:sz w:val="18"/>
                <w:szCs w:val="18"/>
              </w:rPr>
              <w:t>4.0%</w:t>
            </w:r>
          </w:p>
        </w:tc>
      </w:tr>
      <w:tr w:rsidR="008A5CB7" w14:paraId="3D7032A6"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F3CEE5" w14:textId="77777777" w:rsidR="008A5CB7" w:rsidRDefault="008A5CB7">
            <w:pPr>
              <w:rPr>
                <w:rFonts w:ascii="Arial" w:eastAsiaTheme="minorHAnsi" w:hAnsi="Arial" w:cs="Arial"/>
                <w:color w:val="000000"/>
                <w:sz w:val="18"/>
                <w:szCs w:val="18"/>
              </w:rPr>
            </w:pPr>
            <w:r>
              <w:rPr>
                <w:rFonts w:ascii="Arial" w:hAnsi="Arial" w:cs="Arial"/>
                <w:sz w:val="18"/>
                <w:szCs w:val="18"/>
              </w:rPr>
              <w:t>Trade, catering and accommodation</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51125" w14:textId="77777777" w:rsidR="008A5CB7" w:rsidRDefault="008A5CB7">
            <w:pPr>
              <w:jc w:val="right"/>
              <w:rPr>
                <w:rFonts w:ascii="Arial" w:eastAsiaTheme="minorHAnsi" w:hAnsi="Arial" w:cs="Arial"/>
                <w:color w:val="000000"/>
                <w:sz w:val="18"/>
                <w:szCs w:val="18"/>
              </w:rPr>
            </w:pPr>
            <w:r>
              <w:rPr>
                <w:rFonts w:ascii="Arial" w:hAnsi="Arial" w:cs="Arial"/>
                <w:sz w:val="18"/>
                <w:szCs w:val="18"/>
              </w:rPr>
              <w:t>549,210</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7F65C7" w14:textId="77777777" w:rsidR="008A5CB7" w:rsidRDefault="008A5CB7">
            <w:pPr>
              <w:jc w:val="right"/>
              <w:rPr>
                <w:rFonts w:ascii="Arial" w:eastAsiaTheme="minorHAnsi" w:hAnsi="Arial" w:cs="Arial"/>
                <w:color w:val="000000"/>
                <w:sz w:val="18"/>
                <w:szCs w:val="18"/>
              </w:rPr>
            </w:pPr>
            <w:r>
              <w:rPr>
                <w:rFonts w:ascii="Arial" w:hAnsi="Arial" w:cs="Arial"/>
                <w:sz w:val="18"/>
                <w:szCs w:val="18"/>
              </w:rPr>
              <w:t>15.1%</w:t>
            </w:r>
          </w:p>
        </w:tc>
      </w:tr>
      <w:tr w:rsidR="008A5CB7" w14:paraId="358C0350"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53DC5B" w14:textId="77777777" w:rsidR="008A5CB7" w:rsidRDefault="008A5CB7">
            <w:pPr>
              <w:rPr>
                <w:rFonts w:ascii="Arial" w:eastAsiaTheme="minorHAnsi" w:hAnsi="Arial" w:cs="Arial"/>
                <w:color w:val="000000"/>
                <w:sz w:val="18"/>
                <w:szCs w:val="18"/>
              </w:rPr>
            </w:pPr>
            <w:r>
              <w:rPr>
                <w:rFonts w:ascii="Arial" w:hAnsi="Arial" w:cs="Arial"/>
                <w:sz w:val="18"/>
                <w:szCs w:val="18"/>
              </w:rPr>
              <w:t>Transport, storage and communication</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93E8F" w14:textId="77777777" w:rsidR="008A5CB7" w:rsidRDefault="008A5CB7">
            <w:pPr>
              <w:jc w:val="right"/>
              <w:rPr>
                <w:rFonts w:ascii="Arial" w:eastAsiaTheme="minorHAnsi" w:hAnsi="Arial" w:cs="Arial"/>
                <w:color w:val="000000"/>
                <w:sz w:val="18"/>
                <w:szCs w:val="18"/>
              </w:rPr>
            </w:pPr>
            <w:r>
              <w:rPr>
                <w:rFonts w:ascii="Arial" w:hAnsi="Arial" w:cs="Arial"/>
                <w:sz w:val="18"/>
                <w:szCs w:val="18"/>
              </w:rPr>
              <w:t>371,604</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1FA4B" w14:textId="77777777" w:rsidR="008A5CB7" w:rsidRDefault="008A5CB7">
            <w:pPr>
              <w:jc w:val="right"/>
              <w:rPr>
                <w:rFonts w:ascii="Arial" w:eastAsiaTheme="minorHAnsi" w:hAnsi="Arial" w:cs="Arial"/>
                <w:color w:val="000000"/>
                <w:sz w:val="18"/>
                <w:szCs w:val="18"/>
              </w:rPr>
            </w:pPr>
            <w:r>
              <w:rPr>
                <w:rFonts w:ascii="Arial" w:hAnsi="Arial" w:cs="Arial"/>
                <w:sz w:val="18"/>
                <w:szCs w:val="18"/>
              </w:rPr>
              <w:t>10.2%</w:t>
            </w:r>
          </w:p>
        </w:tc>
      </w:tr>
      <w:tr w:rsidR="008A5CB7" w14:paraId="6FFBE6CE"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67D566" w14:textId="77777777" w:rsidR="008A5CB7" w:rsidRDefault="008A5CB7">
            <w:pPr>
              <w:rPr>
                <w:rFonts w:ascii="Arial" w:eastAsiaTheme="minorHAnsi" w:hAnsi="Arial" w:cs="Arial"/>
                <w:color w:val="000000"/>
                <w:sz w:val="18"/>
                <w:szCs w:val="18"/>
              </w:rPr>
            </w:pPr>
            <w:r>
              <w:rPr>
                <w:rFonts w:ascii="Arial" w:hAnsi="Arial" w:cs="Arial"/>
                <w:sz w:val="18"/>
                <w:szCs w:val="18"/>
              </w:rPr>
              <w:t>Finance, real estate and business services</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292E1" w14:textId="77777777" w:rsidR="008A5CB7" w:rsidRDefault="008A5CB7">
            <w:pPr>
              <w:jc w:val="right"/>
              <w:rPr>
                <w:rFonts w:ascii="Arial" w:eastAsiaTheme="minorHAnsi" w:hAnsi="Arial" w:cs="Arial"/>
                <w:color w:val="000000"/>
                <w:sz w:val="18"/>
                <w:szCs w:val="18"/>
              </w:rPr>
            </w:pPr>
            <w:r>
              <w:rPr>
                <w:rFonts w:ascii="Arial" w:hAnsi="Arial" w:cs="Arial"/>
                <w:sz w:val="18"/>
                <w:szCs w:val="18"/>
              </w:rPr>
              <w:t>750,708</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99FFF" w14:textId="77777777" w:rsidR="008A5CB7" w:rsidRDefault="008A5CB7">
            <w:pPr>
              <w:jc w:val="right"/>
              <w:rPr>
                <w:rFonts w:ascii="Arial" w:eastAsiaTheme="minorHAnsi" w:hAnsi="Arial" w:cs="Arial"/>
                <w:color w:val="000000"/>
                <w:sz w:val="18"/>
                <w:szCs w:val="18"/>
              </w:rPr>
            </w:pPr>
            <w:r>
              <w:rPr>
                <w:rFonts w:ascii="Arial" w:hAnsi="Arial" w:cs="Arial"/>
                <w:sz w:val="18"/>
                <w:szCs w:val="18"/>
              </w:rPr>
              <w:t>20.6%</w:t>
            </w:r>
          </w:p>
        </w:tc>
      </w:tr>
      <w:tr w:rsidR="008A5CB7" w14:paraId="295B18A7"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D25FA1" w14:textId="77777777" w:rsidR="008A5CB7" w:rsidRDefault="008A5CB7">
            <w:pPr>
              <w:rPr>
                <w:rFonts w:ascii="Arial" w:eastAsiaTheme="minorHAnsi" w:hAnsi="Arial" w:cs="Arial"/>
                <w:color w:val="000000"/>
                <w:sz w:val="18"/>
                <w:szCs w:val="18"/>
              </w:rPr>
            </w:pPr>
            <w:r>
              <w:rPr>
                <w:rFonts w:ascii="Arial" w:hAnsi="Arial" w:cs="Arial"/>
                <w:sz w:val="18"/>
                <w:szCs w:val="18"/>
              </w:rPr>
              <w:t>General government services</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B6173" w14:textId="77777777" w:rsidR="008A5CB7" w:rsidRDefault="008A5CB7">
            <w:pPr>
              <w:jc w:val="right"/>
              <w:rPr>
                <w:rFonts w:ascii="Arial" w:eastAsiaTheme="minorHAnsi" w:hAnsi="Arial" w:cs="Arial"/>
                <w:color w:val="000000"/>
                <w:sz w:val="18"/>
                <w:szCs w:val="18"/>
              </w:rPr>
            </w:pPr>
            <w:r>
              <w:rPr>
                <w:rFonts w:ascii="Arial" w:hAnsi="Arial" w:cs="Arial"/>
                <w:sz w:val="18"/>
                <w:szCs w:val="18"/>
              </w:rPr>
              <w:t>624,277</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6814D" w14:textId="77777777" w:rsidR="008A5CB7" w:rsidRDefault="008A5CB7">
            <w:pPr>
              <w:jc w:val="right"/>
              <w:rPr>
                <w:rFonts w:ascii="Arial" w:eastAsiaTheme="minorHAnsi" w:hAnsi="Arial" w:cs="Arial"/>
                <w:color w:val="000000"/>
                <w:sz w:val="18"/>
                <w:szCs w:val="18"/>
              </w:rPr>
            </w:pPr>
            <w:r>
              <w:rPr>
                <w:rFonts w:ascii="Arial" w:hAnsi="Arial" w:cs="Arial"/>
                <w:sz w:val="18"/>
                <w:szCs w:val="18"/>
              </w:rPr>
              <w:t>17.1%</w:t>
            </w:r>
          </w:p>
        </w:tc>
      </w:tr>
      <w:tr w:rsidR="008A5CB7" w14:paraId="3C24FABB" w14:textId="77777777" w:rsidTr="008A5CB7">
        <w:trPr>
          <w:trHeight w:val="216"/>
        </w:trPr>
        <w:tc>
          <w:tcPr>
            <w:tcW w:w="3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CD828E" w14:textId="77777777" w:rsidR="008A5CB7" w:rsidRDefault="008A5CB7">
            <w:pPr>
              <w:rPr>
                <w:rFonts w:ascii="Arial" w:eastAsiaTheme="minorHAnsi" w:hAnsi="Arial" w:cs="Arial"/>
                <w:color w:val="000000"/>
                <w:sz w:val="18"/>
                <w:szCs w:val="18"/>
              </w:rPr>
            </w:pPr>
            <w:r>
              <w:rPr>
                <w:rFonts w:ascii="Arial" w:hAnsi="Arial" w:cs="Arial"/>
                <w:sz w:val="18"/>
                <w:szCs w:val="18"/>
              </w:rPr>
              <w:t>Personal services</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64ACB" w14:textId="77777777" w:rsidR="008A5CB7" w:rsidRDefault="008A5CB7">
            <w:pPr>
              <w:jc w:val="right"/>
              <w:rPr>
                <w:rFonts w:ascii="Arial" w:eastAsiaTheme="minorHAnsi" w:hAnsi="Arial" w:cs="Arial"/>
                <w:color w:val="000000"/>
                <w:sz w:val="18"/>
                <w:szCs w:val="18"/>
              </w:rPr>
            </w:pPr>
            <w:r>
              <w:rPr>
                <w:rFonts w:ascii="Arial" w:hAnsi="Arial" w:cs="Arial"/>
                <w:sz w:val="18"/>
                <w:szCs w:val="18"/>
              </w:rPr>
              <w:t>215,121</w:t>
            </w:r>
          </w:p>
        </w:tc>
        <w:tc>
          <w:tcPr>
            <w:tcW w:w="3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012FB" w14:textId="77777777" w:rsidR="008A5CB7" w:rsidRDefault="008A5CB7">
            <w:pPr>
              <w:jc w:val="right"/>
              <w:rPr>
                <w:rFonts w:ascii="Arial" w:eastAsiaTheme="minorHAnsi" w:hAnsi="Arial" w:cs="Arial"/>
                <w:color w:val="000000"/>
                <w:sz w:val="18"/>
                <w:szCs w:val="18"/>
              </w:rPr>
            </w:pPr>
            <w:r>
              <w:rPr>
                <w:rFonts w:ascii="Arial" w:hAnsi="Arial" w:cs="Arial"/>
                <w:sz w:val="18"/>
                <w:szCs w:val="18"/>
              </w:rPr>
              <w:t>5.9%</w:t>
            </w:r>
          </w:p>
        </w:tc>
      </w:tr>
    </w:tbl>
    <w:p w14:paraId="71B39FB6" w14:textId="77777777" w:rsidR="008A5CB7" w:rsidRDefault="008A5CB7" w:rsidP="008A5CB7">
      <w:pPr>
        <w:pStyle w:val="BodyTextIndent"/>
        <w:spacing w:line="276" w:lineRule="auto"/>
        <w:ind w:left="0" w:firstLine="0"/>
        <w:rPr>
          <w:rFonts w:ascii="Arial" w:eastAsiaTheme="minorHAnsi" w:hAnsi="Arial" w:cs="Arial"/>
          <w:sz w:val="16"/>
          <w:szCs w:val="16"/>
        </w:rPr>
      </w:pPr>
      <w:r>
        <w:rPr>
          <w:rFonts w:ascii="Arial" w:hAnsi="Arial" w:cs="Arial"/>
          <w:color w:val="000000"/>
          <w:sz w:val="14"/>
          <w:szCs w:val="14"/>
          <w:vertAlign w:val="superscript"/>
        </w:rPr>
        <w:t xml:space="preserve">1 </w:t>
      </w:r>
      <w:r>
        <w:rPr>
          <w:rFonts w:ascii="Arial" w:hAnsi="Arial" w:cs="Arial"/>
          <w:color w:val="000000"/>
          <w:sz w:val="14"/>
          <w:szCs w:val="14"/>
        </w:rPr>
        <w:t>Total over the period between 2015Q2 and 2016Q1</w:t>
      </w:r>
    </w:p>
    <w:p w14:paraId="130309C6" w14:textId="77777777" w:rsidR="001E6902" w:rsidRPr="001B0917" w:rsidRDefault="008A5CB7" w:rsidP="008A5CB7">
      <w:pPr>
        <w:pStyle w:val="BodyTextIndent"/>
        <w:spacing w:line="276" w:lineRule="auto"/>
        <w:ind w:left="0" w:firstLine="0"/>
        <w:rPr>
          <w:rFonts w:ascii="Arial" w:hAnsi="Arial" w:cs="Arial"/>
          <w:b/>
          <w:sz w:val="22"/>
          <w:szCs w:val="22"/>
        </w:rPr>
      </w:pPr>
      <w:r>
        <w:rPr>
          <w:rFonts w:ascii="Arial" w:hAnsi="Arial" w:cs="Arial"/>
          <w:sz w:val="16"/>
          <w:szCs w:val="16"/>
        </w:rPr>
        <w:t>Source of basic data: Statistics South Africa</w:t>
      </w:r>
    </w:p>
    <w:p w14:paraId="769A9FC2"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4EFC379" w14:textId="77777777" w:rsidR="00B77F67" w:rsidRPr="001B0917" w:rsidRDefault="00B77F67" w:rsidP="00581CCE">
      <w:pPr>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8C"/>
    <w:rsid w:val="00020C04"/>
    <w:rsid w:val="0004324C"/>
    <w:rsid w:val="000C48D8"/>
    <w:rsid w:val="000F3B14"/>
    <w:rsid w:val="001433AE"/>
    <w:rsid w:val="0015727B"/>
    <w:rsid w:val="001713D2"/>
    <w:rsid w:val="001B0917"/>
    <w:rsid w:val="001E3FB5"/>
    <w:rsid w:val="001E6902"/>
    <w:rsid w:val="00234BA6"/>
    <w:rsid w:val="002F6E86"/>
    <w:rsid w:val="003421BD"/>
    <w:rsid w:val="00426835"/>
    <w:rsid w:val="00453262"/>
    <w:rsid w:val="005141B3"/>
    <w:rsid w:val="005641BC"/>
    <w:rsid w:val="00574E19"/>
    <w:rsid w:val="00581CCE"/>
    <w:rsid w:val="005E37E2"/>
    <w:rsid w:val="00613FC6"/>
    <w:rsid w:val="006239F1"/>
    <w:rsid w:val="00624D20"/>
    <w:rsid w:val="0062770E"/>
    <w:rsid w:val="0064275F"/>
    <w:rsid w:val="00647EF2"/>
    <w:rsid w:val="00652C37"/>
    <w:rsid w:val="00653A85"/>
    <w:rsid w:val="006E577A"/>
    <w:rsid w:val="00706A8C"/>
    <w:rsid w:val="007118EA"/>
    <w:rsid w:val="00721B2B"/>
    <w:rsid w:val="00726A9C"/>
    <w:rsid w:val="007359BF"/>
    <w:rsid w:val="007904C8"/>
    <w:rsid w:val="007914E0"/>
    <w:rsid w:val="007A32AF"/>
    <w:rsid w:val="007B1BA1"/>
    <w:rsid w:val="00891265"/>
    <w:rsid w:val="008A5CB7"/>
    <w:rsid w:val="008C2559"/>
    <w:rsid w:val="008E2835"/>
    <w:rsid w:val="00911717"/>
    <w:rsid w:val="009163A5"/>
    <w:rsid w:val="00953363"/>
    <w:rsid w:val="0096007E"/>
    <w:rsid w:val="009A18A7"/>
    <w:rsid w:val="00A27751"/>
    <w:rsid w:val="00A525F0"/>
    <w:rsid w:val="00A72B9B"/>
    <w:rsid w:val="00AD00CE"/>
    <w:rsid w:val="00AD5C9B"/>
    <w:rsid w:val="00AE27AD"/>
    <w:rsid w:val="00B447E6"/>
    <w:rsid w:val="00B77F67"/>
    <w:rsid w:val="00BD31C6"/>
    <w:rsid w:val="00C25C7E"/>
    <w:rsid w:val="00C312EA"/>
    <w:rsid w:val="00C44C35"/>
    <w:rsid w:val="00C60822"/>
    <w:rsid w:val="00C80323"/>
    <w:rsid w:val="00CC2F3E"/>
    <w:rsid w:val="00D119A2"/>
    <w:rsid w:val="00DB2463"/>
    <w:rsid w:val="00DC41DF"/>
    <w:rsid w:val="00DD5296"/>
    <w:rsid w:val="00DF0D26"/>
    <w:rsid w:val="00E77DF6"/>
    <w:rsid w:val="00E8352B"/>
    <w:rsid w:val="00E9093A"/>
    <w:rsid w:val="00EA6A49"/>
    <w:rsid w:val="00F0267F"/>
    <w:rsid w:val="00F3493E"/>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04510"/>
  <w15:docId w15:val="{CBB1C7E4-FDF9-43F9-943C-228F49A3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Caption">
    <w:name w:val="caption"/>
    <w:basedOn w:val="Normal"/>
    <w:next w:val="Normal"/>
    <w:uiPriority w:val="35"/>
    <w:unhideWhenUsed/>
    <w:qFormat/>
    <w:rsid w:val="00721B2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46063">
      <w:bodyDiv w:val="1"/>
      <w:marLeft w:val="0"/>
      <w:marRight w:val="0"/>
      <w:marTop w:val="0"/>
      <w:marBottom w:val="0"/>
      <w:divBdr>
        <w:top w:val="none" w:sz="0" w:space="0" w:color="auto"/>
        <w:left w:val="none" w:sz="0" w:space="0" w:color="auto"/>
        <w:bottom w:val="none" w:sz="0" w:space="0" w:color="auto"/>
        <w:right w:val="none" w:sz="0" w:space="0" w:color="auto"/>
      </w:divBdr>
    </w:div>
    <w:div w:id="21406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3142-02F1-4450-BC87-82C3D03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2016-11-29T14:37:00Z</cp:lastPrinted>
  <dcterms:created xsi:type="dcterms:W3CDTF">2016-12-06T07:13:00Z</dcterms:created>
  <dcterms:modified xsi:type="dcterms:W3CDTF">2016-12-06T07:13:00Z</dcterms:modified>
</cp:coreProperties>
</file>