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20EDC70A" w14:textId="77777777" w:rsidTr="00025767">
        <w:trPr>
          <w:trHeight w:val="1851"/>
          <w:jc w:val="center"/>
        </w:trPr>
        <w:tc>
          <w:tcPr>
            <w:tcW w:w="9026" w:type="dxa"/>
          </w:tcPr>
          <w:p w14:paraId="1B890A72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4734D9FC" wp14:editId="519B81A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265F1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64660E30" w14:textId="77777777" w:rsidTr="00025767">
        <w:trPr>
          <w:trHeight w:val="1111"/>
          <w:jc w:val="center"/>
        </w:trPr>
        <w:tc>
          <w:tcPr>
            <w:tcW w:w="9026" w:type="dxa"/>
          </w:tcPr>
          <w:p w14:paraId="5CF9811B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6ADAC4AB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65B7C87C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56931A55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A7741" wp14:editId="534DD54C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2D73F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A3B2313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09BD6F5D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436605FF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2A00E4">
        <w:rPr>
          <w:rFonts w:ascii="Arial" w:hAnsi="Arial" w:cs="Arial"/>
          <w:b/>
          <w:bCs/>
          <w:sz w:val="24"/>
          <w:szCs w:val="24"/>
          <w:lang w:val="en-US"/>
        </w:rPr>
        <w:t>2363</w:t>
      </w:r>
    </w:p>
    <w:p w14:paraId="3C00DEDB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2A00E4">
        <w:rPr>
          <w:rFonts w:ascii="Arial" w:hAnsi="Arial" w:cs="Arial"/>
          <w:b/>
          <w:sz w:val="24"/>
          <w:szCs w:val="24"/>
        </w:rPr>
        <w:t>28</w:t>
      </w:r>
      <w:r w:rsidR="009D2435">
        <w:rPr>
          <w:rFonts w:ascii="Arial" w:hAnsi="Arial" w:cs="Arial"/>
          <w:b/>
          <w:sz w:val="24"/>
          <w:szCs w:val="24"/>
        </w:rPr>
        <w:t xml:space="preserve">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08723B86" w14:textId="77777777" w:rsidR="00690611" w:rsidRPr="00690611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21622D7E" w14:textId="77777777" w:rsidR="002A00E4" w:rsidRDefault="009D2435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2A00E4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  <w:r w:rsidR="002A00E4" w:rsidRPr="002A00E4">
        <w:rPr>
          <w:rFonts w:ascii="Arial" w:hAnsi="Arial" w:cs="Arial"/>
          <w:b/>
          <w:bCs/>
          <w:sz w:val="24"/>
          <w:szCs w:val="24"/>
          <w:lang w:val="en-ZA"/>
        </w:rPr>
        <w:t>Ms V van Dyk (DA) to ask the Minister of Communications:</w:t>
      </w:r>
    </w:p>
    <w:p w14:paraId="4E77FBE3" w14:textId="77777777" w:rsidR="00A539A3" w:rsidRPr="002A00E4" w:rsidRDefault="00A539A3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6C070762" w14:textId="77777777" w:rsidR="002A00E4" w:rsidRPr="002A00E4" w:rsidRDefault="002A00E4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     </w:t>
      </w:r>
      <w:r w:rsidRPr="002A00E4">
        <w:rPr>
          <w:rFonts w:ascii="Arial" w:hAnsi="Arial" w:cs="Arial"/>
          <w:sz w:val="24"/>
          <w:szCs w:val="24"/>
          <w:lang w:val="en-ZA"/>
        </w:rPr>
        <w:t xml:space="preserve">What amount in advertising revenue did each small community print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A00E4">
        <w:rPr>
          <w:rFonts w:ascii="Arial" w:hAnsi="Arial" w:cs="Arial"/>
          <w:sz w:val="24"/>
          <w:szCs w:val="24"/>
          <w:lang w:val="en-ZA"/>
        </w:rPr>
        <w:t xml:space="preserve">media project which is supported by the Media Development and Diversity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A00E4">
        <w:rPr>
          <w:rFonts w:ascii="Arial" w:hAnsi="Arial" w:cs="Arial"/>
          <w:sz w:val="24"/>
          <w:szCs w:val="24"/>
          <w:lang w:val="en-ZA"/>
        </w:rPr>
        <w:t xml:space="preserve">Agency (MDDA) generate (a) in the (i) 2011-12, (ii) 2012-13, (iii) 2013-14,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2A00E4">
        <w:rPr>
          <w:rFonts w:ascii="Arial" w:hAnsi="Arial" w:cs="Arial"/>
          <w:sz w:val="24"/>
          <w:szCs w:val="24"/>
          <w:lang w:val="en-ZA"/>
        </w:rPr>
        <w:t>(iv) 2014-15 and (v) 2015-16 financial years and (b) since 1 April 2016;</w:t>
      </w:r>
    </w:p>
    <w:p w14:paraId="64B32539" w14:textId="77777777" w:rsidR="009D2435" w:rsidRPr="00DC07B0" w:rsidRDefault="003E0724" w:rsidP="002A00E4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(2)      W</w:t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hether the MDDA has put any succession plans in place to assist small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community print media projects in mitigating instabilities affecting the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delivery of planned targets; if not, why not; if so, what are the full relevant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 xml:space="preserve">details?                             </w:t>
      </w:r>
      <w:r w:rsidR="002A00E4">
        <w:rPr>
          <w:rFonts w:ascii="Arial" w:hAnsi="Arial" w:cs="Arial"/>
          <w:sz w:val="24"/>
          <w:szCs w:val="24"/>
          <w:lang w:val="en-ZA"/>
        </w:rPr>
        <w:t xml:space="preserve"> </w:t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>
        <w:rPr>
          <w:rFonts w:ascii="Arial" w:hAnsi="Arial" w:cs="Arial"/>
          <w:sz w:val="24"/>
          <w:szCs w:val="24"/>
          <w:lang w:val="en-ZA"/>
        </w:rPr>
        <w:tab/>
      </w:r>
      <w:r w:rsidR="002A00E4" w:rsidRPr="002A00E4">
        <w:rPr>
          <w:rFonts w:ascii="Arial" w:hAnsi="Arial" w:cs="Arial"/>
          <w:sz w:val="24"/>
          <w:szCs w:val="24"/>
          <w:lang w:val="en-ZA"/>
        </w:rPr>
        <w:t>NW2698E</w:t>
      </w:r>
    </w:p>
    <w:p w14:paraId="47A7E7D4" w14:textId="77777777" w:rsidR="00333166" w:rsidRPr="00DC07B0" w:rsidRDefault="00333166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0F758DFB" w14:textId="77777777" w:rsidR="009D2435" w:rsidRDefault="00333166" w:rsidP="000020E9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587E33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587E33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2BD4811E" w14:textId="77777777" w:rsidR="000020E9" w:rsidRDefault="000020E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26A38D0" w14:textId="77777777" w:rsidR="000020E9" w:rsidRPr="000020E9" w:rsidRDefault="000020E9" w:rsidP="003E0724">
      <w:pPr>
        <w:pStyle w:val="ListParagraph"/>
        <w:numPr>
          <w:ilvl w:val="0"/>
          <w:numId w:val="32"/>
        </w:numPr>
        <w:tabs>
          <w:tab w:val="left" w:pos="1134"/>
          <w:tab w:val="left" w:pos="1418"/>
        </w:tabs>
        <w:spacing w:line="360" w:lineRule="auto"/>
        <w:ind w:left="709"/>
        <w:jc w:val="both"/>
        <w:rPr>
          <w:rFonts w:asciiTheme="minorBidi" w:eastAsia="Calibri" w:hAnsiTheme="minorBidi" w:cstheme="minorBidi"/>
          <w:bCs/>
          <w:sz w:val="24"/>
          <w:szCs w:val="24"/>
        </w:rPr>
      </w:pP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(a)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(i), (ii), (iii), (iv) and (v) The MDDA publishes advertising revenue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generated by each small community print media project which is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supported by the Media Development and Diversity Agency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(MDDA) via the Milele Group and the Government Communication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Information System (GCIS) in its annual report. These are available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on request. The MDDA does not have direct access to detailed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>advertising income until it receives annual report</w:t>
      </w:r>
      <w:r w:rsidR="002B7E9C">
        <w:rPr>
          <w:rFonts w:asciiTheme="minorBidi" w:eastAsia="Calibri" w:hAnsiTheme="minorBidi" w:cstheme="minorBidi"/>
          <w:bCs/>
          <w:sz w:val="24"/>
          <w:szCs w:val="24"/>
        </w:rPr>
        <w:t>s</w:t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 from media buyers </w:t>
      </w:r>
      <w:r>
        <w:rPr>
          <w:rFonts w:asciiTheme="minorBidi" w:eastAsia="Calibri" w:hAnsiTheme="minorBidi" w:cstheme="minorBidi"/>
          <w:bCs/>
          <w:sz w:val="24"/>
          <w:szCs w:val="24"/>
        </w:rPr>
        <w:lastRenderedPageBreak/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and the GCIS. To provide a comprehensive breakdown per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community print project requires a survey in order to give justice in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 xml:space="preserve">responding to this question as we do not have readily available </w:t>
      </w:r>
      <w:r>
        <w:rPr>
          <w:rFonts w:asciiTheme="minorBidi" w:eastAsia="Calibri" w:hAnsiTheme="minorBidi" w:cstheme="minorBidi"/>
          <w:bCs/>
          <w:sz w:val="24"/>
          <w:szCs w:val="24"/>
        </w:rPr>
        <w:tab/>
      </w:r>
      <w:r w:rsidRPr="000020E9">
        <w:rPr>
          <w:rFonts w:asciiTheme="minorBidi" w:eastAsia="Calibri" w:hAnsiTheme="minorBidi" w:cstheme="minorBidi"/>
          <w:bCs/>
          <w:sz w:val="24"/>
          <w:szCs w:val="24"/>
        </w:rPr>
        <w:t>information within the specified time.</w:t>
      </w:r>
    </w:p>
    <w:p w14:paraId="10124008" w14:textId="77777777" w:rsidR="000020E9" w:rsidRPr="000020E9" w:rsidRDefault="000020E9" w:rsidP="000020E9">
      <w:pPr>
        <w:ind w:left="360"/>
        <w:rPr>
          <w:rFonts w:asciiTheme="minorBidi" w:eastAsia="Calibri" w:hAnsiTheme="minorBidi" w:cstheme="minorBidi"/>
          <w:b/>
          <w:sz w:val="24"/>
          <w:szCs w:val="24"/>
        </w:rPr>
      </w:pPr>
    </w:p>
    <w:p w14:paraId="272F3CCA" w14:textId="77777777" w:rsidR="000020E9" w:rsidRDefault="003E0724" w:rsidP="002B7E9C">
      <w:pPr>
        <w:pStyle w:val="NoSpacing"/>
        <w:tabs>
          <w:tab w:val="left" w:pos="1134"/>
          <w:tab w:val="left" w:pos="1560"/>
        </w:tabs>
        <w:spacing w:line="360" w:lineRule="auto"/>
        <w:ind w:left="709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(b) 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Information on advertising revenue generated by each small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community print media project which is supported by the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>MDDA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 via the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Milele Group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 xml:space="preserve">and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  <w:t>the GCIS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 is consolidated on an annual basis for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publication in the MDDA annual report. The MDDA does not have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direct access to detailed advertising income until it receives annual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report from media buyers and the GCIS. To provide a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comprehensive breakdown on advertising revenue generated per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community print project since 1 April 2016 requires a survey in order to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give justice in responding to this question as we do not have readily </w:t>
      </w:r>
      <w:r w:rsidR="002B7E9C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>available information within the specified time.</w:t>
      </w:r>
    </w:p>
    <w:p w14:paraId="5A3BC89B" w14:textId="77777777" w:rsidR="000020E9" w:rsidRPr="000020E9" w:rsidRDefault="000020E9" w:rsidP="000020E9">
      <w:pPr>
        <w:pStyle w:val="NoSpacing"/>
        <w:spacing w:line="360" w:lineRule="auto"/>
        <w:ind w:left="1077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</w:p>
    <w:p w14:paraId="428BB721" w14:textId="77777777" w:rsidR="000020E9" w:rsidRPr="000020E9" w:rsidRDefault="003E0724" w:rsidP="003E0724">
      <w:pPr>
        <w:pStyle w:val="NoSpacing"/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1134"/>
          <w:tab w:val="left" w:pos="1418"/>
          <w:tab w:val="left" w:pos="1560"/>
        </w:tabs>
        <w:spacing w:line="360" w:lineRule="auto"/>
        <w:ind w:left="993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(a)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Yes, the MDDA has succession plans in place to assist small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community print media projects in mitigating instabilities affecting the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delivery of planned targets, via established partnerships to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capacitate the print sector on content development. These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partnerships include arrangements with Soul City, AIP, SAASTA and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SEDA, ongoing engagement with the Big4, ongoing engagement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7C2FB2">
        <w:rPr>
          <w:rFonts w:asciiTheme="minorBidi" w:hAnsiTheme="minorBidi" w:cstheme="minorBidi"/>
          <w:bCs/>
          <w:sz w:val="24"/>
          <w:szCs w:val="24"/>
          <w:lang w:val="en-ZA"/>
        </w:rPr>
        <w:t xml:space="preserve">with the GCIS on media buying </w:t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 xml:space="preserve">and planned engagement with </w:t>
      </w:r>
      <w:r w:rsidR="000020E9"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="000020E9" w:rsidRPr="000020E9">
        <w:rPr>
          <w:rFonts w:asciiTheme="minorBidi" w:hAnsiTheme="minorBidi" w:cstheme="minorBidi"/>
          <w:bCs/>
          <w:sz w:val="24"/>
          <w:szCs w:val="24"/>
          <w:lang w:val="en-ZA"/>
        </w:rPr>
        <w:t>SALGA and all state organs on media buying.</w:t>
      </w:r>
    </w:p>
    <w:p w14:paraId="04FD3825" w14:textId="77777777" w:rsidR="000020E9" w:rsidRDefault="000020E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15F9E0A" w14:textId="77777777" w:rsidR="00587E33" w:rsidRDefault="00587E33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C3E9AC2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8C3D601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2BF594EB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587E33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075EC9D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5A715DF2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4A2DF2E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5FCBF6D5" w14:textId="77777777" w:rsidR="0070760F" w:rsidRPr="00232522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EC939B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8B74637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2A0DA30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6834A899" w14:textId="77777777" w:rsidR="002801DD" w:rsidRPr="00232522" w:rsidRDefault="00333166" w:rsidP="007C2FB2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  <w:r w:rsidR="007C2FB2">
        <w:rPr>
          <w:rFonts w:asciiTheme="minorBidi" w:hAnsiTheme="minorBidi" w:cstheme="minorBidi"/>
          <w:b/>
          <w:sz w:val="24"/>
          <w:szCs w:val="24"/>
        </w:rPr>
        <w:t>:</w:t>
      </w: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52BB" w14:textId="77777777" w:rsidR="00AE5240" w:rsidRDefault="00AE5240" w:rsidP="00846C85">
      <w:r>
        <w:separator/>
      </w:r>
    </w:p>
  </w:endnote>
  <w:endnote w:type="continuationSeparator" w:id="0">
    <w:p w14:paraId="2C38BF5F" w14:textId="77777777" w:rsidR="00AE5240" w:rsidRDefault="00AE5240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118A" w14:textId="77777777" w:rsidR="006A1DEC" w:rsidRDefault="002A00E4">
    <w:pPr>
      <w:pStyle w:val="Footer"/>
    </w:pPr>
    <w:r>
      <w:t>Parliamentary Question 2363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CB8E5" w14:textId="77777777" w:rsidR="00AE5240" w:rsidRDefault="00AE5240" w:rsidP="00846C85">
      <w:r>
        <w:separator/>
      </w:r>
    </w:p>
  </w:footnote>
  <w:footnote w:type="continuationSeparator" w:id="0">
    <w:p w14:paraId="260CDFA6" w14:textId="77777777" w:rsidR="00AE5240" w:rsidRDefault="00AE5240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204E8"/>
    <w:multiLevelType w:val="hybridMultilevel"/>
    <w:tmpl w:val="74762FC6"/>
    <w:lvl w:ilvl="0" w:tplc="60167F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1282F"/>
    <w:multiLevelType w:val="hybridMultilevel"/>
    <w:tmpl w:val="5106AC32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4" w15:restartNumberingAfterBreak="0">
    <w:nsid w:val="36354D46"/>
    <w:multiLevelType w:val="hybridMultilevel"/>
    <w:tmpl w:val="6BF8A046"/>
    <w:lvl w:ilvl="0" w:tplc="060E975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63D30"/>
    <w:multiLevelType w:val="hybridMultilevel"/>
    <w:tmpl w:val="678AABA8"/>
    <w:lvl w:ilvl="0" w:tplc="9AC4D9A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F057DC"/>
    <w:multiLevelType w:val="hybridMultilevel"/>
    <w:tmpl w:val="504AA4DA"/>
    <w:lvl w:ilvl="0" w:tplc="D916BF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15A11"/>
    <w:multiLevelType w:val="hybridMultilevel"/>
    <w:tmpl w:val="0A0E075E"/>
    <w:lvl w:ilvl="0" w:tplc="60F40C0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6"/>
  </w:num>
  <w:num w:numId="5">
    <w:abstractNumId w:val="16"/>
  </w:num>
  <w:num w:numId="6">
    <w:abstractNumId w:val="30"/>
  </w:num>
  <w:num w:numId="7">
    <w:abstractNumId w:val="33"/>
  </w:num>
  <w:num w:numId="8">
    <w:abstractNumId w:val="13"/>
  </w:num>
  <w:num w:numId="9">
    <w:abstractNumId w:val="24"/>
  </w:num>
  <w:num w:numId="10">
    <w:abstractNumId w:val="26"/>
  </w:num>
  <w:num w:numId="11">
    <w:abstractNumId w:val="32"/>
  </w:num>
  <w:num w:numId="12">
    <w:abstractNumId w:val="31"/>
  </w:num>
  <w:num w:numId="13">
    <w:abstractNumId w:val="9"/>
  </w:num>
  <w:num w:numId="14">
    <w:abstractNumId w:val="25"/>
  </w:num>
  <w:num w:numId="15">
    <w:abstractNumId w:val="3"/>
  </w:num>
  <w:num w:numId="16">
    <w:abstractNumId w:val="19"/>
  </w:num>
  <w:num w:numId="17">
    <w:abstractNumId w:val="34"/>
  </w:num>
  <w:num w:numId="18">
    <w:abstractNumId w:val="0"/>
  </w:num>
  <w:num w:numId="19">
    <w:abstractNumId w:val="1"/>
  </w:num>
  <w:num w:numId="20">
    <w:abstractNumId w:val="10"/>
  </w:num>
  <w:num w:numId="21">
    <w:abstractNumId w:val="21"/>
  </w:num>
  <w:num w:numId="22">
    <w:abstractNumId w:val="8"/>
  </w:num>
  <w:num w:numId="23">
    <w:abstractNumId w:val="28"/>
  </w:num>
  <w:num w:numId="24">
    <w:abstractNumId w:val="22"/>
  </w:num>
  <w:num w:numId="25">
    <w:abstractNumId w:val="2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18"/>
  </w:num>
  <w:num w:numId="31">
    <w:abstractNumId w:val="29"/>
  </w:num>
  <w:num w:numId="32">
    <w:abstractNumId w:val="23"/>
  </w:num>
  <w:num w:numId="33">
    <w:abstractNumId w:val="4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20E9"/>
    <w:rsid w:val="00073208"/>
    <w:rsid w:val="0007479D"/>
    <w:rsid w:val="00090694"/>
    <w:rsid w:val="00095682"/>
    <w:rsid w:val="0010389C"/>
    <w:rsid w:val="00114ECD"/>
    <w:rsid w:val="00117DC8"/>
    <w:rsid w:val="00131AE5"/>
    <w:rsid w:val="001B295F"/>
    <w:rsid w:val="001F32C6"/>
    <w:rsid w:val="002210D2"/>
    <w:rsid w:val="00232522"/>
    <w:rsid w:val="002A00E4"/>
    <w:rsid w:val="002B7E9C"/>
    <w:rsid w:val="002C4E02"/>
    <w:rsid w:val="00333166"/>
    <w:rsid w:val="00336DF5"/>
    <w:rsid w:val="0036667D"/>
    <w:rsid w:val="003C0B2C"/>
    <w:rsid w:val="003E0724"/>
    <w:rsid w:val="004770A4"/>
    <w:rsid w:val="004B13BC"/>
    <w:rsid w:val="004F22B9"/>
    <w:rsid w:val="004F273E"/>
    <w:rsid w:val="00550289"/>
    <w:rsid w:val="00587E33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5312E"/>
    <w:rsid w:val="00765220"/>
    <w:rsid w:val="007C2FB2"/>
    <w:rsid w:val="007D4D53"/>
    <w:rsid w:val="007F081F"/>
    <w:rsid w:val="007F6757"/>
    <w:rsid w:val="00846C85"/>
    <w:rsid w:val="0086708D"/>
    <w:rsid w:val="00867267"/>
    <w:rsid w:val="0088017E"/>
    <w:rsid w:val="008839BB"/>
    <w:rsid w:val="008E2D04"/>
    <w:rsid w:val="008F5B7C"/>
    <w:rsid w:val="009D2435"/>
    <w:rsid w:val="00A14FFC"/>
    <w:rsid w:val="00A41B12"/>
    <w:rsid w:val="00A539A3"/>
    <w:rsid w:val="00A76A37"/>
    <w:rsid w:val="00AD40ED"/>
    <w:rsid w:val="00AE5240"/>
    <w:rsid w:val="00B273BC"/>
    <w:rsid w:val="00B817B1"/>
    <w:rsid w:val="00B93368"/>
    <w:rsid w:val="00C626D7"/>
    <w:rsid w:val="00CA2757"/>
    <w:rsid w:val="00CB32F9"/>
    <w:rsid w:val="00CE4B14"/>
    <w:rsid w:val="00DA4DC3"/>
    <w:rsid w:val="00DB6914"/>
    <w:rsid w:val="00DC07B0"/>
    <w:rsid w:val="00DC7A56"/>
    <w:rsid w:val="00DD42B3"/>
    <w:rsid w:val="00E0347E"/>
    <w:rsid w:val="00E06517"/>
    <w:rsid w:val="00E34D4F"/>
    <w:rsid w:val="00E84B47"/>
    <w:rsid w:val="00E93639"/>
    <w:rsid w:val="00EB5CF8"/>
    <w:rsid w:val="00EC618F"/>
    <w:rsid w:val="00ED2651"/>
    <w:rsid w:val="00ED78E0"/>
    <w:rsid w:val="00F02463"/>
    <w:rsid w:val="00F3678D"/>
    <w:rsid w:val="00F3798E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2517BA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2016-10-04T10:52:00Z</cp:lastPrinted>
  <dcterms:created xsi:type="dcterms:W3CDTF">2016-12-09T07:19:00Z</dcterms:created>
  <dcterms:modified xsi:type="dcterms:W3CDTF">2016-12-09T07:19:00Z</dcterms:modified>
</cp:coreProperties>
</file>