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0897" w14:textId="77777777" w:rsidR="00A028B0" w:rsidRDefault="00A028B0" w:rsidP="00A028B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  <w:bookmarkStart w:id="0" w:name="_GoBack"/>
      <w:bookmarkEnd w:id="0"/>
      <w:r w:rsidRPr="00B00B06">
        <w:rPr>
          <w:b/>
          <w:noProof/>
          <w:sz w:val="28"/>
          <w:szCs w:val="28"/>
          <w:lang w:val="en-ZA" w:eastAsia="en-ZA"/>
        </w:rPr>
        <w:drawing>
          <wp:anchor distT="720090" distB="215900" distL="114300" distR="114300" simplePos="0" relativeHeight="251659264" behindDoc="0" locked="1" layoutInCell="1" allowOverlap="1" wp14:anchorId="4692298F" wp14:editId="7051357A">
            <wp:simplePos x="0" y="0"/>
            <wp:positionH relativeFrom="margin">
              <wp:posOffset>1393190</wp:posOffset>
            </wp:positionH>
            <wp:positionV relativeFrom="margin">
              <wp:posOffset>-470535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65FED" w14:textId="77777777" w:rsidR="00A028B0" w:rsidRPr="00F45053" w:rsidRDefault="00A028B0" w:rsidP="00A028B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  <w:r w:rsidRPr="00F45053">
        <w:rPr>
          <w:rFonts w:ascii="Arial" w:eastAsia="Calibri" w:hAnsi="Arial" w:cs="Arial"/>
          <w:b/>
          <w:sz w:val="24"/>
          <w:szCs w:val="24"/>
          <w:lang w:val="en-ZA"/>
        </w:rPr>
        <w:t>NATIONAL ASSEMBLY</w:t>
      </w:r>
    </w:p>
    <w:p w14:paraId="0C1ABD20" w14:textId="77777777" w:rsidR="00A028B0" w:rsidRPr="00F45053" w:rsidRDefault="00A028B0" w:rsidP="00A028B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8D626AD" w14:textId="77777777" w:rsidR="00A028B0" w:rsidRPr="00F45053" w:rsidRDefault="00A028B0" w:rsidP="00A028B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  <w:r w:rsidRPr="00F45053">
        <w:rPr>
          <w:rFonts w:ascii="Arial" w:eastAsia="Calibri" w:hAnsi="Arial" w:cs="Arial"/>
          <w:b/>
          <w:sz w:val="24"/>
          <w:szCs w:val="24"/>
          <w:lang w:val="en-ZA"/>
        </w:rPr>
        <w:t>WRITTEN REPLY</w:t>
      </w:r>
    </w:p>
    <w:p w14:paraId="4A96A193" w14:textId="77777777" w:rsidR="00A028B0" w:rsidRPr="00F45053" w:rsidRDefault="00A028B0" w:rsidP="00A028B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FC15F72" w14:textId="77777777" w:rsidR="00A028B0" w:rsidRPr="00F45053" w:rsidRDefault="00A028B0" w:rsidP="00A028B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  <w:r w:rsidRPr="00F45053">
        <w:rPr>
          <w:rFonts w:ascii="Arial" w:eastAsia="Calibri" w:hAnsi="Arial" w:cs="Arial"/>
          <w:b/>
          <w:sz w:val="24"/>
          <w:szCs w:val="24"/>
          <w:lang w:val="en-ZA"/>
        </w:rPr>
        <w:t xml:space="preserve">QUESTION </w:t>
      </w:r>
      <w:r>
        <w:rPr>
          <w:rFonts w:ascii="Arial" w:eastAsia="Calibri" w:hAnsi="Arial" w:cs="Arial"/>
          <w:b/>
          <w:sz w:val="24"/>
          <w:szCs w:val="24"/>
          <w:lang w:val="en-ZA"/>
        </w:rPr>
        <w:t>2285</w:t>
      </w:r>
      <w:r w:rsidRPr="00F45053">
        <w:rPr>
          <w:rFonts w:ascii="Arial" w:eastAsia="Calibri" w:hAnsi="Arial" w:cs="Arial"/>
          <w:b/>
          <w:sz w:val="24"/>
          <w:szCs w:val="24"/>
          <w:lang w:val="en-ZA"/>
        </w:rPr>
        <w:t xml:space="preserve">/ </w:t>
      </w:r>
      <w:r w:rsidRPr="00DA5101">
        <w:rPr>
          <w:rFonts w:ascii="Arial" w:hAnsi="Arial" w:cs="Arial"/>
          <w:b/>
        </w:rPr>
        <w:t>NW</w:t>
      </w:r>
      <w:r>
        <w:rPr>
          <w:rFonts w:ascii="Arial" w:hAnsi="Arial" w:cs="Arial"/>
          <w:b/>
        </w:rPr>
        <w:t>2617</w:t>
      </w:r>
      <w:r w:rsidRPr="00DA5101">
        <w:rPr>
          <w:rFonts w:ascii="Arial" w:hAnsi="Arial" w:cs="Arial"/>
          <w:b/>
        </w:rPr>
        <w:t>E</w:t>
      </w:r>
      <w:r w:rsidRPr="00F45053">
        <w:rPr>
          <w:rFonts w:ascii="Arial" w:eastAsia="Calibri" w:hAnsi="Arial" w:cs="Arial"/>
          <w:b/>
          <w:sz w:val="24"/>
          <w:szCs w:val="24"/>
          <w:lang w:val="en-ZA"/>
        </w:rPr>
        <w:tab/>
      </w:r>
    </w:p>
    <w:p w14:paraId="08774021" w14:textId="77777777" w:rsidR="00A028B0" w:rsidRPr="00F45053" w:rsidRDefault="00A028B0" w:rsidP="00A028B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en-ZA"/>
        </w:rPr>
      </w:pPr>
    </w:p>
    <w:p w14:paraId="61E3EFCD" w14:textId="77777777" w:rsidR="00A028B0" w:rsidRPr="00F45053" w:rsidRDefault="00A028B0" w:rsidP="00A028B0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en-ZA"/>
        </w:rPr>
      </w:pPr>
      <w:r w:rsidRPr="00F45053">
        <w:rPr>
          <w:rFonts w:ascii="Arial" w:eastAsia="Calibri" w:hAnsi="Arial" w:cs="Arial"/>
          <w:b/>
          <w:color w:val="000000"/>
          <w:sz w:val="24"/>
          <w:szCs w:val="24"/>
          <w:lang w:val="en-ZA"/>
        </w:rPr>
        <w:t>MINISTER OF AGRICULTURE, FORESTRY AND FISHERIES:</w:t>
      </w:r>
    </w:p>
    <w:p w14:paraId="0073860F" w14:textId="77777777" w:rsidR="00A028B0" w:rsidRPr="00A028B0" w:rsidRDefault="00A028B0" w:rsidP="00A028B0">
      <w:pPr>
        <w:pStyle w:val="NormalWeb"/>
        <w:rPr>
          <w:rFonts w:ascii="Arial" w:hAnsi="Arial" w:cs="Arial"/>
          <w:b/>
          <w:bCs/>
          <w:lang w:val="en-ZA"/>
        </w:rPr>
      </w:pPr>
      <w:r w:rsidRPr="00A028B0">
        <w:rPr>
          <w:rFonts w:ascii="Arial" w:hAnsi="Arial" w:cs="Arial"/>
          <w:b/>
          <w:bCs/>
          <w:lang w:val="en-ZA"/>
        </w:rPr>
        <w:t>Mr D Bergman (DA) to ask the Minister of Agriculture, Forestry and Fisheries:</w:t>
      </w:r>
    </w:p>
    <w:p w14:paraId="6AEAA737" w14:textId="77777777" w:rsidR="00A028B0" w:rsidRPr="00A028B0" w:rsidRDefault="00A028B0" w:rsidP="00A028B0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en-ZA"/>
        </w:rPr>
      </w:pPr>
      <w:r w:rsidRPr="00F45053">
        <w:rPr>
          <w:rFonts w:ascii="Arial" w:eastAsia="Calibri" w:hAnsi="Arial" w:cs="Arial"/>
          <w:b/>
          <w:bCs/>
          <w:sz w:val="24"/>
          <w:szCs w:val="24"/>
          <w:u w:val="single"/>
          <w:lang w:val="en-ZA"/>
        </w:rPr>
        <w:t>QUESTION</w:t>
      </w:r>
    </w:p>
    <w:p w14:paraId="471DEAE8" w14:textId="77777777" w:rsidR="00A028B0" w:rsidRPr="00A028B0" w:rsidRDefault="00A028B0" w:rsidP="00A028B0">
      <w:pPr>
        <w:pStyle w:val="NormalWeb"/>
        <w:rPr>
          <w:rFonts w:ascii="Arial" w:hAnsi="Arial" w:cs="Arial"/>
          <w:lang w:val="en-ZA"/>
        </w:rPr>
      </w:pPr>
      <w:r w:rsidRPr="00A028B0">
        <w:rPr>
          <w:rFonts w:ascii="Arial" w:hAnsi="Arial" w:cs="Arial"/>
          <w:lang w:val="en-ZA"/>
        </w:rPr>
        <w:t>Whether any (a) internal and/or (b) external forensic reports pertaining to (</w:t>
      </w:r>
      <w:proofErr w:type="spellStart"/>
      <w:r w:rsidRPr="00A028B0">
        <w:rPr>
          <w:rFonts w:ascii="Arial" w:hAnsi="Arial" w:cs="Arial"/>
          <w:lang w:val="en-ZA"/>
        </w:rPr>
        <w:t>i</w:t>
      </w:r>
      <w:proofErr w:type="spellEnd"/>
      <w:r w:rsidRPr="00A028B0">
        <w:rPr>
          <w:rFonts w:ascii="Arial" w:hAnsi="Arial" w:cs="Arial"/>
          <w:lang w:val="en-ZA"/>
        </w:rPr>
        <w:t>) his   department and/or (ii) each entity reporting to him were completed from 1 January 2009 up to the latest specified date for which information is available; if not, in each case, why not; if so, what is the (aa) name, (bb) subject matter and (cc) date of conclusion of each of the specified forensic reports?</w:t>
      </w:r>
    </w:p>
    <w:p w14:paraId="61C9AA4F" w14:textId="77777777" w:rsidR="00A028B0" w:rsidRDefault="00A028B0" w:rsidP="00A028B0">
      <w:pPr>
        <w:pStyle w:val="NormalWeb"/>
        <w:rPr>
          <w:rFonts w:ascii="Arial" w:hAnsi="Arial" w:cs="Arial"/>
          <w:sz w:val="22"/>
          <w:szCs w:val="22"/>
          <w:lang w:val="en-ZA"/>
        </w:rPr>
      </w:pPr>
    </w:p>
    <w:p w14:paraId="10978559" w14:textId="77777777" w:rsidR="00A028B0" w:rsidRDefault="00A028B0" w:rsidP="00A028B0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en-ZA"/>
        </w:rPr>
      </w:pPr>
      <w:r w:rsidRPr="00F45053">
        <w:rPr>
          <w:rFonts w:ascii="Arial" w:eastAsia="Calibri" w:hAnsi="Arial" w:cs="Arial"/>
          <w:b/>
          <w:bCs/>
          <w:sz w:val="24"/>
          <w:szCs w:val="24"/>
          <w:u w:val="single"/>
          <w:lang w:val="en-ZA"/>
        </w:rPr>
        <w:t>REPLY</w:t>
      </w:r>
    </w:p>
    <w:p w14:paraId="1FE36959" w14:textId="77777777" w:rsidR="00A028B0" w:rsidRPr="00A028B0" w:rsidRDefault="00A028B0" w:rsidP="00A028B0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GB"/>
        </w:rPr>
      </w:pPr>
      <w:r w:rsidRPr="00A028B0">
        <w:rPr>
          <w:rFonts w:ascii="Arial" w:eastAsia="Calibri" w:hAnsi="Arial" w:cs="Arial"/>
          <w:sz w:val="24"/>
          <w:szCs w:val="24"/>
          <w:lang w:val="en-ZA" w:eastAsia="en-GB"/>
        </w:rPr>
        <w:t>KPMG conducted a forensic investigation in 2010 into the following allegations:</w:t>
      </w:r>
    </w:p>
    <w:p w14:paraId="724D2FC7" w14:textId="77777777" w:rsidR="00A028B0" w:rsidRPr="00A028B0" w:rsidRDefault="00A028B0" w:rsidP="00A028B0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GB"/>
        </w:rPr>
      </w:pPr>
      <w:r w:rsidRPr="00A028B0">
        <w:rPr>
          <w:rFonts w:ascii="Arial" w:eastAsia="Calibri" w:hAnsi="Arial" w:cs="Arial"/>
          <w:sz w:val="24"/>
          <w:szCs w:val="24"/>
          <w:lang w:val="en-ZA" w:eastAsia="en-GB"/>
        </w:rPr>
        <w:t> </w:t>
      </w:r>
    </w:p>
    <w:p w14:paraId="162EEB31" w14:textId="77777777" w:rsidR="00A028B0" w:rsidRPr="00A028B0" w:rsidRDefault="00A028B0" w:rsidP="00A028B0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GB"/>
        </w:rPr>
      </w:pPr>
      <w:r w:rsidRPr="00A028B0">
        <w:rPr>
          <w:rFonts w:ascii="Arial" w:eastAsia="Calibri" w:hAnsi="Arial" w:cs="Arial"/>
          <w:b/>
          <w:bCs/>
          <w:sz w:val="24"/>
          <w:szCs w:val="24"/>
          <w:lang w:val="en-ZA" w:eastAsia="en-GB"/>
        </w:rPr>
        <w:t>Forensic investigations by KPMG Services (Pty) Ltd. at DAFF.</w:t>
      </w:r>
    </w:p>
    <w:p w14:paraId="2101810F" w14:textId="77777777" w:rsidR="00A028B0" w:rsidRPr="00A028B0" w:rsidRDefault="00A028B0" w:rsidP="00A028B0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GB"/>
        </w:rPr>
      </w:pPr>
      <w:r w:rsidRPr="00A028B0">
        <w:rPr>
          <w:rFonts w:ascii="Arial" w:eastAsia="Calibri" w:hAnsi="Arial" w:cs="Arial"/>
          <w:sz w:val="24"/>
          <w:szCs w:val="24"/>
          <w:lang w:val="en-ZA" w:eastAsia="en-GB"/>
        </w:rPr>
        <w:t> </w:t>
      </w:r>
    </w:p>
    <w:p w14:paraId="51C0D026" w14:textId="77777777" w:rsidR="00A028B0" w:rsidRPr="00A028B0" w:rsidRDefault="00A028B0" w:rsidP="00A028B0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GB"/>
        </w:rPr>
      </w:pPr>
      <w:r w:rsidRPr="00A028B0">
        <w:rPr>
          <w:rFonts w:ascii="Arial" w:eastAsia="Calibri" w:hAnsi="Arial" w:cs="Arial"/>
          <w:sz w:val="24"/>
          <w:szCs w:val="24"/>
          <w:lang w:val="en-ZA" w:eastAsia="en-GB"/>
        </w:rPr>
        <w:t>Investigations into the following focus areas were conducted by KPMG Services (Pty) Ltd.:</w:t>
      </w:r>
    </w:p>
    <w:p w14:paraId="6CFE2861" w14:textId="77777777" w:rsidR="00A028B0" w:rsidRPr="00A028B0" w:rsidRDefault="00A028B0" w:rsidP="00A0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A028B0">
        <w:rPr>
          <w:rFonts w:ascii="Arial" w:eastAsia="Times New Roman" w:hAnsi="Arial" w:cs="Arial"/>
          <w:sz w:val="24"/>
          <w:szCs w:val="24"/>
          <w:lang w:val="en-ZA" w:eastAsia="en-GB"/>
        </w:rPr>
        <w:t>Female Farmer of the Year (Supply Chain Management process),</w:t>
      </w:r>
    </w:p>
    <w:p w14:paraId="6D6004A0" w14:textId="77777777" w:rsidR="00A028B0" w:rsidRPr="00A028B0" w:rsidRDefault="00A028B0" w:rsidP="00A0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A028B0">
        <w:rPr>
          <w:rFonts w:ascii="Arial" w:eastAsia="Times New Roman" w:hAnsi="Arial" w:cs="Arial"/>
          <w:sz w:val="24"/>
          <w:szCs w:val="24"/>
          <w:lang w:val="en-ZA" w:eastAsia="en-GB"/>
        </w:rPr>
        <w:t>Media World,</w:t>
      </w:r>
    </w:p>
    <w:p w14:paraId="179E63D7" w14:textId="77777777" w:rsidR="00A028B0" w:rsidRPr="00A028B0" w:rsidRDefault="00A028B0" w:rsidP="00A0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A028B0">
        <w:rPr>
          <w:rFonts w:ascii="Arial" w:eastAsia="Times New Roman" w:hAnsi="Arial" w:cs="Arial"/>
          <w:sz w:val="24"/>
          <w:szCs w:val="24"/>
          <w:lang w:val="en-ZA" w:eastAsia="en-GB"/>
        </w:rPr>
        <w:t>Staff appointments,</w:t>
      </w:r>
    </w:p>
    <w:p w14:paraId="3268F05F" w14:textId="77777777" w:rsidR="00A028B0" w:rsidRPr="00A028B0" w:rsidRDefault="00A028B0" w:rsidP="00A0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A028B0">
        <w:rPr>
          <w:rFonts w:ascii="Arial" w:eastAsia="Times New Roman" w:hAnsi="Arial" w:cs="Arial"/>
          <w:sz w:val="24"/>
          <w:szCs w:val="24"/>
          <w:lang w:val="en-ZA" w:eastAsia="en-GB"/>
        </w:rPr>
        <w:t>Land Care,</w:t>
      </w:r>
    </w:p>
    <w:p w14:paraId="7EDA2800" w14:textId="77777777" w:rsidR="00A028B0" w:rsidRPr="00A028B0" w:rsidRDefault="00A028B0" w:rsidP="00A0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A028B0">
        <w:rPr>
          <w:rFonts w:ascii="Arial" w:eastAsia="Times New Roman" w:hAnsi="Arial" w:cs="Arial"/>
          <w:sz w:val="24"/>
          <w:szCs w:val="24"/>
          <w:lang w:val="en-ZA" w:eastAsia="en-GB"/>
        </w:rPr>
        <w:t>Disaster Management,</w:t>
      </w:r>
    </w:p>
    <w:p w14:paraId="123D90BF" w14:textId="77777777" w:rsidR="00A028B0" w:rsidRPr="00A028B0" w:rsidRDefault="00A028B0" w:rsidP="00A0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A028B0">
        <w:rPr>
          <w:rFonts w:ascii="Arial" w:eastAsia="Times New Roman" w:hAnsi="Arial" w:cs="Arial"/>
          <w:sz w:val="24"/>
          <w:szCs w:val="24"/>
          <w:lang w:val="en-ZA" w:eastAsia="en-GB"/>
        </w:rPr>
        <w:t>Disease Management,</w:t>
      </w:r>
    </w:p>
    <w:p w14:paraId="5EE6B5E5" w14:textId="77777777" w:rsidR="00A028B0" w:rsidRPr="00A028B0" w:rsidRDefault="00A028B0" w:rsidP="00A0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A028B0">
        <w:rPr>
          <w:rFonts w:ascii="Arial" w:eastAsia="Times New Roman" w:hAnsi="Arial" w:cs="Arial"/>
          <w:sz w:val="24"/>
          <w:szCs w:val="24"/>
          <w:lang w:val="en-ZA" w:eastAsia="en-GB"/>
        </w:rPr>
        <w:t>Debt Management,</w:t>
      </w:r>
    </w:p>
    <w:p w14:paraId="53DCE91B" w14:textId="77777777" w:rsidR="00A028B0" w:rsidRPr="00A028B0" w:rsidRDefault="00A028B0" w:rsidP="00A0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A028B0">
        <w:rPr>
          <w:rFonts w:ascii="Arial" w:eastAsia="Times New Roman" w:hAnsi="Arial" w:cs="Arial"/>
          <w:sz w:val="24"/>
          <w:szCs w:val="24"/>
          <w:lang w:val="en-ZA" w:eastAsia="en-GB"/>
        </w:rPr>
        <w:t>Female Farmer of the Year (Awards Event),</w:t>
      </w:r>
    </w:p>
    <w:p w14:paraId="5CE7A59F" w14:textId="77777777" w:rsidR="00A028B0" w:rsidRPr="00A028B0" w:rsidRDefault="00A028B0" w:rsidP="00A0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A028B0">
        <w:rPr>
          <w:rFonts w:ascii="Arial" w:eastAsia="Times New Roman" w:hAnsi="Arial" w:cs="Arial"/>
          <w:sz w:val="24"/>
          <w:szCs w:val="24"/>
          <w:lang w:val="en-ZA" w:eastAsia="en-GB"/>
        </w:rPr>
        <w:t>Fruitless and Wasteful expenditure,</w:t>
      </w:r>
    </w:p>
    <w:p w14:paraId="3DC9A56B" w14:textId="77777777" w:rsidR="00A028B0" w:rsidRPr="00A028B0" w:rsidRDefault="00A028B0" w:rsidP="00A0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A028B0">
        <w:rPr>
          <w:rFonts w:ascii="Arial" w:eastAsia="Times New Roman" w:hAnsi="Arial" w:cs="Arial"/>
          <w:sz w:val="24"/>
          <w:szCs w:val="24"/>
          <w:lang w:val="en-ZA" w:eastAsia="en-GB"/>
        </w:rPr>
        <w:t>Venue hire,</w:t>
      </w:r>
    </w:p>
    <w:p w14:paraId="7BDBDFD8" w14:textId="77777777" w:rsidR="00A028B0" w:rsidRPr="00A028B0" w:rsidRDefault="00A028B0" w:rsidP="00A0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A028B0">
        <w:rPr>
          <w:rFonts w:ascii="Arial" w:eastAsia="Times New Roman" w:hAnsi="Arial" w:cs="Arial"/>
          <w:sz w:val="24"/>
          <w:szCs w:val="24"/>
          <w:lang w:val="en-ZA" w:eastAsia="en-GB"/>
        </w:rPr>
        <w:t>CASP,</w:t>
      </w:r>
    </w:p>
    <w:p w14:paraId="3D2769D7" w14:textId="77777777" w:rsidR="00A028B0" w:rsidRPr="00A028B0" w:rsidRDefault="00A028B0" w:rsidP="00A0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A028B0">
        <w:rPr>
          <w:rFonts w:ascii="Arial" w:eastAsia="Times New Roman" w:hAnsi="Arial" w:cs="Arial"/>
          <w:sz w:val="24"/>
          <w:szCs w:val="24"/>
          <w:lang w:val="en-ZA" w:eastAsia="en-GB"/>
        </w:rPr>
        <w:t>Durban Quarantine Station,</w:t>
      </w:r>
    </w:p>
    <w:p w14:paraId="2C142710" w14:textId="77777777" w:rsidR="00A028B0" w:rsidRPr="00A028B0" w:rsidRDefault="00A028B0" w:rsidP="00A0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A028B0">
        <w:rPr>
          <w:rFonts w:ascii="Arial" w:eastAsia="Times New Roman" w:hAnsi="Arial" w:cs="Arial"/>
          <w:sz w:val="24"/>
          <w:szCs w:val="24"/>
          <w:lang w:val="en-ZA" w:eastAsia="en-GB"/>
        </w:rPr>
        <w:t>Knowledge Bank,</w:t>
      </w:r>
    </w:p>
    <w:p w14:paraId="1C2B4F01" w14:textId="77777777" w:rsidR="00A028B0" w:rsidRPr="00A028B0" w:rsidRDefault="00A028B0" w:rsidP="00A0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proofErr w:type="spellStart"/>
      <w:r w:rsidRPr="00A028B0">
        <w:rPr>
          <w:rFonts w:ascii="Arial" w:eastAsia="Times New Roman" w:hAnsi="Arial" w:cs="Arial"/>
          <w:sz w:val="24"/>
          <w:szCs w:val="24"/>
          <w:lang w:val="en-ZA" w:eastAsia="en-GB"/>
        </w:rPr>
        <w:t>Ilima</w:t>
      </w:r>
      <w:proofErr w:type="spellEnd"/>
      <w:r w:rsidRPr="00A028B0">
        <w:rPr>
          <w:rFonts w:ascii="Arial" w:eastAsia="Times New Roman" w:hAnsi="Arial" w:cs="Arial"/>
          <w:sz w:val="24"/>
          <w:szCs w:val="24"/>
          <w:lang w:val="en-ZA" w:eastAsia="en-GB"/>
        </w:rPr>
        <w:t>/</w:t>
      </w:r>
      <w:proofErr w:type="spellStart"/>
      <w:r w:rsidRPr="00A028B0">
        <w:rPr>
          <w:rFonts w:ascii="Arial" w:eastAsia="Times New Roman" w:hAnsi="Arial" w:cs="Arial"/>
          <w:sz w:val="24"/>
          <w:szCs w:val="24"/>
          <w:lang w:val="en-ZA" w:eastAsia="en-GB"/>
        </w:rPr>
        <w:t>Letsema</w:t>
      </w:r>
      <w:proofErr w:type="spellEnd"/>
      <w:r w:rsidRPr="00A028B0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</w:p>
    <w:p w14:paraId="4482AA10" w14:textId="77777777" w:rsidR="00A028B0" w:rsidRPr="00A028B0" w:rsidRDefault="00A028B0" w:rsidP="00A0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A028B0">
        <w:rPr>
          <w:rFonts w:ascii="Arial" w:eastAsia="Times New Roman" w:hAnsi="Arial" w:cs="Arial"/>
          <w:sz w:val="24"/>
          <w:szCs w:val="24"/>
          <w:lang w:val="en-ZA" w:eastAsia="en-GB"/>
        </w:rPr>
        <w:t>Vehicle and Travel and Subsistence Claims, and</w:t>
      </w:r>
    </w:p>
    <w:p w14:paraId="63C2F357" w14:textId="77777777" w:rsidR="00A028B0" w:rsidRPr="00A028B0" w:rsidRDefault="00A028B0" w:rsidP="00A0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A028B0">
        <w:rPr>
          <w:rFonts w:ascii="Arial" w:eastAsia="Times New Roman" w:hAnsi="Arial" w:cs="Arial"/>
          <w:sz w:val="24"/>
          <w:szCs w:val="24"/>
          <w:lang w:val="en-ZA" w:eastAsia="en-GB"/>
        </w:rPr>
        <w:t>3P Consulting.</w:t>
      </w:r>
    </w:p>
    <w:p w14:paraId="48FE2E0A" w14:textId="77777777" w:rsidR="00A028B0" w:rsidRPr="00A028B0" w:rsidRDefault="00A028B0" w:rsidP="00A028B0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GB"/>
        </w:rPr>
      </w:pPr>
      <w:r w:rsidRPr="00A028B0">
        <w:rPr>
          <w:rFonts w:ascii="Arial" w:eastAsia="Calibri" w:hAnsi="Arial" w:cs="Arial"/>
          <w:sz w:val="24"/>
          <w:szCs w:val="24"/>
          <w:lang w:val="en-ZA" w:eastAsia="en-GB"/>
        </w:rPr>
        <w:lastRenderedPageBreak/>
        <w:t xml:space="preserve">Each focus area has its own report and conclusion and documents can be made available on request.   </w:t>
      </w:r>
    </w:p>
    <w:p w14:paraId="5A3922E1" w14:textId="77777777" w:rsidR="00A028B0" w:rsidRDefault="00A028B0" w:rsidP="00A028B0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en-ZA"/>
        </w:rPr>
      </w:pPr>
    </w:p>
    <w:p w14:paraId="5CFBE522" w14:textId="77777777" w:rsidR="00AB2C78" w:rsidRDefault="00AB2C78"/>
    <w:sectPr w:rsidR="00AB2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F62A5"/>
    <w:multiLevelType w:val="multilevel"/>
    <w:tmpl w:val="5330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B0"/>
    <w:rsid w:val="00567D89"/>
    <w:rsid w:val="00825752"/>
    <w:rsid w:val="00A028B0"/>
    <w:rsid w:val="00A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3FD4F1"/>
  <w15:docId w15:val="{D60A5B85-49F8-4351-B428-7FA2F025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8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8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Sehlabela Chuene</cp:lastModifiedBy>
  <cp:revision>2</cp:revision>
  <dcterms:created xsi:type="dcterms:W3CDTF">2016-11-09T07:26:00Z</dcterms:created>
  <dcterms:modified xsi:type="dcterms:W3CDTF">2016-11-09T07:26:00Z</dcterms:modified>
</cp:coreProperties>
</file>