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34306">
        <w:rPr>
          <w:rFonts w:ascii="Times New Roman" w:hAnsi="Times New Roman" w:cs="Times New Roman"/>
          <w:b/>
          <w:sz w:val="24"/>
          <w:szCs w:val="24"/>
        </w:rPr>
        <w:t xml:space="preserve"> 2240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A34306" w:rsidRPr="00A34306" w:rsidRDefault="00A34306" w:rsidP="00A34306">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A34306">
        <w:rPr>
          <w:rFonts w:ascii="Times New Roman" w:eastAsia="Calibri" w:hAnsi="Times New Roman" w:cs="Times New Roman"/>
          <w:b/>
          <w:noProof/>
          <w:color w:val="000000"/>
          <w:sz w:val="24"/>
          <w:szCs w:val="24"/>
          <w:lang w:val="af-ZA"/>
        </w:rPr>
        <w:t>2240.</w:t>
      </w:r>
      <w:r w:rsidRPr="00A34306">
        <w:rPr>
          <w:rFonts w:ascii="Times New Roman" w:eastAsia="Calibri" w:hAnsi="Times New Roman" w:cs="Times New Roman"/>
          <w:b/>
          <w:noProof/>
          <w:color w:val="000000"/>
          <w:sz w:val="24"/>
          <w:szCs w:val="24"/>
          <w:lang w:val="af-ZA"/>
        </w:rPr>
        <w:tab/>
        <w:t>Mr S Mokgalapa (DA) to ask the Minister of Basic Education:</w:t>
      </w:r>
    </w:p>
    <w:p w:rsidR="008B2619" w:rsidRPr="008B79F9" w:rsidRDefault="00A34306" w:rsidP="008B79F9">
      <w:pPr>
        <w:spacing w:before="100" w:beforeAutospacing="1" w:after="100" w:afterAutospacing="1" w:line="240" w:lineRule="auto"/>
        <w:ind w:left="851"/>
        <w:jc w:val="both"/>
        <w:rPr>
          <w:rFonts w:ascii="Times New Roman" w:eastAsia="Calibri" w:hAnsi="Times New Roman" w:cs="Times New Roman"/>
          <w:b/>
          <w:noProof/>
          <w:color w:val="000000"/>
          <w:sz w:val="24"/>
          <w:szCs w:val="24"/>
          <w:lang w:val="af-ZA"/>
        </w:rPr>
      </w:pPr>
      <w:r w:rsidRPr="00A34306">
        <w:rPr>
          <w:rFonts w:ascii="Times New Roman" w:eastAsia="Calibri" w:hAnsi="Times New Roman" w:cs="Times New Roman"/>
          <w:sz w:val="24"/>
          <w:szCs w:val="24"/>
        </w:rPr>
        <w:t>What are the details of the progress made on the merging of schools, including how the respective provincial education departments have assisted each merged school with (a) accommodation, (b) transport, (c) the National School Nutrition Programme and (d) any other assistance?</w:t>
      </w:r>
      <w:r w:rsidRPr="00A34306">
        <w:rPr>
          <w:rFonts w:ascii="Times New Roman" w:eastAsia="Calibri" w:hAnsi="Times New Roman" w:cs="Times New Roman"/>
          <w:sz w:val="24"/>
          <w:szCs w:val="24"/>
        </w:rPr>
        <w:tab/>
      </w:r>
      <w:r w:rsidRPr="00A34306">
        <w:rPr>
          <w:rFonts w:ascii="Times New Roman" w:eastAsia="Calibri" w:hAnsi="Times New Roman" w:cs="Times New Roman"/>
          <w:sz w:val="24"/>
          <w:szCs w:val="24"/>
        </w:rPr>
        <w:tab/>
      </w:r>
      <w:r w:rsidRPr="00A34306">
        <w:rPr>
          <w:rFonts w:ascii="Times New Roman" w:eastAsia="Calibri" w:hAnsi="Times New Roman" w:cs="Times New Roman"/>
          <w:sz w:val="24"/>
          <w:szCs w:val="24"/>
        </w:rPr>
        <w:tab/>
      </w:r>
      <w:r w:rsidRPr="00A34306">
        <w:rPr>
          <w:rFonts w:ascii="Times New Roman" w:eastAsia="Calibri" w:hAnsi="Times New Roman" w:cs="Times New Roman"/>
          <w:sz w:val="24"/>
          <w:szCs w:val="24"/>
        </w:rPr>
        <w:tab/>
      </w:r>
      <w:r w:rsidRPr="00A34306">
        <w:rPr>
          <w:rFonts w:ascii="Times New Roman" w:eastAsia="Calibri" w:hAnsi="Times New Roman" w:cs="Times New Roman"/>
          <w:sz w:val="24"/>
          <w:szCs w:val="24"/>
        </w:rPr>
        <w:tab/>
      </w:r>
      <w:r w:rsidRPr="00A34306">
        <w:rPr>
          <w:rFonts w:ascii="Times New Roman" w:eastAsia="Calibri" w:hAnsi="Times New Roman" w:cs="Times New Roman"/>
          <w:sz w:val="24"/>
          <w:szCs w:val="24"/>
        </w:rPr>
        <w:tab/>
      </w:r>
      <w:r w:rsidRPr="00A34306">
        <w:rPr>
          <w:rFonts w:ascii="Times New Roman" w:eastAsia="Calibri" w:hAnsi="Times New Roman" w:cs="Times New Roman"/>
          <w:sz w:val="20"/>
          <w:szCs w:val="20"/>
        </w:rPr>
        <w:t>NW2474E</w:t>
      </w:r>
    </w:p>
    <w:p w:rsidR="00392CF1" w:rsidRPr="00397659" w:rsidRDefault="00392CF1" w:rsidP="00392CF1">
      <w:pPr>
        <w:rPr>
          <w:rFonts w:ascii="Times New Roman" w:hAnsi="Times New Roman"/>
          <w:b/>
          <w:sz w:val="24"/>
          <w:szCs w:val="24"/>
        </w:rPr>
      </w:pPr>
      <w:r w:rsidRPr="00397659">
        <w:rPr>
          <w:rFonts w:ascii="Times New Roman" w:hAnsi="Times New Roman"/>
          <w:b/>
          <w:sz w:val="24"/>
          <w:szCs w:val="24"/>
        </w:rPr>
        <w:t>RESPONSE:</w:t>
      </w:r>
    </w:p>
    <w:p w:rsidR="00392CF1" w:rsidRPr="00397659" w:rsidRDefault="00392CF1" w:rsidP="00392CF1">
      <w:pPr>
        <w:rPr>
          <w:rFonts w:ascii="Times New Roman" w:hAnsi="Times New Roman"/>
          <w:sz w:val="24"/>
          <w:szCs w:val="24"/>
        </w:rPr>
      </w:pPr>
      <w:r w:rsidRPr="00397659">
        <w:rPr>
          <w:rFonts w:ascii="Times New Roman" w:hAnsi="Times New Roman"/>
          <w:sz w:val="24"/>
          <w:szCs w:val="24"/>
        </w:rPr>
        <w:t>The following table provides the background and summary of the progress reported by Provincial Education Departments with regards to the closing and merging of small and non-viable schools:</w:t>
      </w:r>
    </w:p>
    <w:tbl>
      <w:tblPr>
        <w:tblW w:w="808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26"/>
        <w:gridCol w:w="2018"/>
        <w:gridCol w:w="2301"/>
        <w:gridCol w:w="2235"/>
      </w:tblGrid>
      <w:tr w:rsidR="00397659" w:rsidRPr="00397659" w:rsidTr="00196E81">
        <w:trPr>
          <w:trHeight w:val="35"/>
        </w:trPr>
        <w:tc>
          <w:tcPr>
            <w:tcW w:w="1526" w:type="dxa"/>
            <w:shd w:val="clear" w:color="auto" w:fill="D9D9D9" w:themeFill="background1" w:themeFillShade="D9"/>
            <w:tcMar>
              <w:top w:w="15" w:type="dxa"/>
              <w:left w:w="108" w:type="dxa"/>
              <w:bottom w:w="0" w:type="dxa"/>
              <w:right w:w="108" w:type="dxa"/>
            </w:tcMar>
            <w:vAlign w:val="center"/>
            <w:hideMark/>
          </w:tcPr>
          <w:p w:rsidR="00392CF1" w:rsidRPr="00397659" w:rsidRDefault="00392CF1" w:rsidP="00196E81">
            <w:pPr>
              <w:spacing w:after="0" w:line="240" w:lineRule="auto"/>
              <w:rPr>
                <w:rFonts w:ascii="Arial" w:hAnsi="Arial" w:cs="Arial"/>
                <w:b/>
                <w:sz w:val="20"/>
                <w:szCs w:val="20"/>
              </w:rPr>
            </w:pPr>
            <w:r w:rsidRPr="00397659">
              <w:rPr>
                <w:rFonts w:ascii="Arial" w:hAnsi="Arial" w:cs="Arial"/>
                <w:b/>
                <w:bCs/>
                <w:sz w:val="20"/>
                <w:szCs w:val="20"/>
              </w:rPr>
              <w:t>Province</w:t>
            </w:r>
          </w:p>
        </w:tc>
        <w:tc>
          <w:tcPr>
            <w:tcW w:w="2018" w:type="dxa"/>
            <w:shd w:val="clear" w:color="auto" w:fill="D9D9D9" w:themeFill="background1" w:themeFillShade="D9"/>
            <w:tcMar>
              <w:top w:w="15" w:type="dxa"/>
              <w:left w:w="108" w:type="dxa"/>
              <w:bottom w:w="0" w:type="dxa"/>
              <w:right w:w="108" w:type="dxa"/>
            </w:tcMar>
            <w:vAlign w:val="center"/>
            <w:hideMark/>
          </w:tcPr>
          <w:p w:rsidR="00392CF1" w:rsidRPr="00397659" w:rsidRDefault="00392CF1" w:rsidP="00196E81">
            <w:pPr>
              <w:spacing w:after="0" w:line="240" w:lineRule="auto"/>
              <w:jc w:val="center"/>
              <w:rPr>
                <w:rFonts w:ascii="Arial" w:hAnsi="Arial" w:cs="Arial"/>
                <w:b/>
                <w:sz w:val="20"/>
                <w:szCs w:val="20"/>
              </w:rPr>
            </w:pPr>
            <w:r w:rsidRPr="00397659">
              <w:rPr>
                <w:rFonts w:ascii="Arial" w:hAnsi="Arial" w:cs="Arial"/>
                <w:b/>
                <w:bCs/>
                <w:sz w:val="20"/>
                <w:szCs w:val="20"/>
              </w:rPr>
              <w:t>No. of schools identified for closure</w:t>
            </w:r>
          </w:p>
        </w:tc>
        <w:tc>
          <w:tcPr>
            <w:tcW w:w="2301" w:type="dxa"/>
            <w:shd w:val="clear" w:color="auto" w:fill="D9D9D9" w:themeFill="background1" w:themeFillShade="D9"/>
            <w:tcMar>
              <w:top w:w="15" w:type="dxa"/>
              <w:left w:w="108" w:type="dxa"/>
              <w:bottom w:w="0" w:type="dxa"/>
              <w:right w:w="108" w:type="dxa"/>
            </w:tcMar>
            <w:vAlign w:val="center"/>
            <w:hideMark/>
          </w:tcPr>
          <w:p w:rsidR="00392CF1" w:rsidRPr="00397659" w:rsidRDefault="00392CF1" w:rsidP="00196E81">
            <w:pPr>
              <w:spacing w:after="0" w:line="240" w:lineRule="auto"/>
              <w:jc w:val="center"/>
              <w:rPr>
                <w:rFonts w:ascii="Arial" w:hAnsi="Arial" w:cs="Arial"/>
                <w:b/>
                <w:sz w:val="20"/>
                <w:szCs w:val="20"/>
              </w:rPr>
            </w:pPr>
            <w:r w:rsidRPr="00397659">
              <w:rPr>
                <w:rFonts w:ascii="Arial" w:hAnsi="Arial" w:cs="Arial"/>
                <w:b/>
                <w:bCs/>
                <w:sz w:val="20"/>
                <w:szCs w:val="20"/>
              </w:rPr>
              <w:t>No. of schools officially closed/ merged to date</w:t>
            </w:r>
          </w:p>
        </w:tc>
        <w:tc>
          <w:tcPr>
            <w:tcW w:w="2235" w:type="dxa"/>
            <w:shd w:val="clear" w:color="auto" w:fill="D9D9D9" w:themeFill="background1" w:themeFillShade="D9"/>
            <w:tcMar>
              <w:top w:w="15" w:type="dxa"/>
              <w:left w:w="108" w:type="dxa"/>
              <w:bottom w:w="0" w:type="dxa"/>
              <w:right w:w="108" w:type="dxa"/>
            </w:tcMar>
            <w:vAlign w:val="center"/>
            <w:hideMark/>
          </w:tcPr>
          <w:p w:rsidR="00392CF1" w:rsidRPr="00397659" w:rsidRDefault="00392CF1" w:rsidP="00196E81">
            <w:pPr>
              <w:spacing w:after="0" w:line="240" w:lineRule="auto"/>
              <w:jc w:val="center"/>
              <w:rPr>
                <w:rFonts w:ascii="Arial" w:hAnsi="Arial" w:cs="Arial"/>
                <w:b/>
                <w:sz w:val="20"/>
                <w:szCs w:val="20"/>
              </w:rPr>
            </w:pPr>
            <w:r w:rsidRPr="00397659">
              <w:rPr>
                <w:rFonts w:ascii="Arial" w:hAnsi="Arial" w:cs="Arial"/>
                <w:b/>
                <w:bCs/>
                <w:sz w:val="20"/>
                <w:szCs w:val="20"/>
              </w:rPr>
              <w:t>No. of schools in process of being closed/merged</w:t>
            </w:r>
          </w:p>
        </w:tc>
      </w:tr>
      <w:tr w:rsidR="00397659" w:rsidRPr="00397659" w:rsidTr="00196E81">
        <w:trPr>
          <w:trHeight w:val="35"/>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EC</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1 902</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0</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189</w:t>
            </w:r>
          </w:p>
        </w:tc>
      </w:tr>
      <w:tr w:rsidR="00397659" w:rsidRPr="00397659" w:rsidTr="00196E81">
        <w:trPr>
          <w:trHeight w:val="35"/>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FS</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171</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No info</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93</w:t>
            </w:r>
          </w:p>
        </w:tc>
      </w:tr>
      <w:tr w:rsidR="00397659" w:rsidRPr="00397659" w:rsidTr="00196E81">
        <w:trPr>
          <w:trHeight w:val="92"/>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GP</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126 </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 106</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20 </w:t>
            </w:r>
          </w:p>
        </w:tc>
      </w:tr>
      <w:tr w:rsidR="00397659" w:rsidRPr="00397659" w:rsidTr="00196E81">
        <w:trPr>
          <w:trHeight w:val="35"/>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KZN</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865</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171</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252</w:t>
            </w:r>
          </w:p>
        </w:tc>
      </w:tr>
      <w:tr w:rsidR="00397659" w:rsidRPr="00397659" w:rsidTr="00196E81">
        <w:trPr>
          <w:trHeight w:val="35"/>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LP</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301</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197</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53</w:t>
            </w:r>
          </w:p>
        </w:tc>
      </w:tr>
      <w:tr w:rsidR="00397659" w:rsidRPr="00397659" w:rsidTr="00196E81">
        <w:trPr>
          <w:trHeight w:val="35"/>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MP</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43</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9</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34</w:t>
            </w:r>
          </w:p>
        </w:tc>
      </w:tr>
      <w:tr w:rsidR="00397659" w:rsidRPr="00397659" w:rsidTr="00196E81">
        <w:trPr>
          <w:trHeight w:val="35"/>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NC</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57</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43</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14</w:t>
            </w:r>
          </w:p>
        </w:tc>
      </w:tr>
      <w:tr w:rsidR="00397659" w:rsidRPr="00397659" w:rsidTr="00196E81">
        <w:trPr>
          <w:trHeight w:val="35"/>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NW</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293</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233</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60</w:t>
            </w:r>
          </w:p>
        </w:tc>
      </w:tr>
      <w:tr w:rsidR="00397659" w:rsidRPr="00397659" w:rsidTr="00196E81">
        <w:trPr>
          <w:trHeight w:val="35"/>
        </w:trPr>
        <w:tc>
          <w:tcPr>
            <w:tcW w:w="1526" w:type="dxa"/>
            <w:shd w:val="clear" w:color="auto" w:fill="auto"/>
            <w:tcMar>
              <w:top w:w="15" w:type="dxa"/>
              <w:left w:w="108" w:type="dxa"/>
              <w:bottom w:w="0" w:type="dxa"/>
              <w:right w:w="108" w:type="dxa"/>
            </w:tcMar>
            <w:hideMark/>
          </w:tcPr>
          <w:p w:rsidR="00392CF1" w:rsidRPr="00397659" w:rsidRDefault="00392CF1" w:rsidP="00196E81">
            <w:pPr>
              <w:spacing w:after="0" w:line="240" w:lineRule="auto"/>
              <w:rPr>
                <w:rFonts w:ascii="Arial" w:hAnsi="Arial" w:cs="Arial"/>
                <w:sz w:val="20"/>
                <w:szCs w:val="20"/>
              </w:rPr>
            </w:pPr>
            <w:r w:rsidRPr="00397659">
              <w:rPr>
                <w:rFonts w:ascii="Arial" w:hAnsi="Arial" w:cs="Arial"/>
                <w:bCs/>
                <w:sz w:val="20"/>
                <w:szCs w:val="20"/>
              </w:rPr>
              <w:t>WC</w:t>
            </w:r>
          </w:p>
        </w:tc>
        <w:tc>
          <w:tcPr>
            <w:tcW w:w="2018"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36</w:t>
            </w:r>
          </w:p>
        </w:tc>
        <w:tc>
          <w:tcPr>
            <w:tcW w:w="2301"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35 </w:t>
            </w:r>
          </w:p>
        </w:tc>
        <w:tc>
          <w:tcPr>
            <w:tcW w:w="2235" w:type="dxa"/>
            <w:shd w:val="clear" w:color="auto" w:fill="auto"/>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sz w:val="20"/>
                <w:szCs w:val="20"/>
              </w:rPr>
            </w:pPr>
            <w:r w:rsidRPr="00397659">
              <w:rPr>
                <w:rFonts w:ascii="Arial" w:hAnsi="Arial" w:cs="Arial"/>
                <w:sz w:val="20"/>
                <w:szCs w:val="20"/>
              </w:rPr>
              <w:t>0 </w:t>
            </w:r>
          </w:p>
        </w:tc>
      </w:tr>
      <w:tr w:rsidR="00397659" w:rsidRPr="00397659" w:rsidTr="00196E81">
        <w:trPr>
          <w:trHeight w:val="45"/>
        </w:trPr>
        <w:tc>
          <w:tcPr>
            <w:tcW w:w="1526" w:type="dxa"/>
            <w:tcBorders>
              <w:bottom w:val="single" w:sz="8" w:space="0" w:color="auto"/>
            </w:tcBorders>
            <w:shd w:val="clear" w:color="auto" w:fill="D9D9D9" w:themeFill="background1" w:themeFillShade="D9"/>
            <w:tcMar>
              <w:top w:w="15" w:type="dxa"/>
              <w:left w:w="108" w:type="dxa"/>
              <w:bottom w:w="0" w:type="dxa"/>
              <w:right w:w="108" w:type="dxa"/>
            </w:tcMar>
            <w:hideMark/>
          </w:tcPr>
          <w:p w:rsidR="00392CF1" w:rsidRPr="00397659" w:rsidRDefault="00392CF1" w:rsidP="00196E81">
            <w:pPr>
              <w:spacing w:after="0" w:line="240" w:lineRule="auto"/>
              <w:rPr>
                <w:rFonts w:ascii="Arial" w:hAnsi="Arial" w:cs="Arial"/>
                <w:b/>
                <w:sz w:val="20"/>
                <w:szCs w:val="20"/>
              </w:rPr>
            </w:pPr>
            <w:r w:rsidRPr="00397659">
              <w:rPr>
                <w:rFonts w:ascii="Arial" w:hAnsi="Arial" w:cs="Arial"/>
                <w:b/>
                <w:bCs/>
                <w:sz w:val="20"/>
                <w:szCs w:val="20"/>
              </w:rPr>
              <w:t>TOTAL</w:t>
            </w:r>
          </w:p>
        </w:tc>
        <w:tc>
          <w:tcPr>
            <w:tcW w:w="2018" w:type="dxa"/>
            <w:tcBorders>
              <w:bottom w:val="single" w:sz="8" w:space="0" w:color="auto"/>
            </w:tcBorders>
            <w:shd w:val="clear" w:color="auto" w:fill="D9D9D9" w:themeFill="background1" w:themeFillShade="D9"/>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b/>
                <w:sz w:val="20"/>
                <w:szCs w:val="20"/>
              </w:rPr>
            </w:pPr>
            <w:r w:rsidRPr="00397659">
              <w:rPr>
                <w:rFonts w:ascii="Arial" w:hAnsi="Arial" w:cs="Arial"/>
                <w:b/>
                <w:bCs/>
                <w:sz w:val="20"/>
                <w:szCs w:val="20"/>
              </w:rPr>
              <w:t>3 668</w:t>
            </w:r>
          </w:p>
        </w:tc>
        <w:tc>
          <w:tcPr>
            <w:tcW w:w="2301" w:type="dxa"/>
            <w:tcBorders>
              <w:bottom w:val="single" w:sz="8" w:space="0" w:color="auto"/>
            </w:tcBorders>
            <w:shd w:val="clear" w:color="auto" w:fill="D9D9D9" w:themeFill="background1" w:themeFillShade="D9"/>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b/>
                <w:sz w:val="20"/>
                <w:szCs w:val="20"/>
              </w:rPr>
            </w:pPr>
            <w:r w:rsidRPr="00397659">
              <w:rPr>
                <w:rFonts w:ascii="Arial" w:hAnsi="Arial" w:cs="Arial"/>
                <w:b/>
                <w:bCs/>
                <w:sz w:val="20"/>
                <w:szCs w:val="20"/>
              </w:rPr>
              <w:t>653</w:t>
            </w:r>
          </w:p>
        </w:tc>
        <w:tc>
          <w:tcPr>
            <w:tcW w:w="2235" w:type="dxa"/>
            <w:tcBorders>
              <w:bottom w:val="single" w:sz="8" w:space="0" w:color="auto"/>
            </w:tcBorders>
            <w:shd w:val="clear" w:color="auto" w:fill="D9D9D9" w:themeFill="background1" w:themeFillShade="D9"/>
            <w:tcMar>
              <w:top w:w="15" w:type="dxa"/>
              <w:left w:w="108" w:type="dxa"/>
              <w:bottom w:w="0" w:type="dxa"/>
              <w:right w:w="108" w:type="dxa"/>
            </w:tcMar>
            <w:vAlign w:val="center"/>
            <w:hideMark/>
          </w:tcPr>
          <w:p w:rsidR="00392CF1" w:rsidRPr="00397659" w:rsidRDefault="00392CF1" w:rsidP="00196E81">
            <w:pPr>
              <w:spacing w:after="0" w:line="240" w:lineRule="auto"/>
              <w:jc w:val="right"/>
              <w:rPr>
                <w:rFonts w:ascii="Arial" w:hAnsi="Arial" w:cs="Arial"/>
                <w:b/>
                <w:sz w:val="20"/>
                <w:szCs w:val="20"/>
              </w:rPr>
            </w:pPr>
            <w:r w:rsidRPr="00397659">
              <w:rPr>
                <w:rFonts w:ascii="Arial" w:hAnsi="Arial" w:cs="Arial"/>
                <w:b/>
                <w:bCs/>
                <w:sz w:val="20"/>
                <w:szCs w:val="20"/>
              </w:rPr>
              <w:t>695</w:t>
            </w:r>
          </w:p>
        </w:tc>
      </w:tr>
      <w:tr w:rsidR="00397659" w:rsidRPr="00397659" w:rsidTr="00196E81">
        <w:trPr>
          <w:trHeight w:val="45"/>
        </w:trPr>
        <w:tc>
          <w:tcPr>
            <w:tcW w:w="8080" w:type="dxa"/>
            <w:gridSpan w:val="4"/>
            <w:tcBorders>
              <w:left w:val="nil"/>
              <w:bottom w:val="nil"/>
              <w:right w:val="nil"/>
            </w:tcBorders>
            <w:shd w:val="clear" w:color="auto" w:fill="auto"/>
            <w:tcMar>
              <w:top w:w="15" w:type="dxa"/>
              <w:left w:w="108" w:type="dxa"/>
              <w:bottom w:w="0" w:type="dxa"/>
              <w:right w:w="108" w:type="dxa"/>
            </w:tcMar>
          </w:tcPr>
          <w:p w:rsidR="00392CF1" w:rsidRPr="00397659" w:rsidRDefault="00392CF1" w:rsidP="00196E81">
            <w:pPr>
              <w:spacing w:after="0" w:line="240" w:lineRule="auto"/>
              <w:rPr>
                <w:rFonts w:ascii="Arial" w:hAnsi="Arial" w:cs="Arial"/>
                <w:bCs/>
                <w:i/>
                <w:sz w:val="16"/>
                <w:szCs w:val="16"/>
              </w:rPr>
            </w:pPr>
            <w:r w:rsidRPr="00397659">
              <w:rPr>
                <w:rFonts w:ascii="Arial" w:hAnsi="Arial" w:cs="Arial"/>
                <w:bCs/>
                <w:i/>
                <w:sz w:val="16"/>
                <w:szCs w:val="16"/>
              </w:rPr>
              <w:t>Source: PEDs</w:t>
            </w:r>
          </w:p>
          <w:p w:rsidR="00392CF1" w:rsidRPr="00397659" w:rsidRDefault="00392CF1" w:rsidP="00196E81">
            <w:pPr>
              <w:spacing w:after="0" w:line="240" w:lineRule="auto"/>
              <w:rPr>
                <w:rFonts w:ascii="Arial" w:hAnsi="Arial" w:cs="Arial"/>
                <w:bCs/>
                <w:i/>
                <w:sz w:val="16"/>
                <w:szCs w:val="16"/>
              </w:rPr>
            </w:pPr>
          </w:p>
        </w:tc>
      </w:tr>
    </w:tbl>
    <w:p w:rsidR="00392CF1" w:rsidRPr="00397659" w:rsidRDefault="00392CF1" w:rsidP="00392CF1">
      <w:pPr>
        <w:ind w:left="567" w:hanging="567"/>
        <w:jc w:val="both"/>
        <w:rPr>
          <w:rFonts w:ascii="Times New Roman" w:hAnsi="Times New Roman" w:cs="Times New Roman"/>
          <w:sz w:val="24"/>
          <w:szCs w:val="24"/>
        </w:rPr>
      </w:pPr>
      <w:r w:rsidRPr="00397659">
        <w:rPr>
          <w:rFonts w:ascii="Times New Roman" w:hAnsi="Times New Roman" w:cs="Times New Roman"/>
          <w:sz w:val="24"/>
          <w:szCs w:val="24"/>
        </w:rPr>
        <w:t>(a)</w:t>
      </w:r>
      <w:r w:rsidRPr="00397659">
        <w:rPr>
          <w:rFonts w:ascii="Times New Roman" w:hAnsi="Times New Roman" w:cs="Times New Roman"/>
          <w:sz w:val="24"/>
          <w:szCs w:val="24"/>
        </w:rPr>
        <w:tab/>
        <w:t>Provincial Departments of Education ensure that all the necessary</w:t>
      </w:r>
      <w:r w:rsidRPr="00397659">
        <w:rPr>
          <w:rFonts w:ascii="Times New Roman" w:hAnsi="Times New Roman" w:cs="Times New Roman"/>
          <w:b/>
          <w:sz w:val="24"/>
          <w:szCs w:val="24"/>
        </w:rPr>
        <w:t xml:space="preserve"> </w:t>
      </w:r>
      <w:r w:rsidRPr="00397659">
        <w:rPr>
          <w:rFonts w:ascii="Times New Roman" w:hAnsi="Times New Roman" w:cs="Times New Roman"/>
          <w:sz w:val="24"/>
          <w:szCs w:val="24"/>
        </w:rPr>
        <w:t>infrastructure provisions are made at the Host School to accommodate the additional learners and members of staff from the schools earmarked for closure or Re-aligned Schools.</w:t>
      </w:r>
    </w:p>
    <w:p w:rsidR="00392CF1" w:rsidRPr="00397659" w:rsidRDefault="00392CF1" w:rsidP="00392CF1">
      <w:pPr>
        <w:ind w:left="567" w:hanging="567"/>
        <w:jc w:val="both"/>
        <w:rPr>
          <w:rFonts w:ascii="Times New Roman" w:hAnsi="Times New Roman"/>
          <w:sz w:val="24"/>
          <w:szCs w:val="24"/>
        </w:rPr>
      </w:pPr>
      <w:r w:rsidRPr="00397659">
        <w:rPr>
          <w:rFonts w:ascii="Times New Roman" w:hAnsi="Times New Roman"/>
          <w:sz w:val="24"/>
          <w:szCs w:val="24"/>
        </w:rPr>
        <w:t>(b)</w:t>
      </w:r>
      <w:r w:rsidRPr="00397659">
        <w:rPr>
          <w:rFonts w:ascii="Times New Roman" w:hAnsi="Times New Roman"/>
          <w:sz w:val="24"/>
          <w:szCs w:val="24"/>
        </w:rPr>
        <w:tab/>
        <w:t xml:space="preserve">It is part of the process in the planning for the merger of schools that the learner transport needs are identified and referred to the relevant section for implementation when all the processes have been concluded. In cases where the function is with the Provincial Department of Transport (PDOT), the needs are submitted to PDOT for implementation. </w:t>
      </w:r>
    </w:p>
    <w:p w:rsidR="00392CF1" w:rsidRDefault="00392CF1" w:rsidP="00392CF1">
      <w:pPr>
        <w:ind w:left="567" w:hanging="567"/>
        <w:rPr>
          <w:rFonts w:ascii="Times New Roman" w:hAnsi="Times New Roman"/>
          <w:sz w:val="24"/>
          <w:szCs w:val="24"/>
        </w:rPr>
      </w:pPr>
      <w:r w:rsidRPr="00397659">
        <w:rPr>
          <w:rFonts w:ascii="Times New Roman" w:hAnsi="Times New Roman"/>
          <w:sz w:val="24"/>
          <w:szCs w:val="24"/>
        </w:rPr>
        <w:t>(c)     National School Nutrition Programme funds follow learners in merged schools.</w:t>
      </w:r>
    </w:p>
    <w:p w:rsidR="006B13DF" w:rsidRPr="00397659" w:rsidRDefault="006B13DF" w:rsidP="00392CF1">
      <w:pPr>
        <w:ind w:left="567" w:hanging="567"/>
        <w:rPr>
          <w:rFonts w:ascii="Times New Roman" w:hAnsi="Times New Roman"/>
          <w:sz w:val="24"/>
          <w:szCs w:val="24"/>
        </w:rPr>
      </w:pPr>
      <w:r>
        <w:rPr>
          <w:rFonts w:ascii="Times New Roman" w:hAnsi="Times New Roman"/>
          <w:sz w:val="24"/>
          <w:szCs w:val="24"/>
        </w:rPr>
        <w:t xml:space="preserve">(d) The Provincial Education Departments are also providing support to schools in terms of school finance. Funding for the school allocation follows the learners. </w:t>
      </w:r>
      <w:bookmarkStart w:id="0" w:name="_GoBack"/>
      <w:bookmarkEnd w:id="0"/>
    </w:p>
    <w:sectPr w:rsidR="006B13DF" w:rsidRPr="0039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51D0"/>
    <w:rsid w:val="00015890"/>
    <w:rsid w:val="0005396A"/>
    <w:rsid w:val="000A2AAC"/>
    <w:rsid w:val="000C6DB7"/>
    <w:rsid w:val="000D4D43"/>
    <w:rsid w:val="00107FEC"/>
    <w:rsid w:val="001363D0"/>
    <w:rsid w:val="001415B1"/>
    <w:rsid w:val="00170990"/>
    <w:rsid w:val="00183BCF"/>
    <w:rsid w:val="0020126E"/>
    <w:rsid w:val="00226801"/>
    <w:rsid w:val="00236728"/>
    <w:rsid w:val="0025587B"/>
    <w:rsid w:val="0027063B"/>
    <w:rsid w:val="00281D19"/>
    <w:rsid w:val="002C32A6"/>
    <w:rsid w:val="002D630C"/>
    <w:rsid w:val="00310F5F"/>
    <w:rsid w:val="00341226"/>
    <w:rsid w:val="00343876"/>
    <w:rsid w:val="00360E26"/>
    <w:rsid w:val="0037043F"/>
    <w:rsid w:val="00392CF1"/>
    <w:rsid w:val="00397659"/>
    <w:rsid w:val="003B39A7"/>
    <w:rsid w:val="003F26D9"/>
    <w:rsid w:val="00400D7D"/>
    <w:rsid w:val="00405587"/>
    <w:rsid w:val="00445162"/>
    <w:rsid w:val="00445915"/>
    <w:rsid w:val="004532C0"/>
    <w:rsid w:val="004800C3"/>
    <w:rsid w:val="004A2F02"/>
    <w:rsid w:val="004B34AC"/>
    <w:rsid w:val="004E39FB"/>
    <w:rsid w:val="005676F7"/>
    <w:rsid w:val="00570560"/>
    <w:rsid w:val="005827AF"/>
    <w:rsid w:val="0059663A"/>
    <w:rsid w:val="005C4AB6"/>
    <w:rsid w:val="00607436"/>
    <w:rsid w:val="00613299"/>
    <w:rsid w:val="00613631"/>
    <w:rsid w:val="00615A3B"/>
    <w:rsid w:val="00666324"/>
    <w:rsid w:val="00667A76"/>
    <w:rsid w:val="00692B11"/>
    <w:rsid w:val="006B13DF"/>
    <w:rsid w:val="006C1F10"/>
    <w:rsid w:val="006D7B63"/>
    <w:rsid w:val="006F297B"/>
    <w:rsid w:val="00720CC4"/>
    <w:rsid w:val="007A4190"/>
    <w:rsid w:val="007F25CB"/>
    <w:rsid w:val="00813B82"/>
    <w:rsid w:val="00830D56"/>
    <w:rsid w:val="00830FC7"/>
    <w:rsid w:val="00833C4A"/>
    <w:rsid w:val="00836FDD"/>
    <w:rsid w:val="00857A1D"/>
    <w:rsid w:val="008B2619"/>
    <w:rsid w:val="008B79F9"/>
    <w:rsid w:val="008E742B"/>
    <w:rsid w:val="009434F5"/>
    <w:rsid w:val="00975403"/>
    <w:rsid w:val="009B6115"/>
    <w:rsid w:val="009C2773"/>
    <w:rsid w:val="009D302C"/>
    <w:rsid w:val="00A20079"/>
    <w:rsid w:val="00A34306"/>
    <w:rsid w:val="00A451EB"/>
    <w:rsid w:val="00A603D7"/>
    <w:rsid w:val="00A62005"/>
    <w:rsid w:val="00A666AB"/>
    <w:rsid w:val="00AE1828"/>
    <w:rsid w:val="00B6783D"/>
    <w:rsid w:val="00B81D4D"/>
    <w:rsid w:val="00BA5E37"/>
    <w:rsid w:val="00C00DC4"/>
    <w:rsid w:val="00C90C8F"/>
    <w:rsid w:val="00CE34C8"/>
    <w:rsid w:val="00D13D42"/>
    <w:rsid w:val="00D34C31"/>
    <w:rsid w:val="00D6328E"/>
    <w:rsid w:val="00D713FC"/>
    <w:rsid w:val="00D9276C"/>
    <w:rsid w:val="00D927EA"/>
    <w:rsid w:val="00D94B1F"/>
    <w:rsid w:val="00D97E99"/>
    <w:rsid w:val="00E34908"/>
    <w:rsid w:val="00E67F6F"/>
    <w:rsid w:val="00EA485B"/>
    <w:rsid w:val="00EC7032"/>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61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14</cp:revision>
  <dcterms:created xsi:type="dcterms:W3CDTF">2017-08-07T04:45:00Z</dcterms:created>
  <dcterms:modified xsi:type="dcterms:W3CDTF">2017-09-18T04:41:00Z</dcterms:modified>
</cp:coreProperties>
</file>