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B37FB" w14:textId="77777777" w:rsidR="00E95BCE" w:rsidRPr="00E95BCE" w:rsidRDefault="00E95BCE" w:rsidP="00E95BCE">
      <w:pPr>
        <w:spacing w:after="0" w:line="240" w:lineRule="auto"/>
        <w:rPr>
          <w:rFonts w:ascii="Arial" w:eastAsia="Calibri" w:hAnsi="Arial" w:cs="Arial"/>
          <w:b/>
          <w:sz w:val="20"/>
          <w:szCs w:val="20"/>
          <w:lang w:val="en-ZA"/>
        </w:rPr>
      </w:pPr>
      <w:bookmarkStart w:id="0" w:name="_GoBack"/>
      <w:bookmarkEnd w:id="0"/>
      <w:r w:rsidRPr="00E95BCE">
        <w:rPr>
          <w:rFonts w:ascii="Arial" w:eastAsia="Calibri" w:hAnsi="Arial" w:cs="Arial"/>
          <w:b/>
          <w:noProof/>
          <w:sz w:val="20"/>
          <w:szCs w:val="20"/>
          <w:lang w:val="en-ZA" w:eastAsia="en-ZA"/>
        </w:rPr>
        <w:drawing>
          <wp:anchor distT="720090" distB="215900" distL="114300" distR="114300" simplePos="0" relativeHeight="251659264" behindDoc="0" locked="1" layoutInCell="1" allowOverlap="1" wp14:anchorId="739CF95A" wp14:editId="6816E6F5">
            <wp:simplePos x="0" y="0"/>
            <wp:positionH relativeFrom="margin">
              <wp:posOffset>1240790</wp:posOffset>
            </wp:positionH>
            <wp:positionV relativeFrom="margin">
              <wp:posOffset>-622935</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AFF unit_RGB_26mm height_satu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9F4298" w14:textId="77777777" w:rsidR="00E95BCE" w:rsidRPr="00E95BCE" w:rsidRDefault="00E95BCE" w:rsidP="00E95BCE">
      <w:pPr>
        <w:spacing w:after="0" w:line="240" w:lineRule="auto"/>
        <w:jc w:val="center"/>
        <w:rPr>
          <w:rFonts w:ascii="Arial" w:eastAsia="Calibri" w:hAnsi="Arial" w:cs="Arial"/>
          <w:b/>
          <w:sz w:val="20"/>
          <w:szCs w:val="20"/>
          <w:lang w:val="en-ZA"/>
        </w:rPr>
      </w:pPr>
    </w:p>
    <w:p w14:paraId="5CCA93B7" w14:textId="77777777" w:rsidR="00E95BCE" w:rsidRPr="00E95BCE" w:rsidRDefault="00E95BCE" w:rsidP="00E95BCE">
      <w:pPr>
        <w:spacing w:after="0" w:line="240" w:lineRule="auto"/>
        <w:jc w:val="center"/>
        <w:rPr>
          <w:rFonts w:ascii="Arial" w:eastAsia="Calibri" w:hAnsi="Arial" w:cs="Arial"/>
          <w:b/>
          <w:sz w:val="20"/>
          <w:szCs w:val="20"/>
          <w:lang w:val="en-ZA"/>
        </w:rPr>
      </w:pPr>
      <w:r w:rsidRPr="00E95BCE">
        <w:rPr>
          <w:rFonts w:ascii="Arial" w:eastAsia="Calibri" w:hAnsi="Arial" w:cs="Arial"/>
          <w:b/>
          <w:sz w:val="20"/>
          <w:szCs w:val="20"/>
          <w:lang w:val="en-ZA"/>
        </w:rPr>
        <w:t>NATIONAL ASSEMBLY</w:t>
      </w:r>
    </w:p>
    <w:p w14:paraId="6291ACCB" w14:textId="77777777" w:rsidR="00E95BCE" w:rsidRPr="00E95BCE" w:rsidRDefault="00E95BCE" w:rsidP="00E95BCE">
      <w:pPr>
        <w:spacing w:after="0" w:line="240" w:lineRule="auto"/>
        <w:jc w:val="center"/>
        <w:rPr>
          <w:rFonts w:ascii="Arial" w:eastAsia="Calibri" w:hAnsi="Arial" w:cs="Arial"/>
          <w:b/>
          <w:sz w:val="20"/>
          <w:szCs w:val="20"/>
          <w:lang w:val="en-ZA"/>
        </w:rPr>
      </w:pPr>
    </w:p>
    <w:p w14:paraId="099ED55F" w14:textId="77777777" w:rsidR="00E95BCE" w:rsidRPr="00E95BCE" w:rsidRDefault="00E95BCE" w:rsidP="00E95BCE">
      <w:pPr>
        <w:spacing w:after="0" w:line="240" w:lineRule="auto"/>
        <w:jc w:val="center"/>
        <w:rPr>
          <w:rFonts w:ascii="Arial" w:eastAsia="Calibri" w:hAnsi="Arial" w:cs="Arial"/>
          <w:b/>
          <w:sz w:val="20"/>
          <w:szCs w:val="20"/>
          <w:lang w:val="en-ZA"/>
        </w:rPr>
      </w:pPr>
      <w:r w:rsidRPr="00E95BCE">
        <w:rPr>
          <w:rFonts w:ascii="Arial" w:eastAsia="Calibri" w:hAnsi="Arial" w:cs="Arial"/>
          <w:b/>
          <w:sz w:val="20"/>
          <w:szCs w:val="20"/>
          <w:lang w:val="en-ZA"/>
        </w:rPr>
        <w:t>WRITTEN REPLY</w:t>
      </w:r>
    </w:p>
    <w:p w14:paraId="2D6C4706" w14:textId="77777777" w:rsidR="00E95BCE" w:rsidRPr="00E95BCE" w:rsidRDefault="00E95BCE" w:rsidP="00E95BCE">
      <w:pPr>
        <w:spacing w:after="0" w:line="240" w:lineRule="auto"/>
        <w:jc w:val="center"/>
        <w:rPr>
          <w:rFonts w:ascii="Arial" w:eastAsia="Calibri" w:hAnsi="Arial" w:cs="Arial"/>
          <w:b/>
          <w:sz w:val="20"/>
          <w:szCs w:val="20"/>
          <w:lang w:val="en-ZA"/>
        </w:rPr>
      </w:pPr>
    </w:p>
    <w:p w14:paraId="2DED7CC9" w14:textId="77777777" w:rsidR="00E95BCE" w:rsidRPr="00E95BCE" w:rsidRDefault="00E95BCE" w:rsidP="00E95BCE">
      <w:pPr>
        <w:spacing w:after="0" w:line="240" w:lineRule="auto"/>
        <w:jc w:val="center"/>
        <w:rPr>
          <w:rFonts w:ascii="Arial" w:eastAsia="Calibri" w:hAnsi="Arial" w:cs="Arial"/>
          <w:b/>
          <w:sz w:val="20"/>
          <w:szCs w:val="20"/>
          <w:lang w:val="en-ZA"/>
        </w:rPr>
      </w:pPr>
      <w:r w:rsidRPr="00E95BCE">
        <w:rPr>
          <w:rFonts w:ascii="Arial" w:eastAsia="Calibri" w:hAnsi="Arial" w:cs="Arial"/>
          <w:b/>
          <w:sz w:val="20"/>
          <w:szCs w:val="20"/>
          <w:lang w:val="en-ZA"/>
        </w:rPr>
        <w:t xml:space="preserve">QUESTION </w:t>
      </w:r>
      <w:r w:rsidR="00025136">
        <w:rPr>
          <w:rFonts w:ascii="Arial" w:eastAsia="Calibri" w:hAnsi="Arial" w:cs="Arial"/>
          <w:b/>
          <w:sz w:val="20"/>
          <w:szCs w:val="20"/>
          <w:lang w:val="en-ZA"/>
        </w:rPr>
        <w:t>2046</w:t>
      </w:r>
      <w:r w:rsidRPr="00E95BCE">
        <w:rPr>
          <w:rFonts w:ascii="Arial" w:eastAsia="Calibri" w:hAnsi="Arial" w:cs="Arial"/>
          <w:b/>
          <w:sz w:val="20"/>
          <w:szCs w:val="20"/>
          <w:lang w:val="en-ZA"/>
        </w:rPr>
        <w:t xml:space="preserve"> / </w:t>
      </w:r>
      <w:r w:rsidRPr="00E95BCE">
        <w:rPr>
          <w:rFonts w:ascii="Arial" w:eastAsia="Calibri" w:hAnsi="Arial" w:cs="Arial"/>
          <w:b/>
          <w:sz w:val="20"/>
          <w:szCs w:val="20"/>
          <w:lang w:val="af-ZA"/>
        </w:rPr>
        <w:t>NW</w:t>
      </w:r>
      <w:r w:rsidR="00025136">
        <w:rPr>
          <w:rFonts w:ascii="Arial" w:eastAsia="Calibri" w:hAnsi="Arial" w:cs="Arial"/>
          <w:b/>
          <w:sz w:val="20"/>
          <w:szCs w:val="20"/>
          <w:lang w:val="af-ZA"/>
        </w:rPr>
        <w:t>2357</w:t>
      </w:r>
      <w:r w:rsidRPr="00E95BCE">
        <w:rPr>
          <w:rFonts w:ascii="Arial" w:eastAsia="Calibri" w:hAnsi="Arial" w:cs="Arial"/>
          <w:b/>
          <w:sz w:val="20"/>
          <w:szCs w:val="20"/>
          <w:lang w:val="af-ZA"/>
        </w:rPr>
        <w:t>E</w:t>
      </w:r>
      <w:r w:rsidRPr="00E95BCE">
        <w:rPr>
          <w:rFonts w:ascii="Arial" w:eastAsia="Calibri" w:hAnsi="Arial" w:cs="Arial"/>
          <w:b/>
          <w:sz w:val="20"/>
          <w:szCs w:val="20"/>
          <w:lang w:val="en-ZA"/>
        </w:rPr>
        <w:tab/>
      </w:r>
    </w:p>
    <w:p w14:paraId="0AD8E910" w14:textId="77777777" w:rsidR="00E95BCE" w:rsidRPr="00E95BCE" w:rsidRDefault="00E95BCE" w:rsidP="00E95BCE">
      <w:pPr>
        <w:spacing w:after="0" w:line="240" w:lineRule="auto"/>
        <w:jc w:val="center"/>
        <w:rPr>
          <w:rFonts w:ascii="Arial" w:eastAsia="Calibri" w:hAnsi="Arial" w:cs="Arial"/>
          <w:b/>
          <w:color w:val="000000"/>
          <w:sz w:val="20"/>
          <w:szCs w:val="20"/>
          <w:lang w:val="en-ZA"/>
        </w:rPr>
      </w:pPr>
    </w:p>
    <w:p w14:paraId="3E71CD93" w14:textId="77777777" w:rsidR="00E95BCE" w:rsidRPr="00E95BCE" w:rsidRDefault="00E95BCE" w:rsidP="00E95BCE">
      <w:pPr>
        <w:autoSpaceDE w:val="0"/>
        <w:autoSpaceDN w:val="0"/>
        <w:adjustRightInd w:val="0"/>
        <w:spacing w:after="120" w:line="360" w:lineRule="auto"/>
        <w:jc w:val="center"/>
        <w:rPr>
          <w:rFonts w:ascii="Arial" w:eastAsia="Calibri" w:hAnsi="Arial" w:cs="Arial"/>
          <w:b/>
          <w:color w:val="000000"/>
          <w:sz w:val="20"/>
          <w:szCs w:val="20"/>
          <w:lang w:val="en-ZA"/>
        </w:rPr>
      </w:pPr>
      <w:r w:rsidRPr="00E95BCE">
        <w:rPr>
          <w:rFonts w:ascii="Arial" w:eastAsia="Calibri" w:hAnsi="Arial" w:cs="Arial"/>
          <w:b/>
          <w:color w:val="000000"/>
          <w:sz w:val="20"/>
          <w:szCs w:val="20"/>
          <w:lang w:val="en-ZA"/>
        </w:rPr>
        <w:t>MINISTER OF AGRICULTURE, FORESTRY AND FISHERIES:</w:t>
      </w:r>
    </w:p>
    <w:tbl>
      <w:tblPr>
        <w:tblW w:w="8222" w:type="dxa"/>
        <w:jc w:val="center"/>
        <w:tblCellMar>
          <w:top w:w="57" w:type="dxa"/>
          <w:left w:w="0" w:type="dxa"/>
          <w:bottom w:w="57" w:type="dxa"/>
          <w:right w:w="0" w:type="dxa"/>
        </w:tblCellMar>
        <w:tblLook w:val="0000" w:firstRow="0" w:lastRow="0" w:firstColumn="0" w:lastColumn="0" w:noHBand="0" w:noVBand="0"/>
      </w:tblPr>
      <w:tblGrid>
        <w:gridCol w:w="8222"/>
      </w:tblGrid>
      <w:tr w:rsidR="00E95BCE" w:rsidRPr="00E95BCE" w14:paraId="21F1F8AC" w14:textId="77777777" w:rsidTr="00322CDD">
        <w:trPr>
          <w:cantSplit/>
          <w:trHeight w:val="20"/>
          <w:jc w:val="center"/>
        </w:trPr>
        <w:tc>
          <w:tcPr>
            <w:tcW w:w="6276" w:type="dxa"/>
            <w:vAlign w:val="center"/>
          </w:tcPr>
          <w:p w14:paraId="2EE8542C" w14:textId="77777777" w:rsidR="00E95BCE" w:rsidRPr="00E95BCE" w:rsidRDefault="00025136" w:rsidP="00E95BCE">
            <w:pPr>
              <w:spacing w:after="0" w:line="240" w:lineRule="auto"/>
              <w:jc w:val="center"/>
              <w:rPr>
                <w:rFonts w:ascii="Arial" w:eastAsia="Calibri" w:hAnsi="Arial" w:cs="Arial"/>
                <w:sz w:val="20"/>
                <w:szCs w:val="20"/>
                <w:lang w:val="en-ZA"/>
              </w:rPr>
            </w:pPr>
            <w:r w:rsidRPr="00025136">
              <w:rPr>
                <w:rFonts w:ascii="Arial" w:eastAsia="Calibri" w:hAnsi="Arial" w:cs="Arial"/>
                <w:b/>
                <w:sz w:val="20"/>
                <w:szCs w:val="20"/>
                <w:lang w:val="en-ZA"/>
              </w:rPr>
              <w:t xml:space="preserve">MR A M FIGLAN (DA) </w:t>
            </w:r>
            <w:r w:rsidR="00E95BCE" w:rsidRPr="00E95BCE">
              <w:rPr>
                <w:rFonts w:ascii="Arial" w:eastAsia="Calibri" w:hAnsi="Arial" w:cs="Arial"/>
                <w:b/>
                <w:bCs/>
                <w:sz w:val="20"/>
                <w:szCs w:val="20"/>
                <w:lang w:val="en-ZA"/>
              </w:rPr>
              <w:t>TO ASK THE MINISTER OF AGRICULTURE, FORESTRY AND FISHERIES</w:t>
            </w:r>
          </w:p>
        </w:tc>
      </w:tr>
    </w:tbl>
    <w:p w14:paraId="5ADDAC69" w14:textId="77777777" w:rsidR="000363B7" w:rsidRDefault="00DA0918"/>
    <w:p w14:paraId="052C0E64" w14:textId="77777777" w:rsidR="00E95BCE" w:rsidRPr="00E95BCE" w:rsidRDefault="00E95BCE" w:rsidP="00E95BCE">
      <w:pPr>
        <w:spacing w:before="100" w:beforeAutospacing="1" w:after="100" w:afterAutospacing="1" w:line="360" w:lineRule="auto"/>
        <w:jc w:val="both"/>
        <w:rPr>
          <w:rFonts w:ascii="Arial" w:eastAsia="Calibri" w:hAnsi="Arial" w:cs="Arial"/>
          <w:b/>
          <w:bCs/>
          <w:sz w:val="20"/>
          <w:szCs w:val="20"/>
        </w:rPr>
      </w:pPr>
      <w:r>
        <w:rPr>
          <w:rFonts w:ascii="Arial" w:eastAsia="Calibri" w:hAnsi="Arial" w:cs="Arial"/>
          <w:b/>
          <w:bCs/>
          <w:caps/>
          <w:sz w:val="20"/>
          <w:szCs w:val="20"/>
          <w:lang w:val="en-ZA"/>
        </w:rPr>
        <w:t>QUESTION:</w:t>
      </w:r>
      <w:r w:rsidRPr="00E95BCE">
        <w:rPr>
          <w:rFonts w:ascii="Arial" w:eastAsia="Calibri" w:hAnsi="Arial" w:cs="Arial"/>
          <w:b/>
          <w:bCs/>
          <w:caps/>
          <w:sz w:val="20"/>
          <w:szCs w:val="20"/>
          <w:lang w:val="en-ZA"/>
        </w:rPr>
        <w:t>       </w:t>
      </w:r>
    </w:p>
    <w:p w14:paraId="0630C86E" w14:textId="77777777" w:rsidR="00025136" w:rsidRPr="00025136" w:rsidRDefault="00025136" w:rsidP="00025136">
      <w:pPr>
        <w:spacing w:after="0" w:line="360" w:lineRule="auto"/>
        <w:ind w:left="567" w:hanging="567"/>
        <w:jc w:val="both"/>
        <w:rPr>
          <w:rFonts w:ascii="Arial" w:eastAsia="Calibri" w:hAnsi="Arial" w:cs="Arial"/>
          <w:sz w:val="20"/>
          <w:szCs w:val="20"/>
          <w:lang w:val="en-ZA"/>
        </w:rPr>
      </w:pPr>
      <w:r w:rsidRPr="00025136">
        <w:rPr>
          <w:rFonts w:ascii="Arial" w:eastAsia="Calibri" w:hAnsi="Arial" w:cs="Arial"/>
          <w:sz w:val="20"/>
          <w:szCs w:val="20"/>
          <w:lang w:val="en-ZA"/>
        </w:rPr>
        <w:t>(1)   Whether each Head of Department (HOD) of his department signed a performance agreement since their appointment; if not, (a) what is the total number of HODs who have not signed performance agreements, (b) what is the reason in each case, (c) what action has he taken to rectify the situation and (d) what consequences will the specified HOD face for failing to sign the performance agreements; if so, (</w:t>
      </w:r>
      <w:proofErr w:type="spellStart"/>
      <w:r w:rsidRPr="00025136">
        <w:rPr>
          <w:rFonts w:ascii="Arial" w:eastAsia="Calibri" w:hAnsi="Arial" w:cs="Arial"/>
          <w:sz w:val="20"/>
          <w:szCs w:val="20"/>
          <w:lang w:val="en-ZA"/>
        </w:rPr>
        <w:t>i</w:t>
      </w:r>
      <w:proofErr w:type="spellEnd"/>
      <w:r w:rsidRPr="00025136">
        <w:rPr>
          <w:rFonts w:ascii="Arial" w:eastAsia="Calibri" w:hAnsi="Arial" w:cs="Arial"/>
          <w:sz w:val="20"/>
          <w:szCs w:val="20"/>
          <w:lang w:val="en-ZA"/>
        </w:rPr>
        <w:t>) when was the last performance assessment of each HOD conducted and (ii) what were the results in each case;</w:t>
      </w:r>
    </w:p>
    <w:p w14:paraId="1885DCFC" w14:textId="77777777" w:rsidR="00025136" w:rsidRPr="00025136" w:rsidRDefault="00025136" w:rsidP="00025136">
      <w:pPr>
        <w:spacing w:after="0" w:line="360" w:lineRule="auto"/>
        <w:ind w:left="567" w:hanging="567"/>
        <w:jc w:val="both"/>
        <w:rPr>
          <w:rFonts w:ascii="Arial" w:eastAsia="Calibri" w:hAnsi="Arial" w:cs="Arial"/>
          <w:sz w:val="20"/>
          <w:szCs w:val="20"/>
          <w:lang w:val="en-ZA"/>
        </w:rPr>
      </w:pPr>
    </w:p>
    <w:p w14:paraId="627B6BCA" w14:textId="77777777" w:rsidR="00025136" w:rsidRPr="00025136" w:rsidRDefault="00025136" w:rsidP="00025136">
      <w:pPr>
        <w:spacing w:after="0" w:line="360" w:lineRule="auto"/>
        <w:ind w:left="567" w:hanging="567"/>
        <w:jc w:val="both"/>
        <w:rPr>
          <w:rFonts w:ascii="Arial" w:eastAsia="Calibri" w:hAnsi="Arial" w:cs="Arial"/>
          <w:sz w:val="20"/>
          <w:szCs w:val="20"/>
          <w:lang w:val="en-ZA"/>
        </w:rPr>
      </w:pPr>
      <w:r w:rsidRPr="00025136">
        <w:rPr>
          <w:rFonts w:ascii="Arial" w:eastAsia="Calibri" w:hAnsi="Arial" w:cs="Arial"/>
          <w:sz w:val="20"/>
          <w:szCs w:val="20"/>
          <w:lang w:val="en-ZA"/>
        </w:rPr>
        <w:t>(2)   Whether any of the HODs who failed to sign a performance agreement received a performance bonus since their appointment; if not, what is the position in this regard; if so, (a) at what rate and (b) what criteria were used to determine the specified rate;</w:t>
      </w:r>
    </w:p>
    <w:p w14:paraId="33E2FFB9" w14:textId="77777777" w:rsidR="00025136" w:rsidRPr="00025136" w:rsidRDefault="00025136" w:rsidP="00025136">
      <w:pPr>
        <w:spacing w:after="0" w:line="360" w:lineRule="auto"/>
        <w:ind w:left="567" w:hanging="567"/>
        <w:jc w:val="both"/>
        <w:rPr>
          <w:rFonts w:ascii="Arial" w:eastAsia="Calibri" w:hAnsi="Arial" w:cs="Arial"/>
          <w:sz w:val="20"/>
          <w:szCs w:val="20"/>
          <w:lang w:val="en-ZA"/>
        </w:rPr>
      </w:pPr>
    </w:p>
    <w:p w14:paraId="26791FCB" w14:textId="77777777" w:rsidR="00025136" w:rsidRDefault="00025136" w:rsidP="00025136">
      <w:pPr>
        <w:spacing w:after="0" w:line="360" w:lineRule="auto"/>
        <w:ind w:left="567" w:hanging="567"/>
        <w:jc w:val="both"/>
        <w:rPr>
          <w:rFonts w:ascii="Arial" w:eastAsia="Calibri" w:hAnsi="Arial" w:cs="Arial"/>
          <w:sz w:val="20"/>
          <w:szCs w:val="20"/>
          <w:lang w:val="en-ZA"/>
        </w:rPr>
      </w:pPr>
      <w:r>
        <w:rPr>
          <w:rFonts w:ascii="Arial" w:eastAsia="Calibri" w:hAnsi="Arial" w:cs="Arial"/>
          <w:sz w:val="20"/>
          <w:szCs w:val="20"/>
          <w:lang w:val="en-ZA"/>
        </w:rPr>
        <w:t xml:space="preserve">(3) </w:t>
      </w:r>
      <w:r>
        <w:rPr>
          <w:rFonts w:ascii="Arial" w:eastAsia="Calibri" w:hAnsi="Arial" w:cs="Arial"/>
          <w:sz w:val="20"/>
          <w:szCs w:val="20"/>
          <w:lang w:val="en-ZA"/>
        </w:rPr>
        <w:tab/>
      </w:r>
      <w:r w:rsidRPr="00025136">
        <w:rPr>
          <w:rFonts w:ascii="Arial" w:eastAsia="Calibri" w:hAnsi="Arial" w:cs="Arial"/>
          <w:sz w:val="20"/>
          <w:szCs w:val="20"/>
          <w:lang w:val="en-ZA"/>
        </w:rPr>
        <w:t xml:space="preserve">Whether any of the HODs who signed a performance agreement received a performance bonus since their appointment; if so, (a) at what rate and (b) what criteria were used to determine the rate? </w:t>
      </w:r>
    </w:p>
    <w:p w14:paraId="0FC58272" w14:textId="77777777" w:rsidR="00025136" w:rsidRDefault="00025136" w:rsidP="00025136">
      <w:pPr>
        <w:spacing w:after="0" w:line="240" w:lineRule="auto"/>
        <w:rPr>
          <w:rFonts w:ascii="Arial" w:eastAsia="Calibri" w:hAnsi="Arial" w:cs="Arial"/>
          <w:sz w:val="20"/>
          <w:szCs w:val="20"/>
          <w:lang w:val="en-ZA"/>
        </w:rPr>
      </w:pPr>
    </w:p>
    <w:p w14:paraId="2729FEC5" w14:textId="77777777" w:rsidR="00025136" w:rsidRDefault="00025136" w:rsidP="00025136">
      <w:pPr>
        <w:spacing w:after="0" w:line="240" w:lineRule="auto"/>
        <w:rPr>
          <w:rFonts w:ascii="Arial" w:eastAsia="Calibri" w:hAnsi="Arial" w:cs="Arial"/>
          <w:sz w:val="20"/>
          <w:szCs w:val="20"/>
          <w:lang w:val="en-ZA"/>
        </w:rPr>
      </w:pPr>
    </w:p>
    <w:p w14:paraId="111F9D9E" w14:textId="77777777" w:rsidR="00025136" w:rsidRDefault="00025136" w:rsidP="00025136">
      <w:pPr>
        <w:spacing w:after="0" w:line="240" w:lineRule="auto"/>
        <w:rPr>
          <w:rFonts w:ascii="Arial" w:eastAsia="Calibri" w:hAnsi="Arial" w:cs="Arial"/>
          <w:sz w:val="20"/>
          <w:szCs w:val="20"/>
          <w:lang w:val="en-ZA"/>
        </w:rPr>
      </w:pPr>
    </w:p>
    <w:p w14:paraId="04EE65E8" w14:textId="77777777" w:rsidR="00E95BCE" w:rsidRDefault="00E95BCE" w:rsidP="00025136">
      <w:pPr>
        <w:spacing w:after="0" w:line="240" w:lineRule="auto"/>
        <w:rPr>
          <w:rFonts w:ascii="Arial" w:eastAsia="Calibri" w:hAnsi="Arial" w:cs="Arial"/>
          <w:b/>
          <w:sz w:val="20"/>
          <w:szCs w:val="20"/>
          <w:lang w:val="en-ZA"/>
        </w:rPr>
      </w:pPr>
      <w:r>
        <w:rPr>
          <w:rFonts w:ascii="Arial" w:eastAsia="Calibri" w:hAnsi="Arial" w:cs="Arial"/>
          <w:b/>
          <w:sz w:val="20"/>
          <w:szCs w:val="20"/>
          <w:lang w:val="en-ZA"/>
        </w:rPr>
        <w:t>REPLY:</w:t>
      </w:r>
    </w:p>
    <w:p w14:paraId="48C82EE7" w14:textId="77777777" w:rsidR="00E95BCE" w:rsidRPr="00E95BCE" w:rsidRDefault="00E95BCE" w:rsidP="00E95BCE">
      <w:pPr>
        <w:spacing w:after="0" w:line="240" w:lineRule="auto"/>
        <w:rPr>
          <w:rFonts w:ascii="Arial" w:eastAsia="Calibri" w:hAnsi="Arial" w:cs="Arial"/>
          <w:b/>
          <w:sz w:val="20"/>
          <w:szCs w:val="20"/>
          <w:lang w:val="en-ZA"/>
        </w:rPr>
      </w:pPr>
    </w:p>
    <w:p w14:paraId="42BC218B" w14:textId="77777777" w:rsidR="00025136" w:rsidRPr="00025136" w:rsidRDefault="00025136" w:rsidP="00025136">
      <w:pPr>
        <w:numPr>
          <w:ilvl w:val="0"/>
          <w:numId w:val="1"/>
        </w:numPr>
        <w:spacing w:after="120" w:line="360" w:lineRule="auto"/>
        <w:contextualSpacing/>
        <w:jc w:val="both"/>
        <w:rPr>
          <w:rFonts w:ascii="Arial" w:eastAsia="Calibri" w:hAnsi="Arial" w:cs="Arial"/>
          <w:sz w:val="20"/>
          <w:szCs w:val="20"/>
          <w:lang w:val="en-ZA"/>
        </w:rPr>
      </w:pPr>
      <w:r w:rsidRPr="00025136">
        <w:rPr>
          <w:rFonts w:ascii="Arial" w:eastAsia="Calibri" w:hAnsi="Arial" w:cs="Arial"/>
          <w:sz w:val="20"/>
          <w:szCs w:val="20"/>
          <w:lang w:val="en-ZA"/>
        </w:rPr>
        <w:t xml:space="preserve">Whether each Head of Department (HOD) of his department signed a performance agreement since their appointment; if not, </w:t>
      </w:r>
    </w:p>
    <w:p w14:paraId="465FB23A" w14:textId="77777777" w:rsidR="00025136" w:rsidRPr="00025136" w:rsidRDefault="00025136" w:rsidP="00025136">
      <w:pPr>
        <w:numPr>
          <w:ilvl w:val="0"/>
          <w:numId w:val="2"/>
        </w:numPr>
        <w:spacing w:before="240" w:after="120" w:line="360" w:lineRule="auto"/>
        <w:contextualSpacing/>
        <w:jc w:val="both"/>
        <w:rPr>
          <w:rFonts w:ascii="Arial" w:eastAsia="Calibri" w:hAnsi="Arial" w:cs="Arial"/>
          <w:sz w:val="20"/>
          <w:szCs w:val="20"/>
          <w:lang w:val="en-ZA"/>
        </w:rPr>
      </w:pPr>
      <w:r w:rsidRPr="00025136">
        <w:rPr>
          <w:rFonts w:ascii="Arial" w:eastAsia="Calibri" w:hAnsi="Arial" w:cs="Arial"/>
          <w:sz w:val="20"/>
          <w:szCs w:val="20"/>
          <w:lang w:val="en-ZA"/>
        </w:rPr>
        <w:t xml:space="preserve">What is the total number of HODs who have not signed performance agreements? </w:t>
      </w:r>
    </w:p>
    <w:p w14:paraId="60454804" w14:textId="77777777" w:rsidR="00025136" w:rsidRPr="00025136" w:rsidRDefault="00025136" w:rsidP="00025136">
      <w:pPr>
        <w:spacing w:before="240" w:after="120" w:line="360" w:lineRule="auto"/>
        <w:ind w:left="1110"/>
        <w:contextualSpacing/>
        <w:jc w:val="both"/>
        <w:rPr>
          <w:rFonts w:ascii="Arial" w:eastAsia="Calibri" w:hAnsi="Arial" w:cs="Arial"/>
          <w:b/>
          <w:sz w:val="20"/>
          <w:szCs w:val="20"/>
          <w:lang w:val="en-ZA"/>
        </w:rPr>
      </w:pPr>
      <w:r w:rsidRPr="00025136">
        <w:rPr>
          <w:rFonts w:ascii="Arial" w:eastAsia="Calibri" w:hAnsi="Arial" w:cs="Arial"/>
          <w:b/>
          <w:sz w:val="20"/>
          <w:szCs w:val="20"/>
          <w:lang w:val="en-ZA"/>
        </w:rPr>
        <w:t>The Director-General of the Department of Agriculture, Forestry and Fisheries was appointed with effect from 1 July 2016. In terms of the chapter four (4) of the Senior Management Service (SMS) members handbook a newly appointed SMS member has got three months to finalise and sign the performance agreement.</w:t>
      </w:r>
    </w:p>
    <w:p w14:paraId="5CE89F56" w14:textId="77777777" w:rsidR="00025136" w:rsidRPr="00025136" w:rsidRDefault="00025136" w:rsidP="00025136">
      <w:pPr>
        <w:spacing w:after="120" w:line="360" w:lineRule="auto"/>
        <w:ind w:left="1110"/>
        <w:contextualSpacing/>
        <w:jc w:val="both"/>
        <w:rPr>
          <w:rFonts w:ascii="Arial" w:eastAsia="Calibri" w:hAnsi="Arial" w:cs="Arial"/>
          <w:sz w:val="20"/>
          <w:szCs w:val="20"/>
          <w:lang w:val="en-ZA"/>
        </w:rPr>
      </w:pPr>
    </w:p>
    <w:p w14:paraId="633596EF" w14:textId="77777777" w:rsidR="00025136" w:rsidRPr="00025136" w:rsidRDefault="00025136" w:rsidP="00025136">
      <w:pPr>
        <w:numPr>
          <w:ilvl w:val="0"/>
          <w:numId w:val="2"/>
        </w:numPr>
        <w:spacing w:after="120" w:line="360" w:lineRule="auto"/>
        <w:contextualSpacing/>
        <w:jc w:val="both"/>
        <w:rPr>
          <w:rFonts w:ascii="Arial" w:eastAsia="Calibri" w:hAnsi="Arial" w:cs="Arial"/>
          <w:sz w:val="20"/>
          <w:szCs w:val="20"/>
          <w:lang w:val="en-ZA"/>
        </w:rPr>
      </w:pPr>
      <w:r w:rsidRPr="00025136">
        <w:rPr>
          <w:rFonts w:ascii="Arial" w:eastAsia="Calibri" w:hAnsi="Arial" w:cs="Arial"/>
          <w:sz w:val="20"/>
          <w:szCs w:val="20"/>
          <w:lang w:val="en-ZA"/>
        </w:rPr>
        <w:lastRenderedPageBreak/>
        <w:t xml:space="preserve">What is the reason in each case? </w:t>
      </w:r>
    </w:p>
    <w:p w14:paraId="19EC2FDC" w14:textId="77777777" w:rsidR="00025136" w:rsidRPr="00025136" w:rsidRDefault="00025136" w:rsidP="00025136">
      <w:pPr>
        <w:spacing w:after="120" w:line="360" w:lineRule="auto"/>
        <w:ind w:left="1110"/>
        <w:jc w:val="both"/>
        <w:rPr>
          <w:rFonts w:ascii="Arial" w:eastAsia="Calibri" w:hAnsi="Arial" w:cs="Arial"/>
          <w:sz w:val="20"/>
          <w:szCs w:val="20"/>
          <w:lang w:val="en-ZA"/>
        </w:rPr>
      </w:pPr>
      <w:r w:rsidRPr="00025136">
        <w:rPr>
          <w:rFonts w:ascii="Arial" w:eastAsia="Calibri" w:hAnsi="Arial" w:cs="Arial"/>
          <w:b/>
          <w:sz w:val="20"/>
          <w:szCs w:val="20"/>
          <w:lang w:val="en-ZA"/>
        </w:rPr>
        <w:t>The HOD had three months to finalise the performance agreement</w:t>
      </w:r>
      <w:r w:rsidRPr="00025136">
        <w:rPr>
          <w:rFonts w:ascii="Arial" w:eastAsia="Calibri" w:hAnsi="Arial" w:cs="Arial"/>
          <w:sz w:val="20"/>
          <w:szCs w:val="20"/>
          <w:lang w:val="en-ZA"/>
        </w:rPr>
        <w:t>.</w:t>
      </w:r>
    </w:p>
    <w:p w14:paraId="14F4C704" w14:textId="77777777" w:rsidR="00025136" w:rsidRPr="00025136" w:rsidRDefault="00025136" w:rsidP="00025136">
      <w:pPr>
        <w:numPr>
          <w:ilvl w:val="0"/>
          <w:numId w:val="2"/>
        </w:numPr>
        <w:spacing w:after="120" w:line="360" w:lineRule="auto"/>
        <w:contextualSpacing/>
        <w:jc w:val="both"/>
        <w:rPr>
          <w:rFonts w:ascii="Arial" w:eastAsia="Calibri" w:hAnsi="Arial" w:cs="Arial"/>
          <w:sz w:val="20"/>
          <w:szCs w:val="20"/>
          <w:lang w:val="en-ZA"/>
        </w:rPr>
      </w:pPr>
      <w:r w:rsidRPr="00025136">
        <w:rPr>
          <w:rFonts w:ascii="Arial" w:eastAsia="Calibri" w:hAnsi="Arial" w:cs="Arial"/>
          <w:sz w:val="20"/>
          <w:szCs w:val="20"/>
          <w:lang w:val="en-ZA"/>
        </w:rPr>
        <w:t xml:space="preserve">What action has he taken to rectify the situation? </w:t>
      </w:r>
    </w:p>
    <w:p w14:paraId="0D83B1DC" w14:textId="77777777" w:rsidR="00025136" w:rsidRPr="00025136" w:rsidRDefault="00025136" w:rsidP="00025136">
      <w:pPr>
        <w:spacing w:after="120" w:line="360" w:lineRule="auto"/>
        <w:ind w:left="1110"/>
        <w:jc w:val="both"/>
        <w:rPr>
          <w:rFonts w:ascii="Arial" w:eastAsia="Calibri" w:hAnsi="Arial" w:cs="Arial"/>
          <w:b/>
          <w:sz w:val="20"/>
          <w:szCs w:val="20"/>
          <w:lang w:val="en-ZA"/>
        </w:rPr>
      </w:pPr>
      <w:r w:rsidRPr="00025136">
        <w:rPr>
          <w:rFonts w:ascii="Arial" w:eastAsia="Calibri" w:hAnsi="Arial" w:cs="Arial"/>
          <w:b/>
          <w:sz w:val="20"/>
          <w:szCs w:val="20"/>
          <w:lang w:val="en-ZA"/>
        </w:rPr>
        <w:t>None.</w:t>
      </w:r>
    </w:p>
    <w:p w14:paraId="104AEA64" w14:textId="77777777" w:rsidR="00025136" w:rsidRPr="00025136" w:rsidRDefault="00025136" w:rsidP="00025136">
      <w:pPr>
        <w:spacing w:after="120" w:line="360" w:lineRule="auto"/>
        <w:ind w:left="1134" w:hanging="425"/>
        <w:contextualSpacing/>
        <w:jc w:val="both"/>
        <w:rPr>
          <w:rFonts w:ascii="Arial" w:eastAsia="Calibri" w:hAnsi="Arial" w:cs="Arial"/>
          <w:sz w:val="20"/>
          <w:szCs w:val="20"/>
          <w:lang w:val="en-ZA"/>
        </w:rPr>
      </w:pPr>
      <w:r w:rsidRPr="00025136">
        <w:rPr>
          <w:rFonts w:ascii="Arial" w:eastAsia="Calibri" w:hAnsi="Arial" w:cs="Arial"/>
          <w:sz w:val="20"/>
          <w:szCs w:val="20"/>
          <w:lang w:val="en-ZA"/>
        </w:rPr>
        <w:t xml:space="preserve">(d) What consequences will the specified HOD face for failing to sign the performance agreements; if so, </w:t>
      </w:r>
    </w:p>
    <w:p w14:paraId="250EAAEA" w14:textId="77777777" w:rsidR="00025136" w:rsidRPr="00025136" w:rsidRDefault="00025136" w:rsidP="00025136">
      <w:pPr>
        <w:spacing w:after="120" w:line="360" w:lineRule="auto"/>
        <w:ind w:left="720" w:firstLine="273"/>
        <w:contextualSpacing/>
        <w:jc w:val="both"/>
        <w:rPr>
          <w:rFonts w:ascii="Arial" w:eastAsia="Calibri" w:hAnsi="Arial" w:cs="Arial"/>
          <w:b/>
          <w:sz w:val="20"/>
          <w:szCs w:val="20"/>
          <w:lang w:val="en-ZA"/>
        </w:rPr>
      </w:pPr>
      <w:r w:rsidRPr="00025136">
        <w:rPr>
          <w:rFonts w:ascii="Arial" w:eastAsia="Calibri" w:hAnsi="Arial" w:cs="Arial"/>
          <w:b/>
          <w:sz w:val="20"/>
          <w:szCs w:val="20"/>
          <w:lang w:val="en-ZA"/>
        </w:rPr>
        <w:t>(</w:t>
      </w:r>
      <w:proofErr w:type="spellStart"/>
      <w:r w:rsidRPr="00025136">
        <w:rPr>
          <w:rFonts w:ascii="Arial" w:eastAsia="Calibri" w:hAnsi="Arial" w:cs="Arial"/>
          <w:b/>
          <w:sz w:val="20"/>
          <w:szCs w:val="20"/>
          <w:lang w:val="en-ZA"/>
        </w:rPr>
        <w:t>i</w:t>
      </w:r>
      <w:proofErr w:type="spellEnd"/>
      <w:r w:rsidRPr="00025136">
        <w:rPr>
          <w:rFonts w:ascii="Arial" w:eastAsia="Calibri" w:hAnsi="Arial" w:cs="Arial"/>
          <w:b/>
          <w:sz w:val="20"/>
          <w:szCs w:val="20"/>
          <w:lang w:val="en-ZA"/>
        </w:rPr>
        <w:t>) When was the last performance assessment of each HOD conducted?</w:t>
      </w:r>
    </w:p>
    <w:p w14:paraId="3EBF8968" w14:textId="77777777" w:rsidR="00025136" w:rsidRPr="00025136" w:rsidRDefault="00025136" w:rsidP="00025136">
      <w:pPr>
        <w:spacing w:after="120" w:line="360" w:lineRule="auto"/>
        <w:ind w:left="1134"/>
        <w:contextualSpacing/>
        <w:jc w:val="both"/>
        <w:rPr>
          <w:rFonts w:ascii="Arial" w:eastAsia="Calibri" w:hAnsi="Arial" w:cs="Arial"/>
          <w:b/>
          <w:sz w:val="20"/>
          <w:szCs w:val="20"/>
          <w:lang w:val="en-ZA"/>
        </w:rPr>
      </w:pPr>
      <w:r w:rsidRPr="00025136">
        <w:rPr>
          <w:rFonts w:ascii="Arial" w:eastAsia="Calibri" w:hAnsi="Arial" w:cs="Arial"/>
          <w:b/>
          <w:sz w:val="20"/>
          <w:szCs w:val="20"/>
          <w:lang w:val="en-ZA"/>
        </w:rPr>
        <w:t xml:space="preserve">The performance assessment on the former HOD was finalised in December 2015. </w:t>
      </w:r>
    </w:p>
    <w:p w14:paraId="55072FAD" w14:textId="77777777" w:rsidR="00025136" w:rsidRPr="00025136" w:rsidRDefault="00025136" w:rsidP="00025136">
      <w:pPr>
        <w:spacing w:after="120" w:line="360" w:lineRule="auto"/>
        <w:ind w:left="720" w:firstLine="273"/>
        <w:contextualSpacing/>
        <w:jc w:val="both"/>
        <w:rPr>
          <w:rFonts w:ascii="Arial" w:eastAsia="Calibri" w:hAnsi="Arial" w:cs="Arial"/>
          <w:b/>
          <w:sz w:val="20"/>
          <w:szCs w:val="20"/>
          <w:lang w:val="en-ZA"/>
        </w:rPr>
      </w:pPr>
      <w:r w:rsidRPr="00025136">
        <w:rPr>
          <w:rFonts w:ascii="Arial" w:eastAsia="Calibri" w:hAnsi="Arial" w:cs="Arial"/>
          <w:b/>
          <w:sz w:val="20"/>
          <w:szCs w:val="20"/>
          <w:lang w:val="en-ZA"/>
        </w:rPr>
        <w:t>(ii) What were the results in each case?</w:t>
      </w:r>
    </w:p>
    <w:p w14:paraId="0FBCD1F9" w14:textId="77777777" w:rsidR="00025136" w:rsidRPr="00025136" w:rsidRDefault="00025136" w:rsidP="00025136">
      <w:pPr>
        <w:spacing w:after="120" w:line="360" w:lineRule="auto"/>
        <w:ind w:left="1276"/>
        <w:contextualSpacing/>
        <w:jc w:val="both"/>
        <w:rPr>
          <w:rFonts w:ascii="Arial" w:eastAsia="Calibri" w:hAnsi="Arial" w:cs="Arial"/>
          <w:b/>
          <w:sz w:val="20"/>
          <w:szCs w:val="20"/>
          <w:lang w:val="en-ZA"/>
        </w:rPr>
      </w:pPr>
      <w:r w:rsidRPr="00025136">
        <w:rPr>
          <w:rFonts w:ascii="Arial" w:eastAsia="Calibri" w:hAnsi="Arial" w:cs="Arial"/>
          <w:b/>
          <w:sz w:val="20"/>
          <w:szCs w:val="20"/>
          <w:lang w:val="en-ZA"/>
        </w:rPr>
        <w:t xml:space="preserve">The performance scores of the former HOD were as follows: </w:t>
      </w:r>
    </w:p>
    <w:p w14:paraId="59CFF3EE" w14:textId="77777777" w:rsidR="00025136" w:rsidRPr="00025136" w:rsidRDefault="00025136" w:rsidP="00025136">
      <w:pPr>
        <w:numPr>
          <w:ilvl w:val="0"/>
          <w:numId w:val="3"/>
        </w:numPr>
        <w:spacing w:after="120" w:line="360" w:lineRule="auto"/>
        <w:contextualSpacing/>
        <w:jc w:val="both"/>
        <w:rPr>
          <w:rFonts w:ascii="Arial" w:eastAsia="Calibri" w:hAnsi="Arial" w:cs="Arial"/>
          <w:b/>
          <w:sz w:val="20"/>
          <w:szCs w:val="20"/>
          <w:lang w:val="en-ZA"/>
        </w:rPr>
      </w:pPr>
      <w:r w:rsidRPr="00025136">
        <w:rPr>
          <w:rFonts w:ascii="Arial" w:eastAsia="Calibri" w:hAnsi="Arial" w:cs="Arial"/>
          <w:b/>
          <w:sz w:val="20"/>
          <w:szCs w:val="20"/>
          <w:lang w:val="en-ZA"/>
        </w:rPr>
        <w:t>2013/14 performance cycle score of 132%.</w:t>
      </w:r>
    </w:p>
    <w:p w14:paraId="19CDCD53" w14:textId="77777777" w:rsidR="00025136" w:rsidRPr="00025136" w:rsidRDefault="00025136" w:rsidP="00025136">
      <w:pPr>
        <w:numPr>
          <w:ilvl w:val="0"/>
          <w:numId w:val="3"/>
        </w:numPr>
        <w:spacing w:after="120" w:line="360" w:lineRule="auto"/>
        <w:contextualSpacing/>
        <w:jc w:val="both"/>
        <w:rPr>
          <w:rFonts w:ascii="Arial" w:eastAsia="Calibri" w:hAnsi="Arial" w:cs="Arial"/>
          <w:b/>
          <w:sz w:val="20"/>
          <w:szCs w:val="20"/>
          <w:lang w:val="en-ZA"/>
        </w:rPr>
      </w:pPr>
      <w:r w:rsidRPr="00025136">
        <w:rPr>
          <w:rFonts w:ascii="Arial" w:eastAsia="Calibri" w:hAnsi="Arial" w:cs="Arial"/>
          <w:b/>
          <w:sz w:val="20"/>
          <w:szCs w:val="20"/>
          <w:lang w:val="en-ZA"/>
        </w:rPr>
        <w:t>2014/15 performance cycle score of 135%.</w:t>
      </w:r>
    </w:p>
    <w:p w14:paraId="074AB728" w14:textId="77777777" w:rsidR="00025136" w:rsidRPr="00025136" w:rsidRDefault="00025136" w:rsidP="00025136">
      <w:pPr>
        <w:spacing w:after="120" w:line="360" w:lineRule="auto"/>
        <w:jc w:val="both"/>
        <w:rPr>
          <w:rFonts w:ascii="Arial" w:eastAsia="Calibri" w:hAnsi="Arial" w:cs="Arial"/>
          <w:sz w:val="20"/>
          <w:szCs w:val="20"/>
          <w:lang w:val="en-ZA"/>
        </w:rPr>
      </w:pPr>
    </w:p>
    <w:p w14:paraId="58613061" w14:textId="77777777" w:rsidR="00025136" w:rsidRPr="00025136" w:rsidRDefault="00025136" w:rsidP="00025136">
      <w:pPr>
        <w:numPr>
          <w:ilvl w:val="0"/>
          <w:numId w:val="1"/>
        </w:numPr>
        <w:spacing w:after="0" w:line="360" w:lineRule="auto"/>
        <w:jc w:val="both"/>
        <w:rPr>
          <w:rFonts w:ascii="Arial" w:eastAsia="Calibri" w:hAnsi="Arial" w:cs="Arial"/>
          <w:sz w:val="20"/>
          <w:szCs w:val="20"/>
          <w:lang w:val="en-ZA"/>
        </w:rPr>
      </w:pPr>
      <w:r w:rsidRPr="00025136">
        <w:rPr>
          <w:rFonts w:ascii="Arial" w:eastAsia="Calibri" w:hAnsi="Arial" w:cs="Arial"/>
          <w:sz w:val="20"/>
          <w:szCs w:val="20"/>
          <w:lang w:val="en-ZA"/>
        </w:rPr>
        <w:t>Whether any of the HODs who failed to sign a performance agreement received a performance bonus since their appointment; if not, what is the position in this regard; if so,</w:t>
      </w:r>
    </w:p>
    <w:p w14:paraId="2389D195" w14:textId="77777777" w:rsidR="00025136" w:rsidRPr="00025136" w:rsidRDefault="00025136" w:rsidP="00025136">
      <w:pPr>
        <w:numPr>
          <w:ilvl w:val="0"/>
          <w:numId w:val="4"/>
        </w:numPr>
        <w:spacing w:after="0" w:line="360" w:lineRule="auto"/>
        <w:jc w:val="both"/>
        <w:rPr>
          <w:rFonts w:ascii="Arial" w:eastAsia="Calibri" w:hAnsi="Arial" w:cs="Arial"/>
          <w:sz w:val="20"/>
          <w:szCs w:val="20"/>
          <w:lang w:val="en-ZA"/>
        </w:rPr>
      </w:pPr>
      <w:r w:rsidRPr="00025136">
        <w:rPr>
          <w:rFonts w:ascii="Arial" w:eastAsia="Calibri" w:hAnsi="Arial" w:cs="Arial"/>
          <w:sz w:val="20"/>
          <w:szCs w:val="20"/>
          <w:lang w:val="en-ZA"/>
        </w:rPr>
        <w:t>At what rate and</w:t>
      </w:r>
    </w:p>
    <w:p w14:paraId="7939FA85" w14:textId="77777777" w:rsidR="00025136" w:rsidRPr="00025136" w:rsidRDefault="00025136" w:rsidP="00025136">
      <w:pPr>
        <w:spacing w:after="0" w:line="360" w:lineRule="auto"/>
        <w:ind w:left="1140"/>
        <w:jc w:val="both"/>
        <w:rPr>
          <w:rFonts w:ascii="Arial" w:eastAsia="Calibri" w:hAnsi="Arial" w:cs="Arial"/>
          <w:b/>
          <w:sz w:val="20"/>
          <w:szCs w:val="20"/>
          <w:lang w:val="en-ZA"/>
        </w:rPr>
      </w:pPr>
      <w:r w:rsidRPr="00025136">
        <w:rPr>
          <w:rFonts w:ascii="Arial" w:eastAsia="Calibri" w:hAnsi="Arial" w:cs="Arial"/>
          <w:b/>
          <w:sz w:val="20"/>
          <w:szCs w:val="20"/>
          <w:lang w:val="en-ZA"/>
        </w:rPr>
        <w:t>The HOD did not receive a performance bonus.</w:t>
      </w:r>
    </w:p>
    <w:p w14:paraId="404CC5C4" w14:textId="77777777" w:rsidR="00025136" w:rsidRPr="00025136" w:rsidRDefault="00025136" w:rsidP="00025136">
      <w:pPr>
        <w:numPr>
          <w:ilvl w:val="0"/>
          <w:numId w:val="4"/>
        </w:numPr>
        <w:spacing w:after="0" w:line="360" w:lineRule="auto"/>
        <w:jc w:val="both"/>
        <w:rPr>
          <w:rFonts w:ascii="Arial" w:eastAsia="Calibri" w:hAnsi="Arial" w:cs="Arial"/>
          <w:sz w:val="20"/>
          <w:szCs w:val="20"/>
          <w:lang w:val="en-ZA"/>
        </w:rPr>
      </w:pPr>
      <w:r w:rsidRPr="00025136">
        <w:rPr>
          <w:rFonts w:ascii="Arial" w:eastAsia="Calibri" w:hAnsi="Arial" w:cs="Arial"/>
          <w:sz w:val="20"/>
          <w:szCs w:val="20"/>
          <w:lang w:val="en-ZA"/>
        </w:rPr>
        <w:t>What criteria were used to determine the specified rate;</w:t>
      </w:r>
    </w:p>
    <w:p w14:paraId="5C4BB702" w14:textId="77777777" w:rsidR="00025136" w:rsidRPr="00025136" w:rsidRDefault="00025136" w:rsidP="00025136">
      <w:pPr>
        <w:spacing w:after="0" w:line="360" w:lineRule="auto"/>
        <w:ind w:left="1140"/>
        <w:jc w:val="both"/>
        <w:rPr>
          <w:rFonts w:ascii="Arial" w:eastAsia="Calibri" w:hAnsi="Arial" w:cs="Arial"/>
          <w:b/>
          <w:sz w:val="20"/>
          <w:szCs w:val="20"/>
          <w:lang w:val="en-ZA"/>
        </w:rPr>
      </w:pPr>
      <w:r w:rsidRPr="00025136">
        <w:rPr>
          <w:rFonts w:ascii="Arial" w:eastAsia="Calibri" w:hAnsi="Arial" w:cs="Arial"/>
          <w:b/>
          <w:sz w:val="20"/>
          <w:szCs w:val="20"/>
          <w:lang w:val="en-ZA"/>
        </w:rPr>
        <w:t>Not applicable.</w:t>
      </w:r>
    </w:p>
    <w:p w14:paraId="5FB8BA84" w14:textId="77777777" w:rsidR="00025136" w:rsidRPr="00025136" w:rsidRDefault="00025136" w:rsidP="00025136">
      <w:pPr>
        <w:spacing w:after="0" w:line="360" w:lineRule="auto"/>
        <w:ind w:left="720"/>
        <w:jc w:val="both"/>
        <w:rPr>
          <w:rFonts w:ascii="Arial" w:eastAsia="Calibri" w:hAnsi="Arial" w:cs="Arial"/>
          <w:sz w:val="20"/>
          <w:szCs w:val="20"/>
          <w:lang w:val="en-ZA"/>
        </w:rPr>
      </w:pPr>
    </w:p>
    <w:p w14:paraId="4CD83E48" w14:textId="77777777" w:rsidR="00025136" w:rsidRPr="00025136" w:rsidRDefault="00025136" w:rsidP="00025136">
      <w:pPr>
        <w:numPr>
          <w:ilvl w:val="0"/>
          <w:numId w:val="1"/>
        </w:numPr>
        <w:spacing w:after="0" w:line="360" w:lineRule="auto"/>
        <w:jc w:val="both"/>
        <w:rPr>
          <w:rFonts w:ascii="Arial" w:eastAsia="Calibri" w:hAnsi="Arial" w:cs="Arial"/>
          <w:sz w:val="20"/>
          <w:szCs w:val="20"/>
          <w:lang w:val="en-ZA"/>
        </w:rPr>
      </w:pPr>
      <w:r w:rsidRPr="00025136">
        <w:rPr>
          <w:rFonts w:ascii="Arial" w:eastAsia="Calibri" w:hAnsi="Arial" w:cs="Arial"/>
          <w:sz w:val="20"/>
          <w:szCs w:val="20"/>
          <w:lang w:val="en-ZA"/>
        </w:rPr>
        <w:t xml:space="preserve">Whether any of the HODs who signed a performance agreement received a performance bonus since their appointment; if so, </w:t>
      </w:r>
    </w:p>
    <w:p w14:paraId="1EDA3251" w14:textId="77777777" w:rsidR="00025136" w:rsidRPr="00025136" w:rsidRDefault="00025136" w:rsidP="00025136">
      <w:pPr>
        <w:numPr>
          <w:ilvl w:val="0"/>
          <w:numId w:val="5"/>
        </w:numPr>
        <w:spacing w:after="0" w:line="360" w:lineRule="auto"/>
        <w:jc w:val="both"/>
        <w:rPr>
          <w:rFonts w:ascii="Arial" w:eastAsia="Calibri" w:hAnsi="Arial" w:cs="Arial"/>
          <w:sz w:val="20"/>
          <w:szCs w:val="20"/>
          <w:lang w:val="en-ZA"/>
        </w:rPr>
      </w:pPr>
      <w:r w:rsidRPr="00025136">
        <w:rPr>
          <w:rFonts w:ascii="Arial" w:eastAsia="Calibri" w:hAnsi="Arial" w:cs="Arial"/>
          <w:sz w:val="20"/>
          <w:szCs w:val="20"/>
          <w:lang w:val="en-ZA"/>
        </w:rPr>
        <w:t xml:space="preserve">At what rate and </w:t>
      </w:r>
    </w:p>
    <w:p w14:paraId="33C8FEF4" w14:textId="77777777" w:rsidR="00025136" w:rsidRPr="00025136" w:rsidRDefault="00025136" w:rsidP="00025136">
      <w:pPr>
        <w:spacing w:after="0" w:line="360" w:lineRule="auto"/>
        <w:ind w:left="1080"/>
        <w:jc w:val="both"/>
        <w:rPr>
          <w:rFonts w:ascii="Arial" w:eastAsia="Calibri" w:hAnsi="Arial" w:cs="Arial"/>
          <w:b/>
          <w:sz w:val="20"/>
          <w:szCs w:val="20"/>
          <w:lang w:val="en-ZA"/>
        </w:rPr>
      </w:pPr>
      <w:r w:rsidRPr="00025136">
        <w:rPr>
          <w:rFonts w:ascii="Arial" w:eastAsia="Calibri" w:hAnsi="Arial" w:cs="Arial"/>
          <w:b/>
          <w:sz w:val="20"/>
          <w:szCs w:val="20"/>
          <w:lang w:val="en-ZA"/>
        </w:rPr>
        <w:t>The HOD did not receive a performance bonus.</w:t>
      </w:r>
    </w:p>
    <w:p w14:paraId="40E9B2F4" w14:textId="77777777" w:rsidR="00025136" w:rsidRPr="00025136" w:rsidRDefault="00025136" w:rsidP="00025136">
      <w:pPr>
        <w:numPr>
          <w:ilvl w:val="0"/>
          <w:numId w:val="5"/>
        </w:numPr>
        <w:spacing w:after="0" w:line="360" w:lineRule="auto"/>
        <w:jc w:val="both"/>
        <w:rPr>
          <w:rFonts w:ascii="Arial" w:eastAsia="Calibri" w:hAnsi="Arial" w:cs="Arial"/>
          <w:sz w:val="20"/>
          <w:szCs w:val="20"/>
          <w:lang w:val="en-ZA"/>
        </w:rPr>
      </w:pPr>
      <w:r w:rsidRPr="00025136">
        <w:rPr>
          <w:rFonts w:ascii="Arial" w:eastAsia="Calibri" w:hAnsi="Arial" w:cs="Arial"/>
          <w:sz w:val="20"/>
          <w:szCs w:val="20"/>
          <w:lang w:val="en-ZA"/>
        </w:rPr>
        <w:t xml:space="preserve">What criteria were used to determine the rate? </w:t>
      </w:r>
    </w:p>
    <w:p w14:paraId="60830C16" w14:textId="77777777" w:rsidR="00025136" w:rsidRPr="00025136" w:rsidRDefault="00025136" w:rsidP="00025136">
      <w:pPr>
        <w:spacing w:after="0" w:line="360" w:lineRule="auto"/>
        <w:ind w:left="1080"/>
        <w:jc w:val="both"/>
        <w:rPr>
          <w:rFonts w:ascii="Arial" w:eastAsia="Calibri" w:hAnsi="Arial" w:cs="Arial"/>
          <w:b/>
          <w:sz w:val="20"/>
          <w:szCs w:val="20"/>
          <w:lang w:val="en-ZA"/>
        </w:rPr>
      </w:pPr>
      <w:r w:rsidRPr="00025136">
        <w:rPr>
          <w:rFonts w:ascii="Arial" w:eastAsia="Calibri" w:hAnsi="Arial" w:cs="Arial"/>
          <w:b/>
          <w:sz w:val="20"/>
          <w:szCs w:val="20"/>
          <w:lang w:val="en-ZA"/>
        </w:rPr>
        <w:t>Not applicable.</w:t>
      </w:r>
    </w:p>
    <w:p w14:paraId="1E7392D8" w14:textId="77777777" w:rsidR="00025136" w:rsidRPr="00025136" w:rsidRDefault="00025136" w:rsidP="00025136">
      <w:pPr>
        <w:spacing w:after="0" w:line="360" w:lineRule="auto"/>
        <w:ind w:left="1080"/>
        <w:jc w:val="both"/>
        <w:rPr>
          <w:rFonts w:ascii="Arial" w:eastAsia="Calibri" w:hAnsi="Arial" w:cs="Arial"/>
          <w:sz w:val="20"/>
          <w:szCs w:val="20"/>
          <w:lang w:val="en-ZA"/>
        </w:rPr>
      </w:pPr>
      <w:r w:rsidRPr="00025136">
        <w:rPr>
          <w:rFonts w:ascii="Arial" w:eastAsia="Calibri" w:hAnsi="Arial" w:cs="Arial"/>
          <w:sz w:val="20"/>
          <w:szCs w:val="20"/>
          <w:lang w:val="en-ZA"/>
        </w:rPr>
        <w:t xml:space="preserve">                                                                                   </w:t>
      </w:r>
    </w:p>
    <w:p w14:paraId="52D51CB1" w14:textId="77777777" w:rsidR="00025136" w:rsidRPr="00025136" w:rsidRDefault="00025136" w:rsidP="00025136">
      <w:pPr>
        <w:spacing w:after="120" w:line="360" w:lineRule="auto"/>
        <w:jc w:val="both"/>
        <w:rPr>
          <w:rFonts w:ascii="Arial" w:eastAsia="Calibri" w:hAnsi="Arial" w:cs="Arial"/>
          <w:sz w:val="20"/>
          <w:szCs w:val="20"/>
          <w:lang w:val="en-ZA"/>
        </w:rPr>
      </w:pPr>
    </w:p>
    <w:p w14:paraId="54BAA34B" w14:textId="77777777" w:rsidR="00025136" w:rsidRPr="00025136" w:rsidRDefault="00025136" w:rsidP="00025136">
      <w:pPr>
        <w:spacing w:after="120" w:line="360" w:lineRule="auto"/>
        <w:jc w:val="both"/>
        <w:rPr>
          <w:rFonts w:ascii="Arial" w:eastAsia="Calibri" w:hAnsi="Arial" w:cs="Arial"/>
          <w:sz w:val="20"/>
          <w:szCs w:val="20"/>
          <w:lang w:val="en-ZA"/>
        </w:rPr>
      </w:pPr>
    </w:p>
    <w:p w14:paraId="17174ACB" w14:textId="77777777" w:rsidR="00E95BCE" w:rsidRPr="00E95BCE" w:rsidRDefault="00E95BCE" w:rsidP="00025136">
      <w:pPr>
        <w:spacing w:after="120" w:line="360" w:lineRule="auto"/>
        <w:rPr>
          <w:rFonts w:ascii="Arial" w:eastAsia="Calibri" w:hAnsi="Arial" w:cs="Arial"/>
          <w:b/>
          <w:sz w:val="20"/>
          <w:szCs w:val="20"/>
          <w:lang w:val="en-ZA"/>
        </w:rPr>
      </w:pPr>
    </w:p>
    <w:sectPr w:rsidR="00E95BCE" w:rsidRPr="00E95B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775"/>
    <w:multiLevelType w:val="hybridMultilevel"/>
    <w:tmpl w:val="00F06598"/>
    <w:lvl w:ilvl="0" w:tplc="1C090001">
      <w:start w:val="1"/>
      <w:numFmt w:val="bullet"/>
      <w:lvlText w:val=""/>
      <w:lvlJc w:val="left"/>
      <w:pPr>
        <w:ind w:left="1713" w:hanging="360"/>
      </w:pPr>
      <w:rPr>
        <w:rFonts w:ascii="Symbol" w:hAnsi="Symbol" w:hint="default"/>
      </w:rPr>
    </w:lvl>
    <w:lvl w:ilvl="1" w:tplc="1C090003" w:tentative="1">
      <w:start w:val="1"/>
      <w:numFmt w:val="bullet"/>
      <w:lvlText w:val="o"/>
      <w:lvlJc w:val="left"/>
      <w:pPr>
        <w:ind w:left="2433" w:hanging="360"/>
      </w:pPr>
      <w:rPr>
        <w:rFonts w:ascii="Courier New" w:hAnsi="Courier New" w:cs="Courier New" w:hint="default"/>
      </w:rPr>
    </w:lvl>
    <w:lvl w:ilvl="2" w:tplc="1C090005" w:tentative="1">
      <w:start w:val="1"/>
      <w:numFmt w:val="bullet"/>
      <w:lvlText w:val=""/>
      <w:lvlJc w:val="left"/>
      <w:pPr>
        <w:ind w:left="3153" w:hanging="360"/>
      </w:pPr>
      <w:rPr>
        <w:rFonts w:ascii="Wingdings" w:hAnsi="Wingdings" w:hint="default"/>
      </w:rPr>
    </w:lvl>
    <w:lvl w:ilvl="3" w:tplc="1C090001" w:tentative="1">
      <w:start w:val="1"/>
      <w:numFmt w:val="bullet"/>
      <w:lvlText w:val=""/>
      <w:lvlJc w:val="left"/>
      <w:pPr>
        <w:ind w:left="3873" w:hanging="360"/>
      </w:pPr>
      <w:rPr>
        <w:rFonts w:ascii="Symbol" w:hAnsi="Symbol" w:hint="default"/>
      </w:rPr>
    </w:lvl>
    <w:lvl w:ilvl="4" w:tplc="1C090003" w:tentative="1">
      <w:start w:val="1"/>
      <w:numFmt w:val="bullet"/>
      <w:lvlText w:val="o"/>
      <w:lvlJc w:val="left"/>
      <w:pPr>
        <w:ind w:left="4593" w:hanging="360"/>
      </w:pPr>
      <w:rPr>
        <w:rFonts w:ascii="Courier New" w:hAnsi="Courier New" w:cs="Courier New" w:hint="default"/>
      </w:rPr>
    </w:lvl>
    <w:lvl w:ilvl="5" w:tplc="1C090005" w:tentative="1">
      <w:start w:val="1"/>
      <w:numFmt w:val="bullet"/>
      <w:lvlText w:val=""/>
      <w:lvlJc w:val="left"/>
      <w:pPr>
        <w:ind w:left="5313" w:hanging="360"/>
      </w:pPr>
      <w:rPr>
        <w:rFonts w:ascii="Wingdings" w:hAnsi="Wingdings" w:hint="default"/>
      </w:rPr>
    </w:lvl>
    <w:lvl w:ilvl="6" w:tplc="1C090001" w:tentative="1">
      <w:start w:val="1"/>
      <w:numFmt w:val="bullet"/>
      <w:lvlText w:val=""/>
      <w:lvlJc w:val="left"/>
      <w:pPr>
        <w:ind w:left="6033" w:hanging="360"/>
      </w:pPr>
      <w:rPr>
        <w:rFonts w:ascii="Symbol" w:hAnsi="Symbol" w:hint="default"/>
      </w:rPr>
    </w:lvl>
    <w:lvl w:ilvl="7" w:tplc="1C090003" w:tentative="1">
      <w:start w:val="1"/>
      <w:numFmt w:val="bullet"/>
      <w:lvlText w:val="o"/>
      <w:lvlJc w:val="left"/>
      <w:pPr>
        <w:ind w:left="6753" w:hanging="360"/>
      </w:pPr>
      <w:rPr>
        <w:rFonts w:ascii="Courier New" w:hAnsi="Courier New" w:cs="Courier New" w:hint="default"/>
      </w:rPr>
    </w:lvl>
    <w:lvl w:ilvl="8" w:tplc="1C090005" w:tentative="1">
      <w:start w:val="1"/>
      <w:numFmt w:val="bullet"/>
      <w:lvlText w:val=""/>
      <w:lvlJc w:val="left"/>
      <w:pPr>
        <w:ind w:left="7473" w:hanging="360"/>
      </w:pPr>
      <w:rPr>
        <w:rFonts w:ascii="Wingdings" w:hAnsi="Wingdings" w:hint="default"/>
      </w:rPr>
    </w:lvl>
  </w:abstractNum>
  <w:abstractNum w:abstractNumId="1" w15:restartNumberingAfterBreak="0">
    <w:nsid w:val="199F0C11"/>
    <w:multiLevelType w:val="hybridMultilevel"/>
    <w:tmpl w:val="A596D448"/>
    <w:lvl w:ilvl="0" w:tplc="A4B6877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29BE1585"/>
    <w:multiLevelType w:val="hybridMultilevel"/>
    <w:tmpl w:val="9D6A5D18"/>
    <w:lvl w:ilvl="0" w:tplc="15BE6B4C">
      <w:start w:val="1"/>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55E16F1D"/>
    <w:multiLevelType w:val="hybridMultilevel"/>
    <w:tmpl w:val="CB54FEC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F0E3634"/>
    <w:multiLevelType w:val="hybridMultilevel"/>
    <w:tmpl w:val="8234A3CC"/>
    <w:lvl w:ilvl="0" w:tplc="BA04ADA8">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BCE"/>
    <w:rsid w:val="00025136"/>
    <w:rsid w:val="00313075"/>
    <w:rsid w:val="009812CE"/>
    <w:rsid w:val="00DA0918"/>
    <w:rsid w:val="00E95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3C44C"/>
  <w15:docId w15:val="{85452523-2871-40E3-BB8E-132892476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SarahS</dc:creator>
  <cp:lastModifiedBy>Sehlabela Chuene</cp:lastModifiedBy>
  <cp:revision>2</cp:revision>
  <dcterms:created xsi:type="dcterms:W3CDTF">2016-10-14T09:36:00Z</dcterms:created>
  <dcterms:modified xsi:type="dcterms:W3CDTF">2016-10-14T09:36:00Z</dcterms:modified>
</cp:coreProperties>
</file>