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01" w:rsidRPr="00C05B71" w:rsidRDefault="006B0F01" w:rsidP="00F46A53">
      <w:pPr>
        <w:spacing w:before="100" w:beforeAutospacing="1" w:after="100" w:afterAutospacing="1" w:line="240" w:lineRule="auto"/>
        <w:ind w:left="720" w:hanging="1854"/>
        <w:jc w:val="both"/>
        <w:outlineLvl w:val="0"/>
        <w:rPr>
          <w:rFonts w:ascii="Calibri" w:hAnsi="Calibri" w:cs="Times New Roman"/>
          <w:b/>
        </w:rPr>
      </w:pPr>
    </w:p>
    <w:p w:rsidR="006B0F01" w:rsidRPr="00765598" w:rsidRDefault="006B0F01" w:rsidP="00202F1C">
      <w:pPr>
        <w:spacing w:before="100" w:beforeAutospacing="1" w:after="100" w:afterAutospacing="1" w:line="240" w:lineRule="auto"/>
        <w:ind w:left="-142" w:firstLine="142"/>
        <w:jc w:val="both"/>
        <w:outlineLvl w:val="0"/>
        <w:rPr>
          <w:rFonts w:ascii="Times New Roman" w:hAnsi="Times New Roman" w:cs="Times New Roman"/>
          <w:b/>
        </w:rPr>
      </w:pPr>
    </w:p>
    <w:p w:rsidR="00323E1C" w:rsidRPr="00765598" w:rsidRDefault="00323E1C" w:rsidP="00C05B71">
      <w:pPr>
        <w:spacing w:before="100" w:beforeAutospacing="1" w:after="100" w:afterAutospacing="1" w:line="240" w:lineRule="auto"/>
        <w:ind w:left="720" w:hanging="720"/>
        <w:jc w:val="center"/>
        <w:outlineLvl w:val="0"/>
        <w:rPr>
          <w:rFonts w:ascii="Arial" w:hAnsi="Arial" w:cs="Arial"/>
          <w:b/>
        </w:rPr>
      </w:pPr>
      <w:r w:rsidRPr="00765598">
        <w:rPr>
          <w:rFonts w:ascii="Arial" w:hAnsi="Arial" w:cs="Arial"/>
          <w:b/>
        </w:rPr>
        <w:t>THE NATIONAL ASSEMBLY</w:t>
      </w:r>
    </w:p>
    <w:p w:rsidR="001C1A68" w:rsidRPr="00765598" w:rsidRDefault="000146A0" w:rsidP="00765598">
      <w:pPr>
        <w:spacing w:after="267" w:line="249" w:lineRule="auto"/>
        <w:ind w:left="818" w:hanging="818"/>
        <w:jc w:val="center"/>
        <w:rPr>
          <w:rFonts w:ascii="Arial" w:hAnsi="Arial" w:cs="Arial"/>
          <w:b/>
        </w:rPr>
      </w:pPr>
      <w:r>
        <w:rPr>
          <w:rFonts w:ascii="Arial" w:hAnsi="Arial" w:cs="Arial"/>
          <w:b/>
        </w:rPr>
        <w:t xml:space="preserve">    </w:t>
      </w:r>
      <w:r w:rsidR="00960556" w:rsidRPr="00765598">
        <w:rPr>
          <w:rFonts w:ascii="Arial" w:hAnsi="Arial" w:cs="Arial"/>
          <w:b/>
        </w:rPr>
        <w:t>QUESTION FOR WRITTEN REPLY</w:t>
      </w:r>
    </w:p>
    <w:p w:rsidR="00C80065" w:rsidRPr="00765598" w:rsidRDefault="005B544B" w:rsidP="00C80065">
      <w:pPr>
        <w:spacing w:before="100" w:beforeAutospacing="1" w:after="100" w:afterAutospacing="1"/>
        <w:ind w:left="567" w:hanging="567"/>
        <w:rPr>
          <w:rFonts w:ascii="Arial" w:eastAsia="Times New Roman" w:hAnsi="Arial" w:cs="Arial"/>
          <w:lang w:val="en-GB" w:eastAsia="en-GB"/>
        </w:rPr>
      </w:pPr>
      <w:r w:rsidRPr="00765598">
        <w:rPr>
          <w:rFonts w:ascii="Times New Roman" w:hAnsi="Times New Roman" w:cs="Times New Roman"/>
          <w:b/>
        </w:rPr>
        <w:tab/>
      </w:r>
      <w:r w:rsidR="00C80065" w:rsidRPr="00765598">
        <w:rPr>
          <w:rFonts w:ascii="Arial" w:eastAsia="Times New Roman" w:hAnsi="Arial" w:cs="Arial"/>
          <w:b/>
          <w:iCs/>
          <w:lang w:val="en-GB" w:eastAsia="en-GB"/>
        </w:rPr>
        <w:t>1890.</w:t>
      </w:r>
      <w:r w:rsidR="00C80065" w:rsidRPr="00765598">
        <w:rPr>
          <w:rFonts w:ascii="Arial" w:eastAsia="Times New Roman" w:hAnsi="Arial" w:cs="Arial"/>
          <w:b/>
          <w:iCs/>
          <w:lang w:val="en-GB" w:eastAsia="en-GB"/>
        </w:rPr>
        <w:tab/>
        <w:t xml:space="preserve">Mr N F </w:t>
      </w:r>
      <w:proofErr w:type="spellStart"/>
      <w:r w:rsidR="00C80065" w:rsidRPr="00765598">
        <w:rPr>
          <w:rFonts w:ascii="Arial" w:eastAsia="Times New Roman" w:hAnsi="Arial" w:cs="Arial"/>
          <w:b/>
          <w:iCs/>
          <w:lang w:val="en-GB" w:eastAsia="en-GB"/>
        </w:rPr>
        <w:t>Shivambu</w:t>
      </w:r>
      <w:proofErr w:type="spellEnd"/>
      <w:r w:rsidR="00C80065" w:rsidRPr="00765598">
        <w:rPr>
          <w:rFonts w:ascii="Arial" w:eastAsia="Times New Roman" w:hAnsi="Arial" w:cs="Arial"/>
          <w:b/>
          <w:iCs/>
          <w:lang w:val="en-GB" w:eastAsia="en-GB"/>
        </w:rPr>
        <w:t xml:space="preserve"> (EFF) to ask the Minister of Trade and Industry:</w:t>
      </w:r>
    </w:p>
    <w:p w:rsidR="00765598" w:rsidRPr="00765598" w:rsidRDefault="00256232" w:rsidP="00765598">
      <w:pPr>
        <w:tabs>
          <w:tab w:val="left" w:pos="1418"/>
        </w:tabs>
        <w:spacing w:before="100" w:beforeAutospacing="1" w:after="100" w:afterAutospacing="1" w:line="240" w:lineRule="auto"/>
        <w:ind w:left="1418" w:hanging="567"/>
        <w:jc w:val="both"/>
        <w:rPr>
          <w:rFonts w:ascii="Arial" w:eastAsia="Times New Roman" w:hAnsi="Arial" w:cs="Arial"/>
          <w:iCs/>
          <w:lang w:val="en-GB" w:eastAsia="en-GB"/>
        </w:rPr>
      </w:pPr>
      <w:r w:rsidRPr="00765598">
        <w:rPr>
          <w:rFonts w:ascii="Arial" w:eastAsia="Times New Roman" w:hAnsi="Arial" w:cs="Arial"/>
          <w:iCs/>
          <w:lang w:val="en-GB" w:eastAsia="en-GB"/>
        </w:rPr>
        <w:tab/>
      </w:r>
      <w:r w:rsidR="00C80065" w:rsidRPr="00765598">
        <w:rPr>
          <w:rFonts w:ascii="Arial" w:eastAsia="Times New Roman" w:hAnsi="Arial" w:cs="Arial"/>
          <w:iCs/>
          <w:lang w:val="en-GB" w:eastAsia="en-GB"/>
        </w:rPr>
        <w:t xml:space="preserve">Whether (a) his department and (b) each entity reporting to him appointed transaction advisors for tenders in the period 1 January 2012 to 31 December 2016; if so, (i) who were the transaction advisors that were appointed for the tenders, (ii) for which tenders were they appointed, (iii) what was the pricing for the tenders in question and (iv) what amount were the transaction advisors paid? </w:t>
      </w:r>
    </w:p>
    <w:p w:rsidR="00C80065" w:rsidRPr="00765598" w:rsidRDefault="00765598" w:rsidP="00765598">
      <w:pPr>
        <w:tabs>
          <w:tab w:val="left" w:pos="1418"/>
        </w:tabs>
        <w:spacing w:before="100" w:beforeAutospacing="1" w:after="100" w:afterAutospacing="1" w:line="240" w:lineRule="auto"/>
        <w:jc w:val="both"/>
        <w:rPr>
          <w:rFonts w:ascii="Arial" w:eastAsia="Times New Roman" w:hAnsi="Arial" w:cs="Arial"/>
          <w:b/>
          <w:iCs/>
          <w:lang w:val="en-GB" w:eastAsia="en-GB"/>
        </w:rPr>
      </w:pPr>
      <w:r w:rsidRPr="00765598">
        <w:rPr>
          <w:rFonts w:ascii="Arial" w:eastAsia="Times New Roman" w:hAnsi="Arial" w:cs="Arial"/>
          <w:iCs/>
          <w:lang w:val="en-GB" w:eastAsia="en-GB"/>
        </w:rPr>
        <w:tab/>
      </w:r>
      <w:r w:rsidRPr="00765598">
        <w:rPr>
          <w:rFonts w:ascii="Arial" w:eastAsia="Times New Roman" w:hAnsi="Arial" w:cs="Arial"/>
          <w:b/>
          <w:iCs/>
          <w:lang w:val="en-GB" w:eastAsia="en-GB"/>
        </w:rPr>
        <w:t>Response from the Department</w:t>
      </w:r>
    </w:p>
    <w:p w:rsidR="00765598" w:rsidRPr="00765598" w:rsidRDefault="00765598" w:rsidP="00765598">
      <w:pPr>
        <w:tabs>
          <w:tab w:val="left" w:pos="1418"/>
        </w:tabs>
        <w:spacing w:before="100" w:beforeAutospacing="1" w:after="100" w:afterAutospacing="1" w:line="240" w:lineRule="auto"/>
        <w:jc w:val="both"/>
        <w:rPr>
          <w:rFonts w:ascii="Arial" w:eastAsia="Times New Roman" w:hAnsi="Arial" w:cs="Arial"/>
          <w:lang w:val="en-GB" w:eastAsia="en-GB"/>
        </w:rPr>
      </w:pPr>
      <w:r w:rsidRPr="00765598">
        <w:rPr>
          <w:rFonts w:ascii="Arial" w:eastAsia="Times New Roman" w:hAnsi="Arial" w:cs="Arial"/>
          <w:lang w:val="en-GB" w:eastAsia="en-GB"/>
        </w:rPr>
        <w:tab/>
        <w:t>The department did not make use of any transactional advisors for the above mentioned period.</w:t>
      </w:r>
    </w:p>
    <w:p w:rsidR="00765598" w:rsidRPr="00765598" w:rsidRDefault="00765598" w:rsidP="00765598">
      <w:pPr>
        <w:tabs>
          <w:tab w:val="left" w:pos="1418"/>
        </w:tabs>
        <w:spacing w:before="100" w:beforeAutospacing="1" w:after="100" w:afterAutospacing="1" w:line="240" w:lineRule="auto"/>
        <w:jc w:val="both"/>
        <w:rPr>
          <w:rFonts w:ascii="Arial" w:eastAsia="Times New Roman" w:hAnsi="Arial" w:cs="Arial"/>
          <w:b/>
          <w:lang w:val="en-GB" w:eastAsia="en-GB"/>
        </w:rPr>
      </w:pPr>
      <w:r w:rsidRPr="00765598">
        <w:rPr>
          <w:rFonts w:ascii="Arial" w:eastAsia="Times New Roman" w:hAnsi="Arial" w:cs="Arial"/>
          <w:lang w:val="en-GB" w:eastAsia="en-GB"/>
        </w:rPr>
        <w:tab/>
      </w:r>
      <w:r w:rsidRPr="00765598">
        <w:rPr>
          <w:rFonts w:ascii="Arial" w:eastAsia="Times New Roman" w:hAnsi="Arial" w:cs="Arial"/>
          <w:b/>
          <w:lang w:val="en-GB" w:eastAsia="en-GB"/>
        </w:rPr>
        <w:t>Response from the Entities</w:t>
      </w:r>
    </w:p>
    <w:tbl>
      <w:tblPr>
        <w:tblStyle w:val="TableGrid"/>
        <w:tblW w:w="14674" w:type="dxa"/>
        <w:tblInd w:w="810" w:type="dxa"/>
        <w:tblLayout w:type="fixed"/>
        <w:tblLook w:val="04A0" w:firstRow="1" w:lastRow="0" w:firstColumn="1" w:lastColumn="0" w:noHBand="0" w:noVBand="1"/>
      </w:tblPr>
      <w:tblGrid>
        <w:gridCol w:w="3126"/>
        <w:gridCol w:w="2693"/>
        <w:gridCol w:w="2268"/>
        <w:gridCol w:w="2410"/>
        <w:gridCol w:w="1842"/>
        <w:gridCol w:w="2335"/>
      </w:tblGrid>
      <w:tr w:rsidR="005E34F8" w:rsidRPr="00EF6567" w:rsidTr="001C1A68">
        <w:trPr>
          <w:tblHeader/>
        </w:trPr>
        <w:tc>
          <w:tcPr>
            <w:tcW w:w="3126" w:type="dxa"/>
            <w:shd w:val="clear" w:color="auto" w:fill="FFC000"/>
          </w:tcPr>
          <w:p w:rsidR="005E34F8" w:rsidRPr="005E34F8" w:rsidRDefault="005E34F8" w:rsidP="00EF6567">
            <w:pPr>
              <w:spacing w:before="100" w:beforeAutospacing="1" w:after="0"/>
              <w:jc w:val="both"/>
              <w:outlineLvl w:val="0"/>
              <w:rPr>
                <w:rFonts w:ascii="Arial" w:hAnsi="Arial" w:cs="Arial"/>
                <w:b/>
              </w:rPr>
            </w:pPr>
            <w:r w:rsidRPr="005E34F8">
              <w:rPr>
                <w:rFonts w:ascii="Arial" w:hAnsi="Arial" w:cs="Arial"/>
                <w:b/>
              </w:rPr>
              <w:t>Entity</w:t>
            </w:r>
          </w:p>
          <w:p w:rsidR="005E34F8" w:rsidRPr="005E34F8" w:rsidRDefault="005E34F8" w:rsidP="00EF6567">
            <w:pPr>
              <w:spacing w:after="100" w:afterAutospacing="1"/>
              <w:jc w:val="both"/>
              <w:outlineLvl w:val="0"/>
              <w:rPr>
                <w:rFonts w:ascii="Arial" w:hAnsi="Arial" w:cs="Arial"/>
                <w:b/>
              </w:rPr>
            </w:pPr>
          </w:p>
        </w:tc>
        <w:tc>
          <w:tcPr>
            <w:tcW w:w="2693" w:type="dxa"/>
            <w:shd w:val="clear" w:color="auto" w:fill="FFC000"/>
          </w:tcPr>
          <w:p w:rsidR="005E34F8" w:rsidRPr="005E34F8" w:rsidRDefault="005E34F8" w:rsidP="00370706">
            <w:pPr>
              <w:spacing w:before="100" w:beforeAutospacing="1" w:after="100" w:afterAutospacing="1"/>
              <w:jc w:val="both"/>
              <w:outlineLvl w:val="0"/>
              <w:rPr>
                <w:rFonts w:ascii="Arial" w:hAnsi="Arial" w:cs="Arial"/>
                <w:b/>
              </w:rPr>
            </w:pPr>
            <w:r w:rsidRPr="005E34F8">
              <w:rPr>
                <w:rFonts w:ascii="Arial" w:hAnsi="Arial" w:cs="Arial"/>
                <w:b/>
              </w:rPr>
              <w:t>b</w:t>
            </w:r>
          </w:p>
        </w:tc>
        <w:tc>
          <w:tcPr>
            <w:tcW w:w="2268" w:type="dxa"/>
            <w:shd w:val="clear" w:color="auto" w:fill="FFC000"/>
          </w:tcPr>
          <w:p w:rsidR="005E34F8" w:rsidRPr="005E34F8" w:rsidRDefault="005E34F8" w:rsidP="00370706">
            <w:pPr>
              <w:spacing w:before="100" w:beforeAutospacing="1" w:after="100" w:afterAutospacing="1"/>
              <w:jc w:val="both"/>
              <w:outlineLvl w:val="0"/>
              <w:rPr>
                <w:rFonts w:ascii="Arial" w:hAnsi="Arial" w:cs="Arial"/>
                <w:b/>
              </w:rPr>
            </w:pPr>
            <w:r w:rsidRPr="005E34F8">
              <w:rPr>
                <w:rFonts w:ascii="Arial" w:hAnsi="Arial" w:cs="Arial"/>
                <w:b/>
              </w:rPr>
              <w:t>b(i)</w:t>
            </w:r>
          </w:p>
        </w:tc>
        <w:tc>
          <w:tcPr>
            <w:tcW w:w="2410" w:type="dxa"/>
            <w:shd w:val="clear" w:color="auto" w:fill="FFC000"/>
          </w:tcPr>
          <w:p w:rsidR="005E34F8" w:rsidRPr="005E34F8" w:rsidRDefault="005E34F8" w:rsidP="00370706">
            <w:pPr>
              <w:spacing w:before="100" w:beforeAutospacing="1" w:after="100" w:afterAutospacing="1"/>
              <w:jc w:val="both"/>
              <w:outlineLvl w:val="0"/>
              <w:rPr>
                <w:rFonts w:ascii="Arial" w:hAnsi="Arial" w:cs="Arial"/>
                <w:b/>
              </w:rPr>
            </w:pPr>
            <w:r w:rsidRPr="005E34F8">
              <w:rPr>
                <w:rFonts w:ascii="Arial" w:hAnsi="Arial" w:cs="Arial"/>
                <w:b/>
              </w:rPr>
              <w:t>b(ii)</w:t>
            </w:r>
          </w:p>
        </w:tc>
        <w:tc>
          <w:tcPr>
            <w:tcW w:w="1842" w:type="dxa"/>
            <w:shd w:val="clear" w:color="auto" w:fill="FFC000"/>
          </w:tcPr>
          <w:p w:rsidR="005E34F8" w:rsidRPr="005E34F8" w:rsidRDefault="005E34F8" w:rsidP="00370706">
            <w:pPr>
              <w:spacing w:before="100" w:beforeAutospacing="1" w:after="100" w:afterAutospacing="1"/>
              <w:jc w:val="both"/>
              <w:outlineLvl w:val="0"/>
              <w:rPr>
                <w:rFonts w:ascii="Arial" w:hAnsi="Arial" w:cs="Arial"/>
                <w:b/>
              </w:rPr>
            </w:pPr>
            <w:r w:rsidRPr="005E34F8">
              <w:rPr>
                <w:rFonts w:ascii="Arial" w:hAnsi="Arial" w:cs="Arial"/>
                <w:b/>
              </w:rPr>
              <w:t>(iii)</w:t>
            </w:r>
          </w:p>
        </w:tc>
        <w:tc>
          <w:tcPr>
            <w:tcW w:w="2335" w:type="dxa"/>
            <w:shd w:val="clear" w:color="auto" w:fill="FFC000"/>
          </w:tcPr>
          <w:p w:rsidR="005E34F8" w:rsidRPr="005E34F8" w:rsidRDefault="005E34F8" w:rsidP="00370706">
            <w:pPr>
              <w:spacing w:before="100" w:beforeAutospacing="1" w:after="100" w:afterAutospacing="1"/>
              <w:jc w:val="both"/>
              <w:outlineLvl w:val="0"/>
              <w:rPr>
                <w:rFonts w:ascii="Arial" w:hAnsi="Arial" w:cs="Arial"/>
                <w:b/>
              </w:rPr>
            </w:pPr>
            <w:r w:rsidRPr="005E34F8">
              <w:rPr>
                <w:rFonts w:ascii="Arial" w:hAnsi="Arial" w:cs="Arial"/>
                <w:b/>
              </w:rPr>
              <w:t>(iv)</w:t>
            </w:r>
          </w:p>
        </w:tc>
      </w:tr>
      <w:tr w:rsidR="005E34F8" w:rsidRPr="00EF6567" w:rsidTr="001C1A68">
        <w:tc>
          <w:tcPr>
            <w:tcW w:w="3126" w:type="dxa"/>
            <w:shd w:val="clear" w:color="auto" w:fill="FFFFFF" w:themeFill="background1"/>
          </w:tcPr>
          <w:p w:rsidR="005E34F8" w:rsidRPr="005E34F8" w:rsidRDefault="005E34F8" w:rsidP="0074637E">
            <w:pPr>
              <w:spacing w:before="100" w:beforeAutospacing="1" w:after="100" w:afterAutospacing="1"/>
              <w:jc w:val="both"/>
              <w:outlineLvl w:val="0"/>
              <w:rPr>
                <w:rFonts w:ascii="Arial" w:hAnsi="Arial" w:cs="Arial"/>
                <w:b/>
              </w:rPr>
            </w:pPr>
            <w:r w:rsidRPr="005E34F8">
              <w:rPr>
                <w:rFonts w:ascii="Arial" w:hAnsi="Arial" w:cs="Arial"/>
                <w:b/>
              </w:rPr>
              <w:t>Companies and Intellectual Property Commission (CIPC)</w:t>
            </w:r>
          </w:p>
        </w:tc>
        <w:tc>
          <w:tcPr>
            <w:tcW w:w="2693" w:type="dxa"/>
            <w:shd w:val="clear" w:color="auto" w:fill="FFFFFF" w:themeFill="background1"/>
          </w:tcPr>
          <w:p w:rsidR="005E34F8" w:rsidRPr="005E34F8" w:rsidRDefault="005E34F8" w:rsidP="00C80065">
            <w:pPr>
              <w:spacing w:before="100" w:beforeAutospacing="1" w:after="100" w:afterAutospacing="1" w:line="240" w:lineRule="auto"/>
              <w:contextualSpacing/>
              <w:jc w:val="both"/>
              <w:outlineLvl w:val="0"/>
              <w:rPr>
                <w:rFonts w:ascii="Arial" w:hAnsi="Arial" w:cs="Arial"/>
              </w:rPr>
            </w:pPr>
            <w:r w:rsidRPr="005E34F8">
              <w:rPr>
                <w:rFonts w:ascii="Arial" w:hAnsi="Arial" w:cs="Arial"/>
              </w:rPr>
              <w:t>No transaction advisors for tenders were appointed</w:t>
            </w:r>
          </w:p>
        </w:tc>
        <w:tc>
          <w:tcPr>
            <w:tcW w:w="2268" w:type="dxa"/>
            <w:shd w:val="clear" w:color="auto" w:fill="FFFFFF" w:themeFill="background1"/>
          </w:tcPr>
          <w:p w:rsidR="005E34F8" w:rsidRPr="005E34F8" w:rsidRDefault="005E34F8" w:rsidP="0074637E">
            <w:pPr>
              <w:jc w:val="both"/>
              <w:rPr>
                <w:rFonts w:ascii="Arial" w:hAnsi="Arial" w:cs="Arial"/>
              </w:rPr>
            </w:pPr>
            <w:r w:rsidRPr="005E34F8">
              <w:rPr>
                <w:rFonts w:ascii="Arial" w:hAnsi="Arial" w:cs="Arial"/>
              </w:rPr>
              <w:t>Not applicable</w:t>
            </w:r>
          </w:p>
        </w:tc>
        <w:tc>
          <w:tcPr>
            <w:tcW w:w="2410" w:type="dxa"/>
            <w:shd w:val="clear" w:color="auto" w:fill="FFFFFF" w:themeFill="background1"/>
          </w:tcPr>
          <w:p w:rsidR="005E34F8" w:rsidRPr="005E34F8" w:rsidRDefault="005E34F8" w:rsidP="0074637E">
            <w:pPr>
              <w:jc w:val="both"/>
              <w:rPr>
                <w:rFonts w:ascii="Arial" w:hAnsi="Arial" w:cs="Arial"/>
              </w:rPr>
            </w:pPr>
            <w:r w:rsidRPr="005E34F8">
              <w:rPr>
                <w:rFonts w:ascii="Arial" w:hAnsi="Arial" w:cs="Arial"/>
              </w:rPr>
              <w:t xml:space="preserve">Not applicable </w:t>
            </w:r>
          </w:p>
        </w:tc>
        <w:tc>
          <w:tcPr>
            <w:tcW w:w="1842" w:type="dxa"/>
            <w:shd w:val="clear" w:color="auto" w:fill="FFFFFF" w:themeFill="background1"/>
          </w:tcPr>
          <w:p w:rsidR="005E34F8" w:rsidRPr="005E34F8" w:rsidRDefault="005E34F8" w:rsidP="0074637E">
            <w:pPr>
              <w:spacing w:before="100" w:beforeAutospacing="1" w:after="100" w:afterAutospacing="1" w:line="240" w:lineRule="auto"/>
              <w:contextualSpacing/>
              <w:jc w:val="both"/>
              <w:outlineLvl w:val="0"/>
              <w:rPr>
                <w:rFonts w:ascii="Arial" w:hAnsi="Arial" w:cs="Arial"/>
              </w:rPr>
            </w:pPr>
            <w:r w:rsidRPr="005E34F8">
              <w:rPr>
                <w:rFonts w:ascii="Arial" w:hAnsi="Arial" w:cs="Arial"/>
              </w:rPr>
              <w:t xml:space="preserve">Not applicable </w:t>
            </w:r>
          </w:p>
        </w:tc>
        <w:tc>
          <w:tcPr>
            <w:tcW w:w="2335" w:type="dxa"/>
            <w:shd w:val="clear" w:color="auto" w:fill="FFFFFF" w:themeFill="background1"/>
          </w:tcPr>
          <w:p w:rsidR="005E34F8" w:rsidRPr="005E34F8" w:rsidRDefault="005E34F8" w:rsidP="0074637E">
            <w:pPr>
              <w:spacing w:before="100" w:beforeAutospacing="1" w:after="100" w:afterAutospacing="1" w:line="240" w:lineRule="auto"/>
              <w:contextualSpacing/>
              <w:jc w:val="both"/>
              <w:outlineLvl w:val="0"/>
              <w:rPr>
                <w:rFonts w:ascii="Arial" w:hAnsi="Arial" w:cs="Arial"/>
              </w:rPr>
            </w:pPr>
            <w:r w:rsidRPr="005E34F8">
              <w:rPr>
                <w:rFonts w:ascii="Arial" w:hAnsi="Arial" w:cs="Arial"/>
              </w:rPr>
              <w:t xml:space="preserve">Not applicable </w:t>
            </w:r>
          </w:p>
        </w:tc>
      </w:tr>
      <w:tr w:rsidR="005E34F8" w:rsidRPr="003C1064" w:rsidTr="001C1A68">
        <w:tc>
          <w:tcPr>
            <w:tcW w:w="3126" w:type="dxa"/>
            <w:shd w:val="clear" w:color="auto" w:fill="FFFFFF" w:themeFill="background1"/>
          </w:tcPr>
          <w:p w:rsidR="005E34F8" w:rsidRPr="005E34F8" w:rsidRDefault="005E34F8" w:rsidP="0074637E">
            <w:pPr>
              <w:spacing w:before="100" w:beforeAutospacing="1" w:after="100" w:afterAutospacing="1"/>
              <w:jc w:val="both"/>
              <w:outlineLvl w:val="0"/>
              <w:rPr>
                <w:rFonts w:ascii="Arial" w:hAnsi="Arial" w:cs="Arial"/>
                <w:b/>
              </w:rPr>
            </w:pPr>
            <w:r w:rsidRPr="005E34F8">
              <w:rPr>
                <w:rFonts w:ascii="Arial" w:hAnsi="Arial" w:cs="Arial"/>
                <w:b/>
              </w:rPr>
              <w:t>Companies Tribunal (CT)</w:t>
            </w:r>
          </w:p>
        </w:tc>
        <w:tc>
          <w:tcPr>
            <w:tcW w:w="2693" w:type="dxa"/>
            <w:shd w:val="clear" w:color="auto" w:fill="FFFFFF" w:themeFill="background1"/>
          </w:tcPr>
          <w:p w:rsidR="005E34F8" w:rsidRPr="005E34F8" w:rsidRDefault="005E34F8" w:rsidP="00370706">
            <w:pPr>
              <w:spacing w:before="100" w:beforeAutospacing="1" w:after="100" w:afterAutospacing="1" w:line="240" w:lineRule="auto"/>
              <w:contextualSpacing/>
              <w:jc w:val="both"/>
              <w:outlineLvl w:val="0"/>
              <w:rPr>
                <w:rFonts w:ascii="Arial" w:hAnsi="Arial" w:cs="Arial"/>
              </w:rPr>
            </w:pPr>
            <w:r w:rsidRPr="005E34F8">
              <w:rPr>
                <w:rFonts w:ascii="Arial" w:hAnsi="Arial" w:cs="Arial"/>
              </w:rPr>
              <w:t>No transaction advisors for tenders were appointed</w:t>
            </w:r>
          </w:p>
        </w:tc>
        <w:tc>
          <w:tcPr>
            <w:tcW w:w="2268" w:type="dxa"/>
            <w:shd w:val="clear" w:color="auto" w:fill="FFFFFF" w:themeFill="background1"/>
          </w:tcPr>
          <w:p w:rsidR="005E34F8" w:rsidRPr="005E34F8" w:rsidRDefault="005E34F8">
            <w:pPr>
              <w:rPr>
                <w:rFonts w:ascii="Arial" w:hAnsi="Arial" w:cs="Arial"/>
              </w:rPr>
            </w:pPr>
            <w:r w:rsidRPr="005E34F8">
              <w:rPr>
                <w:rFonts w:ascii="Arial" w:hAnsi="Arial" w:cs="Arial"/>
              </w:rPr>
              <w:t xml:space="preserve">Not applicable </w:t>
            </w:r>
          </w:p>
        </w:tc>
        <w:tc>
          <w:tcPr>
            <w:tcW w:w="2410" w:type="dxa"/>
            <w:shd w:val="clear" w:color="auto" w:fill="FFFFFF" w:themeFill="background1"/>
          </w:tcPr>
          <w:p w:rsidR="005E34F8" w:rsidRPr="005E34F8" w:rsidRDefault="005E34F8" w:rsidP="00370706">
            <w:pPr>
              <w:jc w:val="both"/>
              <w:rPr>
                <w:rFonts w:ascii="Arial" w:hAnsi="Arial" w:cs="Arial"/>
              </w:rPr>
            </w:pPr>
            <w:r w:rsidRPr="005E34F8">
              <w:rPr>
                <w:rFonts w:ascii="Arial" w:hAnsi="Arial" w:cs="Arial"/>
              </w:rPr>
              <w:t xml:space="preserve">Not applicable </w:t>
            </w:r>
          </w:p>
        </w:tc>
        <w:tc>
          <w:tcPr>
            <w:tcW w:w="1842" w:type="dxa"/>
            <w:shd w:val="clear" w:color="auto" w:fill="FFFFFF" w:themeFill="background1"/>
          </w:tcPr>
          <w:p w:rsidR="005E34F8" w:rsidRPr="005E34F8" w:rsidRDefault="005E34F8" w:rsidP="00370706">
            <w:pPr>
              <w:spacing w:before="100" w:beforeAutospacing="1" w:after="100" w:afterAutospacing="1" w:line="240" w:lineRule="auto"/>
              <w:contextualSpacing/>
              <w:jc w:val="both"/>
              <w:outlineLvl w:val="0"/>
              <w:rPr>
                <w:rFonts w:ascii="Arial" w:hAnsi="Arial" w:cs="Arial"/>
              </w:rPr>
            </w:pPr>
            <w:r w:rsidRPr="005E34F8">
              <w:rPr>
                <w:rFonts w:ascii="Arial" w:hAnsi="Arial" w:cs="Arial"/>
              </w:rPr>
              <w:t xml:space="preserve">Not applicable </w:t>
            </w:r>
          </w:p>
        </w:tc>
        <w:tc>
          <w:tcPr>
            <w:tcW w:w="2335" w:type="dxa"/>
            <w:shd w:val="clear" w:color="auto" w:fill="FFFFFF" w:themeFill="background1"/>
          </w:tcPr>
          <w:p w:rsidR="005E34F8" w:rsidRPr="005E34F8" w:rsidRDefault="005E34F8" w:rsidP="00370706">
            <w:pPr>
              <w:spacing w:before="100" w:beforeAutospacing="1" w:after="100" w:afterAutospacing="1" w:line="240" w:lineRule="auto"/>
              <w:contextualSpacing/>
              <w:jc w:val="both"/>
              <w:outlineLvl w:val="0"/>
              <w:rPr>
                <w:rFonts w:ascii="Arial" w:hAnsi="Arial" w:cs="Arial"/>
              </w:rPr>
            </w:pPr>
            <w:r w:rsidRPr="005E34F8">
              <w:rPr>
                <w:rFonts w:ascii="Arial" w:hAnsi="Arial" w:cs="Arial"/>
              </w:rPr>
              <w:t xml:space="preserve">Not applicable </w:t>
            </w:r>
          </w:p>
        </w:tc>
      </w:tr>
      <w:tr w:rsidR="005E34F8" w:rsidRPr="003C1064" w:rsidTr="001C1A68">
        <w:tc>
          <w:tcPr>
            <w:tcW w:w="3126" w:type="dxa"/>
            <w:shd w:val="clear" w:color="auto" w:fill="FFFFFF" w:themeFill="background1"/>
          </w:tcPr>
          <w:p w:rsidR="005E34F8" w:rsidRPr="005E34F8" w:rsidRDefault="005E34F8" w:rsidP="0074637E">
            <w:pPr>
              <w:spacing w:before="100" w:beforeAutospacing="1" w:after="100" w:afterAutospacing="1"/>
              <w:jc w:val="both"/>
              <w:outlineLvl w:val="0"/>
              <w:rPr>
                <w:rFonts w:ascii="Arial" w:hAnsi="Arial" w:cs="Arial"/>
                <w:b/>
              </w:rPr>
            </w:pPr>
            <w:r w:rsidRPr="005E34F8">
              <w:rPr>
                <w:rFonts w:ascii="Arial" w:hAnsi="Arial" w:cs="Arial"/>
                <w:b/>
              </w:rPr>
              <w:t>Export Credit Insurance Corporation (ECIC)</w:t>
            </w:r>
          </w:p>
        </w:tc>
        <w:tc>
          <w:tcPr>
            <w:tcW w:w="2693" w:type="dxa"/>
            <w:shd w:val="clear" w:color="auto" w:fill="FFFFFF" w:themeFill="background1"/>
          </w:tcPr>
          <w:p w:rsidR="005E34F8" w:rsidRPr="005E34F8" w:rsidRDefault="005E34F8" w:rsidP="00F12EC0">
            <w:pPr>
              <w:spacing w:before="100" w:beforeAutospacing="1" w:after="100" w:afterAutospacing="1" w:line="240" w:lineRule="auto"/>
              <w:contextualSpacing/>
              <w:jc w:val="both"/>
              <w:outlineLvl w:val="0"/>
              <w:rPr>
                <w:rFonts w:ascii="Arial" w:hAnsi="Arial" w:cs="Arial"/>
              </w:rPr>
            </w:pPr>
            <w:r w:rsidRPr="005E34F8">
              <w:rPr>
                <w:rFonts w:ascii="Arial" w:hAnsi="Arial" w:cs="Arial"/>
              </w:rPr>
              <w:t>No transaction advisors for tenders were appointed</w:t>
            </w:r>
          </w:p>
        </w:tc>
        <w:tc>
          <w:tcPr>
            <w:tcW w:w="2268" w:type="dxa"/>
            <w:shd w:val="clear" w:color="auto" w:fill="FFFFFF" w:themeFill="background1"/>
          </w:tcPr>
          <w:p w:rsidR="005E34F8" w:rsidRPr="005E34F8" w:rsidRDefault="005E34F8">
            <w:pPr>
              <w:rPr>
                <w:rFonts w:ascii="Arial" w:hAnsi="Arial" w:cs="Arial"/>
              </w:rPr>
            </w:pPr>
            <w:r w:rsidRPr="005E34F8">
              <w:rPr>
                <w:rFonts w:ascii="Arial" w:hAnsi="Arial" w:cs="Arial"/>
              </w:rPr>
              <w:t xml:space="preserve">Not applicable </w:t>
            </w:r>
          </w:p>
        </w:tc>
        <w:tc>
          <w:tcPr>
            <w:tcW w:w="2410" w:type="dxa"/>
            <w:shd w:val="clear" w:color="auto" w:fill="FFFFFF" w:themeFill="background1"/>
          </w:tcPr>
          <w:p w:rsidR="005E34F8" w:rsidRPr="005E34F8" w:rsidRDefault="005E34F8" w:rsidP="00F12EC0">
            <w:pPr>
              <w:jc w:val="both"/>
              <w:rPr>
                <w:rFonts w:ascii="Arial" w:hAnsi="Arial" w:cs="Arial"/>
              </w:rPr>
            </w:pPr>
            <w:r w:rsidRPr="005E34F8">
              <w:rPr>
                <w:rFonts w:ascii="Arial" w:hAnsi="Arial" w:cs="Arial"/>
              </w:rPr>
              <w:t xml:space="preserve">Not applicable </w:t>
            </w:r>
          </w:p>
        </w:tc>
        <w:tc>
          <w:tcPr>
            <w:tcW w:w="1842" w:type="dxa"/>
            <w:shd w:val="clear" w:color="auto" w:fill="FFFFFF" w:themeFill="background1"/>
          </w:tcPr>
          <w:p w:rsidR="005E34F8" w:rsidRPr="005E34F8" w:rsidRDefault="005E34F8" w:rsidP="00F12EC0">
            <w:pPr>
              <w:spacing w:before="100" w:beforeAutospacing="1" w:after="100" w:afterAutospacing="1" w:line="240" w:lineRule="auto"/>
              <w:contextualSpacing/>
              <w:jc w:val="both"/>
              <w:outlineLvl w:val="0"/>
              <w:rPr>
                <w:rFonts w:ascii="Arial" w:hAnsi="Arial" w:cs="Arial"/>
              </w:rPr>
            </w:pPr>
            <w:r w:rsidRPr="005E34F8">
              <w:rPr>
                <w:rFonts w:ascii="Arial" w:hAnsi="Arial" w:cs="Arial"/>
              </w:rPr>
              <w:t xml:space="preserve">Not applicable </w:t>
            </w:r>
          </w:p>
        </w:tc>
        <w:tc>
          <w:tcPr>
            <w:tcW w:w="2335" w:type="dxa"/>
            <w:shd w:val="clear" w:color="auto" w:fill="FFFFFF" w:themeFill="background1"/>
          </w:tcPr>
          <w:p w:rsidR="005E34F8" w:rsidRPr="005E34F8" w:rsidRDefault="005E34F8" w:rsidP="00F12EC0">
            <w:pPr>
              <w:spacing w:before="100" w:beforeAutospacing="1" w:after="100" w:afterAutospacing="1" w:line="240" w:lineRule="auto"/>
              <w:contextualSpacing/>
              <w:jc w:val="both"/>
              <w:outlineLvl w:val="0"/>
              <w:rPr>
                <w:rFonts w:ascii="Arial" w:hAnsi="Arial" w:cs="Arial"/>
              </w:rPr>
            </w:pPr>
            <w:r w:rsidRPr="005E34F8">
              <w:rPr>
                <w:rFonts w:ascii="Arial" w:hAnsi="Arial" w:cs="Arial"/>
              </w:rPr>
              <w:t xml:space="preserve">Not applicable </w:t>
            </w:r>
          </w:p>
        </w:tc>
      </w:tr>
      <w:tr w:rsidR="001C1A68" w:rsidRPr="001C1A68" w:rsidTr="001C1A68">
        <w:tc>
          <w:tcPr>
            <w:tcW w:w="3126" w:type="dxa"/>
            <w:shd w:val="clear" w:color="auto" w:fill="FFFFFF" w:themeFill="background1"/>
          </w:tcPr>
          <w:p w:rsidR="005E34F8" w:rsidRPr="001C1A68" w:rsidRDefault="005E34F8" w:rsidP="0074637E">
            <w:pPr>
              <w:spacing w:before="100" w:beforeAutospacing="1" w:after="100" w:afterAutospacing="1"/>
              <w:jc w:val="both"/>
              <w:outlineLvl w:val="0"/>
              <w:rPr>
                <w:rFonts w:ascii="Arial" w:hAnsi="Arial" w:cs="Arial"/>
                <w:b/>
              </w:rPr>
            </w:pPr>
            <w:r w:rsidRPr="001C1A68">
              <w:rPr>
                <w:rFonts w:ascii="Arial" w:hAnsi="Arial" w:cs="Arial"/>
                <w:b/>
              </w:rPr>
              <w:t>National Consumer Commission (NCC)</w:t>
            </w:r>
          </w:p>
        </w:tc>
        <w:tc>
          <w:tcPr>
            <w:tcW w:w="2693" w:type="dxa"/>
            <w:shd w:val="clear" w:color="auto" w:fill="FFFFFF" w:themeFill="background1"/>
          </w:tcPr>
          <w:p w:rsidR="005E34F8" w:rsidRPr="001C1A68" w:rsidRDefault="001C1A68" w:rsidP="00DD173F">
            <w:pPr>
              <w:spacing w:before="100" w:beforeAutospacing="1" w:after="100" w:afterAutospacing="1" w:line="240" w:lineRule="auto"/>
              <w:contextualSpacing/>
              <w:jc w:val="both"/>
              <w:outlineLvl w:val="0"/>
              <w:rPr>
                <w:rFonts w:ascii="Arial" w:hAnsi="Arial" w:cs="Arial"/>
              </w:rPr>
            </w:pPr>
            <w:r w:rsidRPr="001C1A68">
              <w:rPr>
                <w:rFonts w:ascii="Arial" w:hAnsi="Arial" w:cs="Arial"/>
              </w:rPr>
              <w:t>Transaction advisors for tenders were appointed</w:t>
            </w:r>
          </w:p>
        </w:tc>
        <w:tc>
          <w:tcPr>
            <w:tcW w:w="2268" w:type="dxa"/>
            <w:shd w:val="clear" w:color="auto" w:fill="FFFFFF" w:themeFill="background1"/>
          </w:tcPr>
          <w:p w:rsidR="005E34F8" w:rsidRPr="001C1A68" w:rsidRDefault="001C1A68" w:rsidP="0074637E">
            <w:pPr>
              <w:jc w:val="both"/>
              <w:rPr>
                <w:rFonts w:ascii="Arial" w:hAnsi="Arial" w:cs="Arial"/>
              </w:rPr>
            </w:pPr>
            <w:r w:rsidRPr="001C1A68">
              <w:rPr>
                <w:rFonts w:ascii="Arial Narrow" w:hAnsi="Arial Narrow" w:cs="Times New Roman"/>
                <w:sz w:val="24"/>
                <w:szCs w:val="24"/>
              </w:rPr>
              <w:t>Big Innovations Business Group (Pty) Ltd</w:t>
            </w:r>
          </w:p>
        </w:tc>
        <w:tc>
          <w:tcPr>
            <w:tcW w:w="2410" w:type="dxa"/>
            <w:shd w:val="clear" w:color="auto" w:fill="FFFFFF" w:themeFill="background1"/>
          </w:tcPr>
          <w:p w:rsidR="005E34F8" w:rsidRPr="001C1A68" w:rsidRDefault="001C1A68" w:rsidP="0074637E">
            <w:pPr>
              <w:jc w:val="both"/>
              <w:rPr>
                <w:rFonts w:ascii="Arial" w:hAnsi="Arial" w:cs="Arial"/>
              </w:rPr>
            </w:pPr>
            <w:r w:rsidRPr="001C1A68">
              <w:rPr>
                <w:rFonts w:ascii="Arial" w:hAnsi="Arial" w:cs="Arial"/>
              </w:rPr>
              <w:t>Opt-Out Register tender</w:t>
            </w:r>
          </w:p>
        </w:tc>
        <w:tc>
          <w:tcPr>
            <w:tcW w:w="1842" w:type="dxa"/>
            <w:shd w:val="clear" w:color="auto" w:fill="FFFFFF" w:themeFill="background1"/>
          </w:tcPr>
          <w:p w:rsidR="005E34F8" w:rsidRPr="001C1A68" w:rsidRDefault="001C1A68" w:rsidP="0074637E">
            <w:pPr>
              <w:spacing w:before="100" w:beforeAutospacing="1" w:after="100" w:afterAutospacing="1" w:line="240" w:lineRule="auto"/>
              <w:contextualSpacing/>
              <w:jc w:val="both"/>
              <w:outlineLvl w:val="0"/>
              <w:rPr>
                <w:rFonts w:ascii="Arial" w:hAnsi="Arial" w:cs="Arial"/>
              </w:rPr>
            </w:pPr>
            <w:r w:rsidRPr="001C1A68">
              <w:rPr>
                <w:rFonts w:ascii="Arial Narrow" w:hAnsi="Arial Narrow" w:cs="Times New Roman"/>
                <w:sz w:val="24"/>
                <w:szCs w:val="24"/>
              </w:rPr>
              <w:t>R 3 588 534.00</w:t>
            </w:r>
          </w:p>
        </w:tc>
        <w:tc>
          <w:tcPr>
            <w:tcW w:w="2335" w:type="dxa"/>
            <w:shd w:val="clear" w:color="auto" w:fill="FFFFFF" w:themeFill="background1"/>
          </w:tcPr>
          <w:p w:rsidR="005E34F8" w:rsidRPr="001C1A68" w:rsidRDefault="001C1A68" w:rsidP="002D14C2">
            <w:pPr>
              <w:spacing w:before="100" w:beforeAutospacing="1" w:after="100" w:afterAutospacing="1" w:line="240" w:lineRule="auto"/>
              <w:contextualSpacing/>
              <w:outlineLvl w:val="0"/>
              <w:rPr>
                <w:rFonts w:ascii="Arial" w:hAnsi="Arial" w:cs="Arial"/>
              </w:rPr>
            </w:pPr>
            <w:r w:rsidRPr="001C1A68">
              <w:rPr>
                <w:rFonts w:ascii="Arial" w:hAnsi="Arial" w:cs="Arial"/>
              </w:rPr>
              <w:t xml:space="preserve">R1 098 745.45 has been paid </w:t>
            </w:r>
          </w:p>
        </w:tc>
      </w:tr>
      <w:tr w:rsidR="005E34F8" w:rsidRPr="003C1064" w:rsidTr="00765598">
        <w:trPr>
          <w:trHeight w:val="855"/>
        </w:trPr>
        <w:tc>
          <w:tcPr>
            <w:tcW w:w="3126" w:type="dxa"/>
            <w:shd w:val="clear" w:color="auto" w:fill="FFFFFF" w:themeFill="background1"/>
          </w:tcPr>
          <w:p w:rsidR="005E34F8" w:rsidRPr="005E34F8" w:rsidRDefault="005E34F8" w:rsidP="0074637E">
            <w:pPr>
              <w:spacing w:before="100" w:beforeAutospacing="1" w:after="100" w:afterAutospacing="1"/>
              <w:jc w:val="both"/>
              <w:outlineLvl w:val="0"/>
              <w:rPr>
                <w:rFonts w:ascii="Arial" w:hAnsi="Arial" w:cs="Arial"/>
                <w:b/>
              </w:rPr>
            </w:pPr>
            <w:r w:rsidRPr="005E34F8">
              <w:rPr>
                <w:rFonts w:ascii="Arial" w:hAnsi="Arial" w:cs="Arial"/>
                <w:b/>
              </w:rPr>
              <w:t>National Consumer Tribunal (NCT)</w:t>
            </w:r>
          </w:p>
        </w:tc>
        <w:tc>
          <w:tcPr>
            <w:tcW w:w="2693" w:type="dxa"/>
            <w:shd w:val="clear" w:color="auto" w:fill="FFFFFF" w:themeFill="background1"/>
          </w:tcPr>
          <w:p w:rsidR="005E34F8" w:rsidRPr="005E34F8" w:rsidRDefault="005E34F8" w:rsidP="0074637E">
            <w:pPr>
              <w:spacing w:after="0"/>
              <w:jc w:val="both"/>
              <w:rPr>
                <w:rFonts w:ascii="Arial" w:hAnsi="Arial" w:cs="Arial"/>
              </w:rPr>
            </w:pPr>
            <w:r w:rsidRPr="005E34F8">
              <w:rPr>
                <w:rFonts w:ascii="Arial" w:hAnsi="Arial" w:cs="Arial"/>
              </w:rPr>
              <w:t>Transaction advisors for tenders were appointed</w:t>
            </w:r>
          </w:p>
        </w:tc>
        <w:tc>
          <w:tcPr>
            <w:tcW w:w="2268" w:type="dxa"/>
            <w:shd w:val="clear" w:color="auto" w:fill="FFFFFF" w:themeFill="background1"/>
          </w:tcPr>
          <w:p w:rsidR="005E34F8" w:rsidRPr="005E34F8" w:rsidRDefault="005E34F8" w:rsidP="00AB742C">
            <w:pPr>
              <w:jc w:val="both"/>
              <w:rPr>
                <w:rFonts w:ascii="Arial" w:hAnsi="Arial" w:cs="Arial"/>
              </w:rPr>
            </w:pPr>
            <w:r w:rsidRPr="005E34F8">
              <w:rPr>
                <w:rFonts w:ascii="Arial" w:hAnsi="Arial" w:cs="Arial"/>
              </w:rPr>
              <w:t>PMSA Quantity Surveyors (Pty)Ltd</w:t>
            </w:r>
          </w:p>
        </w:tc>
        <w:tc>
          <w:tcPr>
            <w:tcW w:w="2410" w:type="dxa"/>
            <w:shd w:val="clear" w:color="auto" w:fill="FFFFFF" w:themeFill="background1"/>
          </w:tcPr>
          <w:p w:rsidR="005E34F8" w:rsidRPr="005E34F8" w:rsidRDefault="005E34F8" w:rsidP="00AB742C">
            <w:pPr>
              <w:jc w:val="both"/>
              <w:rPr>
                <w:rFonts w:ascii="Arial" w:hAnsi="Arial" w:cs="Arial"/>
              </w:rPr>
            </w:pPr>
            <w:r w:rsidRPr="005E34F8">
              <w:rPr>
                <w:rFonts w:ascii="Arial" w:hAnsi="Arial" w:cs="Arial"/>
              </w:rPr>
              <w:t>Space planning and reconstruction of the NCT’s offices</w:t>
            </w:r>
          </w:p>
        </w:tc>
        <w:tc>
          <w:tcPr>
            <w:tcW w:w="1842" w:type="dxa"/>
            <w:shd w:val="clear" w:color="auto" w:fill="FFFFFF" w:themeFill="background1"/>
          </w:tcPr>
          <w:p w:rsidR="005E34F8" w:rsidRPr="005E34F8" w:rsidRDefault="005E34F8" w:rsidP="0074637E">
            <w:pPr>
              <w:spacing w:before="100" w:beforeAutospacing="1" w:after="100" w:afterAutospacing="1"/>
              <w:jc w:val="both"/>
              <w:outlineLvl w:val="0"/>
              <w:rPr>
                <w:rFonts w:ascii="Arial" w:hAnsi="Arial" w:cs="Arial"/>
              </w:rPr>
            </w:pPr>
            <w:r w:rsidRPr="005E34F8">
              <w:rPr>
                <w:rFonts w:ascii="Arial" w:hAnsi="Arial" w:cs="Arial"/>
              </w:rPr>
              <w:t>R2 414 338.31</w:t>
            </w:r>
          </w:p>
        </w:tc>
        <w:tc>
          <w:tcPr>
            <w:tcW w:w="2335" w:type="dxa"/>
            <w:shd w:val="clear" w:color="auto" w:fill="FFFFFF" w:themeFill="background1"/>
          </w:tcPr>
          <w:p w:rsidR="005E34F8" w:rsidRPr="005E34F8" w:rsidRDefault="005E34F8" w:rsidP="0074637E">
            <w:pPr>
              <w:spacing w:before="100" w:beforeAutospacing="1" w:after="100" w:afterAutospacing="1"/>
              <w:jc w:val="both"/>
              <w:outlineLvl w:val="0"/>
              <w:rPr>
                <w:rFonts w:ascii="Arial" w:hAnsi="Arial" w:cs="Arial"/>
              </w:rPr>
            </w:pPr>
            <w:r w:rsidRPr="005E34F8">
              <w:rPr>
                <w:rFonts w:ascii="Arial" w:hAnsi="Arial" w:cs="Arial"/>
              </w:rPr>
              <w:t>R354 255.00</w:t>
            </w:r>
            <w:r w:rsidR="002D14C2">
              <w:rPr>
                <w:rFonts w:ascii="Arial" w:hAnsi="Arial" w:cs="Arial"/>
              </w:rPr>
              <w:t xml:space="preserve"> has been paid</w:t>
            </w:r>
          </w:p>
        </w:tc>
      </w:tr>
      <w:tr w:rsidR="005E34F8" w:rsidRPr="003C1064" w:rsidTr="001C1A68">
        <w:tc>
          <w:tcPr>
            <w:tcW w:w="3126" w:type="dxa"/>
            <w:shd w:val="clear" w:color="auto" w:fill="FFFFFF" w:themeFill="background1"/>
          </w:tcPr>
          <w:p w:rsidR="005E34F8" w:rsidRPr="005E34F8" w:rsidRDefault="005E34F8" w:rsidP="0074637E">
            <w:pPr>
              <w:spacing w:before="100" w:beforeAutospacing="1" w:after="100" w:afterAutospacing="1"/>
              <w:jc w:val="both"/>
              <w:outlineLvl w:val="0"/>
              <w:rPr>
                <w:rFonts w:ascii="Arial" w:hAnsi="Arial" w:cs="Arial"/>
                <w:b/>
                <w:color w:val="FF0000"/>
              </w:rPr>
            </w:pPr>
            <w:r w:rsidRPr="005E34F8">
              <w:rPr>
                <w:rFonts w:ascii="Arial" w:hAnsi="Arial" w:cs="Arial"/>
                <w:b/>
              </w:rPr>
              <w:t>National Credit Regulator (NCR)</w:t>
            </w:r>
          </w:p>
        </w:tc>
        <w:tc>
          <w:tcPr>
            <w:tcW w:w="2693" w:type="dxa"/>
            <w:shd w:val="clear" w:color="auto" w:fill="FFFFFF" w:themeFill="background1"/>
          </w:tcPr>
          <w:p w:rsidR="005E34F8" w:rsidRPr="005E34F8" w:rsidRDefault="005E34F8" w:rsidP="0074637E">
            <w:pPr>
              <w:spacing w:after="0"/>
              <w:jc w:val="both"/>
              <w:rPr>
                <w:rFonts w:ascii="Arial" w:hAnsi="Arial" w:cs="Arial"/>
                <w:color w:val="FF0000"/>
              </w:rPr>
            </w:pPr>
            <w:r w:rsidRPr="005E34F8">
              <w:rPr>
                <w:rFonts w:ascii="Arial" w:hAnsi="Arial" w:cs="Arial"/>
              </w:rPr>
              <w:t>No transaction advisors for tenders were appointed</w:t>
            </w:r>
          </w:p>
        </w:tc>
        <w:tc>
          <w:tcPr>
            <w:tcW w:w="2268" w:type="dxa"/>
            <w:shd w:val="clear" w:color="auto" w:fill="FFFFFF" w:themeFill="background1"/>
          </w:tcPr>
          <w:p w:rsidR="005E34F8" w:rsidRPr="005E34F8" w:rsidRDefault="005E34F8">
            <w:pPr>
              <w:rPr>
                <w:rFonts w:ascii="Arial" w:hAnsi="Arial" w:cs="Arial"/>
              </w:rPr>
            </w:pPr>
            <w:r w:rsidRPr="005E34F8">
              <w:rPr>
                <w:rFonts w:ascii="Arial" w:hAnsi="Arial" w:cs="Arial"/>
              </w:rPr>
              <w:t xml:space="preserve">Not applicable </w:t>
            </w:r>
          </w:p>
        </w:tc>
        <w:tc>
          <w:tcPr>
            <w:tcW w:w="2410" w:type="dxa"/>
            <w:shd w:val="clear" w:color="auto" w:fill="FFFFFF" w:themeFill="background1"/>
          </w:tcPr>
          <w:p w:rsidR="005E34F8" w:rsidRPr="005E34F8" w:rsidRDefault="005E34F8" w:rsidP="00370706">
            <w:pPr>
              <w:jc w:val="both"/>
              <w:rPr>
                <w:rFonts w:ascii="Arial" w:hAnsi="Arial" w:cs="Arial"/>
              </w:rPr>
            </w:pPr>
            <w:r w:rsidRPr="005E34F8">
              <w:rPr>
                <w:rFonts w:ascii="Arial" w:hAnsi="Arial" w:cs="Arial"/>
              </w:rPr>
              <w:t xml:space="preserve">Not applicable </w:t>
            </w:r>
          </w:p>
        </w:tc>
        <w:tc>
          <w:tcPr>
            <w:tcW w:w="1842" w:type="dxa"/>
            <w:shd w:val="clear" w:color="auto" w:fill="FFFFFF" w:themeFill="background1"/>
          </w:tcPr>
          <w:p w:rsidR="005E34F8" w:rsidRPr="005E34F8" w:rsidRDefault="005E34F8" w:rsidP="00370706">
            <w:pPr>
              <w:spacing w:before="100" w:beforeAutospacing="1" w:after="100" w:afterAutospacing="1" w:line="240" w:lineRule="auto"/>
              <w:contextualSpacing/>
              <w:jc w:val="both"/>
              <w:outlineLvl w:val="0"/>
              <w:rPr>
                <w:rFonts w:ascii="Arial" w:hAnsi="Arial" w:cs="Arial"/>
              </w:rPr>
            </w:pPr>
            <w:r w:rsidRPr="005E34F8">
              <w:rPr>
                <w:rFonts w:ascii="Arial" w:hAnsi="Arial" w:cs="Arial"/>
              </w:rPr>
              <w:t xml:space="preserve">Not applicable </w:t>
            </w:r>
          </w:p>
        </w:tc>
        <w:tc>
          <w:tcPr>
            <w:tcW w:w="2335" w:type="dxa"/>
            <w:shd w:val="clear" w:color="auto" w:fill="FFFFFF" w:themeFill="background1"/>
          </w:tcPr>
          <w:p w:rsidR="005E34F8" w:rsidRPr="005E34F8" w:rsidRDefault="005E34F8" w:rsidP="00370706">
            <w:pPr>
              <w:spacing w:before="100" w:beforeAutospacing="1" w:after="100" w:afterAutospacing="1" w:line="240" w:lineRule="auto"/>
              <w:contextualSpacing/>
              <w:jc w:val="both"/>
              <w:outlineLvl w:val="0"/>
              <w:rPr>
                <w:rFonts w:ascii="Arial" w:hAnsi="Arial" w:cs="Arial"/>
              </w:rPr>
            </w:pPr>
            <w:r w:rsidRPr="005E34F8">
              <w:rPr>
                <w:rFonts w:ascii="Arial" w:hAnsi="Arial" w:cs="Arial"/>
              </w:rPr>
              <w:t xml:space="preserve">Not applicable </w:t>
            </w:r>
          </w:p>
        </w:tc>
      </w:tr>
      <w:tr w:rsidR="005E34F8" w:rsidRPr="003C1064" w:rsidTr="001C1A68">
        <w:tc>
          <w:tcPr>
            <w:tcW w:w="3126" w:type="dxa"/>
            <w:shd w:val="clear" w:color="auto" w:fill="FFFFFF" w:themeFill="background1"/>
          </w:tcPr>
          <w:p w:rsidR="005E34F8" w:rsidRPr="005E34F8" w:rsidRDefault="005E34F8" w:rsidP="0074637E">
            <w:pPr>
              <w:spacing w:before="100" w:beforeAutospacing="1" w:after="100" w:afterAutospacing="1"/>
              <w:jc w:val="both"/>
              <w:outlineLvl w:val="0"/>
              <w:rPr>
                <w:rFonts w:ascii="Arial" w:hAnsi="Arial" w:cs="Arial"/>
                <w:b/>
              </w:rPr>
            </w:pPr>
            <w:r w:rsidRPr="005E34F8">
              <w:rPr>
                <w:rFonts w:ascii="Arial" w:hAnsi="Arial" w:cs="Arial"/>
                <w:b/>
              </w:rPr>
              <w:t>National Empowerment Fund (NEF)</w:t>
            </w:r>
          </w:p>
        </w:tc>
        <w:tc>
          <w:tcPr>
            <w:tcW w:w="2693" w:type="dxa"/>
            <w:shd w:val="clear" w:color="auto" w:fill="FFFFFF" w:themeFill="background1"/>
          </w:tcPr>
          <w:p w:rsidR="005E34F8" w:rsidRPr="005E34F8" w:rsidRDefault="005E34F8" w:rsidP="0074637E">
            <w:pPr>
              <w:spacing w:after="0"/>
              <w:jc w:val="both"/>
              <w:rPr>
                <w:rFonts w:ascii="Arial" w:hAnsi="Arial" w:cs="Arial"/>
              </w:rPr>
            </w:pPr>
            <w:r w:rsidRPr="005E34F8">
              <w:rPr>
                <w:rFonts w:ascii="Arial" w:hAnsi="Arial" w:cs="Arial"/>
              </w:rPr>
              <w:t>No transaction advisors for tenders were appointed</w:t>
            </w:r>
          </w:p>
        </w:tc>
        <w:tc>
          <w:tcPr>
            <w:tcW w:w="2268" w:type="dxa"/>
            <w:shd w:val="clear" w:color="auto" w:fill="FFFFFF" w:themeFill="background1"/>
          </w:tcPr>
          <w:p w:rsidR="005E34F8" w:rsidRPr="005E34F8" w:rsidRDefault="005E34F8">
            <w:pPr>
              <w:rPr>
                <w:rFonts w:ascii="Arial" w:hAnsi="Arial" w:cs="Arial"/>
              </w:rPr>
            </w:pPr>
            <w:r w:rsidRPr="005E34F8">
              <w:rPr>
                <w:rFonts w:ascii="Arial" w:hAnsi="Arial" w:cs="Arial"/>
              </w:rPr>
              <w:t xml:space="preserve">Not applicable </w:t>
            </w:r>
          </w:p>
        </w:tc>
        <w:tc>
          <w:tcPr>
            <w:tcW w:w="2410" w:type="dxa"/>
            <w:shd w:val="clear" w:color="auto" w:fill="FFFFFF" w:themeFill="background1"/>
          </w:tcPr>
          <w:p w:rsidR="005E34F8" w:rsidRPr="005E34F8" w:rsidRDefault="005E34F8" w:rsidP="0074637E">
            <w:pPr>
              <w:jc w:val="both"/>
              <w:rPr>
                <w:rFonts w:ascii="Arial" w:hAnsi="Arial" w:cs="Arial"/>
              </w:rPr>
            </w:pPr>
            <w:r w:rsidRPr="005E34F8">
              <w:rPr>
                <w:rFonts w:ascii="Arial" w:hAnsi="Arial" w:cs="Arial"/>
              </w:rPr>
              <w:t xml:space="preserve">Not applicable </w:t>
            </w:r>
          </w:p>
        </w:tc>
        <w:tc>
          <w:tcPr>
            <w:tcW w:w="1842" w:type="dxa"/>
            <w:shd w:val="clear" w:color="auto" w:fill="FFFFFF" w:themeFill="background1"/>
          </w:tcPr>
          <w:p w:rsidR="005E34F8" w:rsidRPr="005E34F8" w:rsidRDefault="005E34F8" w:rsidP="0074637E">
            <w:pPr>
              <w:spacing w:before="100" w:beforeAutospacing="1" w:after="100" w:afterAutospacing="1" w:line="240" w:lineRule="auto"/>
              <w:contextualSpacing/>
              <w:jc w:val="both"/>
              <w:outlineLvl w:val="0"/>
              <w:rPr>
                <w:rFonts w:ascii="Arial" w:hAnsi="Arial" w:cs="Arial"/>
              </w:rPr>
            </w:pPr>
            <w:r w:rsidRPr="005E34F8">
              <w:rPr>
                <w:rFonts w:ascii="Arial" w:hAnsi="Arial" w:cs="Arial"/>
              </w:rPr>
              <w:t xml:space="preserve">Not applicable </w:t>
            </w:r>
          </w:p>
        </w:tc>
        <w:tc>
          <w:tcPr>
            <w:tcW w:w="2335" w:type="dxa"/>
            <w:shd w:val="clear" w:color="auto" w:fill="FFFFFF" w:themeFill="background1"/>
          </w:tcPr>
          <w:p w:rsidR="005E34F8" w:rsidRPr="005E34F8" w:rsidRDefault="005E34F8" w:rsidP="0074637E">
            <w:pPr>
              <w:spacing w:before="100" w:beforeAutospacing="1" w:after="100" w:afterAutospacing="1" w:line="240" w:lineRule="auto"/>
              <w:contextualSpacing/>
              <w:jc w:val="both"/>
              <w:outlineLvl w:val="0"/>
              <w:rPr>
                <w:rFonts w:ascii="Arial" w:hAnsi="Arial" w:cs="Arial"/>
              </w:rPr>
            </w:pPr>
            <w:r w:rsidRPr="005E34F8">
              <w:rPr>
                <w:rFonts w:ascii="Arial" w:hAnsi="Arial" w:cs="Arial"/>
              </w:rPr>
              <w:t xml:space="preserve">Not applicable </w:t>
            </w:r>
          </w:p>
        </w:tc>
      </w:tr>
      <w:tr w:rsidR="005E34F8" w:rsidRPr="003C1064" w:rsidTr="001C1A68">
        <w:tc>
          <w:tcPr>
            <w:tcW w:w="3126" w:type="dxa"/>
            <w:shd w:val="clear" w:color="auto" w:fill="FFFFFF" w:themeFill="background1"/>
          </w:tcPr>
          <w:p w:rsidR="005E34F8" w:rsidRPr="005E34F8" w:rsidRDefault="005E34F8" w:rsidP="0074637E">
            <w:pPr>
              <w:spacing w:before="100" w:beforeAutospacing="1" w:after="100" w:afterAutospacing="1"/>
              <w:jc w:val="both"/>
              <w:outlineLvl w:val="0"/>
              <w:rPr>
                <w:rFonts w:ascii="Arial" w:hAnsi="Arial" w:cs="Arial"/>
                <w:b/>
              </w:rPr>
            </w:pPr>
            <w:r w:rsidRPr="005E34F8">
              <w:rPr>
                <w:rFonts w:ascii="Arial" w:hAnsi="Arial" w:cs="Arial"/>
                <w:b/>
              </w:rPr>
              <w:t>National Gambling Board (NGB)</w:t>
            </w:r>
          </w:p>
        </w:tc>
        <w:tc>
          <w:tcPr>
            <w:tcW w:w="2693" w:type="dxa"/>
            <w:shd w:val="clear" w:color="auto" w:fill="FFFFFF" w:themeFill="background1"/>
          </w:tcPr>
          <w:p w:rsidR="005E34F8" w:rsidRPr="005E34F8" w:rsidRDefault="005E34F8" w:rsidP="00F12EC0">
            <w:pPr>
              <w:spacing w:after="0"/>
              <w:jc w:val="both"/>
              <w:rPr>
                <w:rFonts w:ascii="Arial" w:hAnsi="Arial" w:cs="Arial"/>
              </w:rPr>
            </w:pPr>
            <w:r w:rsidRPr="005E34F8">
              <w:rPr>
                <w:rFonts w:ascii="Arial" w:hAnsi="Arial" w:cs="Arial"/>
              </w:rPr>
              <w:t>No transaction advisors for tenders were appointed</w:t>
            </w:r>
          </w:p>
        </w:tc>
        <w:tc>
          <w:tcPr>
            <w:tcW w:w="2268" w:type="dxa"/>
            <w:shd w:val="clear" w:color="auto" w:fill="FFFFFF" w:themeFill="background1"/>
          </w:tcPr>
          <w:p w:rsidR="005E34F8" w:rsidRPr="005E34F8" w:rsidRDefault="005E34F8">
            <w:pPr>
              <w:rPr>
                <w:rFonts w:ascii="Arial" w:hAnsi="Arial" w:cs="Arial"/>
              </w:rPr>
            </w:pPr>
            <w:r w:rsidRPr="005E34F8">
              <w:rPr>
                <w:rFonts w:ascii="Arial" w:hAnsi="Arial" w:cs="Arial"/>
              </w:rPr>
              <w:t xml:space="preserve">Not applicable </w:t>
            </w:r>
          </w:p>
        </w:tc>
        <w:tc>
          <w:tcPr>
            <w:tcW w:w="2410" w:type="dxa"/>
            <w:shd w:val="clear" w:color="auto" w:fill="FFFFFF" w:themeFill="background1"/>
          </w:tcPr>
          <w:p w:rsidR="005E34F8" w:rsidRPr="005E34F8" w:rsidRDefault="005E34F8" w:rsidP="0074637E">
            <w:pPr>
              <w:jc w:val="both"/>
              <w:rPr>
                <w:rFonts w:ascii="Arial" w:hAnsi="Arial" w:cs="Arial"/>
              </w:rPr>
            </w:pPr>
            <w:r w:rsidRPr="005E34F8">
              <w:rPr>
                <w:rFonts w:ascii="Arial" w:hAnsi="Arial" w:cs="Arial"/>
              </w:rPr>
              <w:t xml:space="preserve">Not applicable </w:t>
            </w:r>
          </w:p>
        </w:tc>
        <w:tc>
          <w:tcPr>
            <w:tcW w:w="1842" w:type="dxa"/>
            <w:shd w:val="clear" w:color="auto" w:fill="FFFFFF" w:themeFill="background1"/>
          </w:tcPr>
          <w:p w:rsidR="005E34F8" w:rsidRPr="005E34F8" w:rsidRDefault="005E34F8" w:rsidP="0074637E">
            <w:pPr>
              <w:spacing w:before="100" w:beforeAutospacing="1" w:after="100" w:afterAutospacing="1" w:line="240" w:lineRule="auto"/>
              <w:contextualSpacing/>
              <w:jc w:val="both"/>
              <w:outlineLvl w:val="0"/>
              <w:rPr>
                <w:rFonts w:ascii="Arial" w:hAnsi="Arial" w:cs="Arial"/>
              </w:rPr>
            </w:pPr>
            <w:r w:rsidRPr="005E34F8">
              <w:rPr>
                <w:rFonts w:ascii="Arial" w:hAnsi="Arial" w:cs="Arial"/>
              </w:rPr>
              <w:t xml:space="preserve">Not applicable </w:t>
            </w:r>
          </w:p>
        </w:tc>
        <w:tc>
          <w:tcPr>
            <w:tcW w:w="2335" w:type="dxa"/>
            <w:shd w:val="clear" w:color="auto" w:fill="FFFFFF" w:themeFill="background1"/>
          </w:tcPr>
          <w:p w:rsidR="005E34F8" w:rsidRPr="005E34F8" w:rsidRDefault="005E34F8" w:rsidP="0074637E">
            <w:pPr>
              <w:spacing w:before="100" w:beforeAutospacing="1" w:after="100" w:afterAutospacing="1" w:line="240" w:lineRule="auto"/>
              <w:contextualSpacing/>
              <w:jc w:val="both"/>
              <w:outlineLvl w:val="0"/>
              <w:rPr>
                <w:rFonts w:ascii="Arial" w:hAnsi="Arial" w:cs="Arial"/>
              </w:rPr>
            </w:pPr>
            <w:r w:rsidRPr="005E34F8">
              <w:rPr>
                <w:rFonts w:ascii="Arial" w:hAnsi="Arial" w:cs="Arial"/>
              </w:rPr>
              <w:t xml:space="preserve">Not applicable </w:t>
            </w:r>
          </w:p>
        </w:tc>
      </w:tr>
      <w:tr w:rsidR="00716D73" w:rsidRPr="00716D73" w:rsidTr="001C1A68">
        <w:tc>
          <w:tcPr>
            <w:tcW w:w="3126" w:type="dxa"/>
            <w:shd w:val="clear" w:color="auto" w:fill="FFFFFF" w:themeFill="background1"/>
          </w:tcPr>
          <w:p w:rsidR="00716D73" w:rsidRPr="00716D73" w:rsidRDefault="00716D73" w:rsidP="0074637E">
            <w:pPr>
              <w:spacing w:before="100" w:beforeAutospacing="1" w:after="100" w:afterAutospacing="1"/>
              <w:jc w:val="both"/>
              <w:outlineLvl w:val="0"/>
              <w:rPr>
                <w:rFonts w:ascii="Arial" w:hAnsi="Arial" w:cs="Arial"/>
                <w:b/>
              </w:rPr>
            </w:pPr>
            <w:r w:rsidRPr="00716D73">
              <w:rPr>
                <w:rFonts w:ascii="Arial" w:hAnsi="Arial" w:cs="Arial"/>
                <w:b/>
              </w:rPr>
              <w:t>National Lotteries Commission (NLC)</w:t>
            </w:r>
          </w:p>
        </w:tc>
        <w:tc>
          <w:tcPr>
            <w:tcW w:w="2693" w:type="dxa"/>
            <w:shd w:val="clear" w:color="auto" w:fill="FFFFFF" w:themeFill="background1"/>
          </w:tcPr>
          <w:p w:rsidR="00716D73" w:rsidRPr="00716D73" w:rsidRDefault="00716D73" w:rsidP="006B3A2D">
            <w:pPr>
              <w:spacing w:before="100" w:beforeAutospacing="1" w:after="100" w:afterAutospacing="1" w:line="240" w:lineRule="auto"/>
              <w:contextualSpacing/>
              <w:jc w:val="both"/>
              <w:outlineLvl w:val="0"/>
              <w:rPr>
                <w:rFonts w:ascii="Arial" w:hAnsi="Arial" w:cs="Arial"/>
              </w:rPr>
            </w:pPr>
            <w:r w:rsidRPr="00716D73">
              <w:rPr>
                <w:rFonts w:ascii="Arial" w:hAnsi="Arial" w:cs="Arial"/>
              </w:rPr>
              <w:t>No transaction advisors for tenders were appointed</w:t>
            </w:r>
          </w:p>
        </w:tc>
        <w:tc>
          <w:tcPr>
            <w:tcW w:w="2268" w:type="dxa"/>
            <w:shd w:val="clear" w:color="auto" w:fill="FFFFFF" w:themeFill="background1"/>
          </w:tcPr>
          <w:p w:rsidR="00716D73" w:rsidRPr="00716D73" w:rsidRDefault="00716D73" w:rsidP="006B3A2D">
            <w:pPr>
              <w:rPr>
                <w:rFonts w:ascii="Arial" w:hAnsi="Arial" w:cs="Arial"/>
              </w:rPr>
            </w:pPr>
            <w:r w:rsidRPr="00716D73">
              <w:rPr>
                <w:rFonts w:ascii="Arial" w:hAnsi="Arial" w:cs="Arial"/>
              </w:rPr>
              <w:t xml:space="preserve">Not applicable </w:t>
            </w:r>
          </w:p>
        </w:tc>
        <w:tc>
          <w:tcPr>
            <w:tcW w:w="2410" w:type="dxa"/>
            <w:shd w:val="clear" w:color="auto" w:fill="FFFFFF" w:themeFill="background1"/>
          </w:tcPr>
          <w:p w:rsidR="00716D73" w:rsidRPr="00716D73" w:rsidRDefault="00716D73" w:rsidP="006B3A2D">
            <w:pPr>
              <w:jc w:val="both"/>
              <w:rPr>
                <w:rFonts w:ascii="Arial" w:hAnsi="Arial" w:cs="Arial"/>
              </w:rPr>
            </w:pPr>
            <w:r w:rsidRPr="00716D73">
              <w:rPr>
                <w:rFonts w:ascii="Arial" w:hAnsi="Arial" w:cs="Arial"/>
              </w:rPr>
              <w:t xml:space="preserve">Not applicable </w:t>
            </w:r>
          </w:p>
        </w:tc>
        <w:tc>
          <w:tcPr>
            <w:tcW w:w="1842" w:type="dxa"/>
            <w:shd w:val="clear" w:color="auto" w:fill="FFFFFF" w:themeFill="background1"/>
          </w:tcPr>
          <w:p w:rsidR="00716D73" w:rsidRPr="00716D73" w:rsidRDefault="00716D73" w:rsidP="006B3A2D">
            <w:pPr>
              <w:spacing w:before="100" w:beforeAutospacing="1" w:after="100" w:afterAutospacing="1" w:line="240" w:lineRule="auto"/>
              <w:contextualSpacing/>
              <w:jc w:val="both"/>
              <w:outlineLvl w:val="0"/>
              <w:rPr>
                <w:rFonts w:ascii="Arial" w:hAnsi="Arial" w:cs="Arial"/>
              </w:rPr>
            </w:pPr>
            <w:r w:rsidRPr="00716D73">
              <w:rPr>
                <w:rFonts w:ascii="Arial" w:hAnsi="Arial" w:cs="Arial"/>
              </w:rPr>
              <w:t xml:space="preserve">Not applicable </w:t>
            </w:r>
          </w:p>
        </w:tc>
        <w:tc>
          <w:tcPr>
            <w:tcW w:w="2335" w:type="dxa"/>
            <w:shd w:val="clear" w:color="auto" w:fill="FFFFFF" w:themeFill="background1"/>
          </w:tcPr>
          <w:p w:rsidR="00716D73" w:rsidRPr="00716D73" w:rsidRDefault="00716D73" w:rsidP="006B3A2D">
            <w:pPr>
              <w:spacing w:before="100" w:beforeAutospacing="1" w:after="100" w:afterAutospacing="1" w:line="240" w:lineRule="auto"/>
              <w:contextualSpacing/>
              <w:jc w:val="both"/>
              <w:outlineLvl w:val="0"/>
              <w:rPr>
                <w:rFonts w:ascii="Arial" w:hAnsi="Arial" w:cs="Arial"/>
              </w:rPr>
            </w:pPr>
            <w:r w:rsidRPr="00716D73">
              <w:rPr>
                <w:rFonts w:ascii="Arial" w:hAnsi="Arial" w:cs="Arial"/>
              </w:rPr>
              <w:t xml:space="preserve">Not applicable </w:t>
            </w:r>
          </w:p>
        </w:tc>
      </w:tr>
      <w:tr w:rsidR="00716D73" w:rsidRPr="003C1064" w:rsidTr="00765598">
        <w:trPr>
          <w:trHeight w:val="2134"/>
        </w:trPr>
        <w:tc>
          <w:tcPr>
            <w:tcW w:w="3126" w:type="dxa"/>
            <w:shd w:val="clear" w:color="auto" w:fill="FFFFFF" w:themeFill="background1"/>
          </w:tcPr>
          <w:p w:rsidR="00716D73" w:rsidRPr="005E34F8" w:rsidRDefault="00716D73" w:rsidP="0074637E">
            <w:pPr>
              <w:spacing w:before="100" w:beforeAutospacing="1" w:after="100" w:afterAutospacing="1"/>
              <w:jc w:val="both"/>
              <w:outlineLvl w:val="0"/>
              <w:rPr>
                <w:rFonts w:ascii="Arial" w:hAnsi="Arial" w:cs="Arial"/>
                <w:b/>
              </w:rPr>
            </w:pPr>
            <w:r w:rsidRPr="005E34F8">
              <w:rPr>
                <w:rFonts w:ascii="Arial" w:hAnsi="Arial" w:cs="Arial"/>
                <w:b/>
              </w:rPr>
              <w:t>National Metrology Institute of South Africa  (NMISA)</w:t>
            </w:r>
          </w:p>
        </w:tc>
        <w:tc>
          <w:tcPr>
            <w:tcW w:w="2693" w:type="dxa"/>
            <w:shd w:val="clear" w:color="auto" w:fill="FFFFFF" w:themeFill="background1"/>
          </w:tcPr>
          <w:p w:rsidR="00716D73" w:rsidRPr="005E34F8" w:rsidRDefault="00716D73" w:rsidP="0074637E">
            <w:pPr>
              <w:spacing w:after="0"/>
              <w:jc w:val="both"/>
              <w:rPr>
                <w:rFonts w:ascii="Arial" w:hAnsi="Arial" w:cs="Arial"/>
              </w:rPr>
            </w:pPr>
            <w:r w:rsidRPr="005E34F8">
              <w:rPr>
                <w:rFonts w:ascii="Arial" w:hAnsi="Arial" w:cs="Arial"/>
              </w:rPr>
              <w:t>Transaction advisors for tenders were appointed</w:t>
            </w:r>
          </w:p>
        </w:tc>
        <w:tc>
          <w:tcPr>
            <w:tcW w:w="2268" w:type="dxa"/>
            <w:shd w:val="clear" w:color="auto" w:fill="FFFFFF" w:themeFill="background1"/>
          </w:tcPr>
          <w:p w:rsidR="00716D73" w:rsidRPr="005E34F8" w:rsidRDefault="00716D73" w:rsidP="005E34F8">
            <w:pPr>
              <w:jc w:val="both"/>
              <w:rPr>
                <w:rFonts w:ascii="Arial" w:hAnsi="Arial" w:cs="Arial"/>
              </w:rPr>
            </w:pPr>
            <w:proofErr w:type="spellStart"/>
            <w:r w:rsidRPr="005E34F8">
              <w:rPr>
                <w:rFonts w:ascii="Arial" w:hAnsi="Arial" w:cs="Arial"/>
              </w:rPr>
              <w:t>Delloitte</w:t>
            </w:r>
            <w:proofErr w:type="spellEnd"/>
            <w:r w:rsidRPr="005E34F8">
              <w:rPr>
                <w:rFonts w:ascii="Arial" w:hAnsi="Arial" w:cs="Arial"/>
              </w:rPr>
              <w:t xml:space="preserve"> Consortium </w:t>
            </w:r>
          </w:p>
        </w:tc>
        <w:tc>
          <w:tcPr>
            <w:tcW w:w="2410" w:type="dxa"/>
            <w:shd w:val="clear" w:color="auto" w:fill="FFFFFF" w:themeFill="background1"/>
          </w:tcPr>
          <w:p w:rsidR="00716D73" w:rsidRPr="005E34F8" w:rsidRDefault="00716D73" w:rsidP="0074637E">
            <w:pPr>
              <w:jc w:val="both"/>
              <w:rPr>
                <w:rFonts w:ascii="Arial" w:hAnsi="Arial" w:cs="Arial"/>
              </w:rPr>
            </w:pPr>
            <w:r w:rsidRPr="005E34F8">
              <w:rPr>
                <w:rFonts w:ascii="Arial" w:hAnsi="Arial" w:cs="Arial"/>
              </w:rPr>
              <w:t>NMISA T0008 (14-15) – Appointment of a transaction advisor for NMISA accommodation and equipment – Public Private Partnership Project</w:t>
            </w:r>
          </w:p>
        </w:tc>
        <w:tc>
          <w:tcPr>
            <w:tcW w:w="1842" w:type="dxa"/>
            <w:shd w:val="clear" w:color="auto" w:fill="FFFFFF" w:themeFill="background1"/>
          </w:tcPr>
          <w:p w:rsidR="00716D73" w:rsidRPr="005E34F8" w:rsidRDefault="00716D73" w:rsidP="0074637E">
            <w:pPr>
              <w:spacing w:before="100" w:beforeAutospacing="1" w:after="100" w:afterAutospacing="1" w:line="240" w:lineRule="auto"/>
              <w:contextualSpacing/>
              <w:jc w:val="both"/>
              <w:outlineLvl w:val="0"/>
              <w:rPr>
                <w:rFonts w:ascii="Arial" w:hAnsi="Arial" w:cs="Arial"/>
              </w:rPr>
            </w:pPr>
            <w:r w:rsidRPr="005E34F8">
              <w:rPr>
                <w:rFonts w:ascii="Arial" w:hAnsi="Arial" w:cs="Arial"/>
              </w:rPr>
              <w:t>R14 667 271.00</w:t>
            </w:r>
          </w:p>
        </w:tc>
        <w:tc>
          <w:tcPr>
            <w:tcW w:w="2335" w:type="dxa"/>
            <w:shd w:val="clear" w:color="auto" w:fill="FFFFFF" w:themeFill="background1"/>
          </w:tcPr>
          <w:p w:rsidR="00716D73" w:rsidRPr="005E34F8" w:rsidRDefault="00765598" w:rsidP="00765598">
            <w:pPr>
              <w:spacing w:before="100" w:beforeAutospacing="1" w:after="100" w:afterAutospacing="1" w:line="240" w:lineRule="auto"/>
              <w:contextualSpacing/>
              <w:outlineLvl w:val="0"/>
              <w:rPr>
                <w:rFonts w:ascii="Arial" w:hAnsi="Arial" w:cs="Arial"/>
              </w:rPr>
            </w:pPr>
            <w:r>
              <w:rPr>
                <w:rFonts w:ascii="Arial" w:hAnsi="Arial" w:cs="Arial"/>
              </w:rPr>
              <w:t>R6 </w:t>
            </w:r>
            <w:r w:rsidR="001C1A68">
              <w:rPr>
                <w:rFonts w:ascii="Arial" w:hAnsi="Arial" w:cs="Arial"/>
              </w:rPr>
              <w:t>284</w:t>
            </w:r>
            <w:r>
              <w:rPr>
                <w:rFonts w:ascii="Arial" w:hAnsi="Arial" w:cs="Arial"/>
              </w:rPr>
              <w:t xml:space="preserve"> </w:t>
            </w:r>
            <w:r w:rsidR="001C1A68">
              <w:rPr>
                <w:rFonts w:ascii="Arial" w:hAnsi="Arial" w:cs="Arial"/>
              </w:rPr>
              <w:t>009.74 has been paid</w:t>
            </w:r>
          </w:p>
        </w:tc>
      </w:tr>
      <w:tr w:rsidR="00716D73" w:rsidRPr="003C1064" w:rsidTr="001C1A68">
        <w:tc>
          <w:tcPr>
            <w:tcW w:w="3126" w:type="dxa"/>
            <w:shd w:val="clear" w:color="auto" w:fill="FFFFFF" w:themeFill="background1"/>
          </w:tcPr>
          <w:p w:rsidR="00716D73" w:rsidRPr="005E34F8" w:rsidRDefault="00716D73" w:rsidP="0074637E">
            <w:pPr>
              <w:spacing w:before="100" w:beforeAutospacing="1" w:after="100" w:afterAutospacing="1"/>
              <w:jc w:val="both"/>
              <w:outlineLvl w:val="0"/>
              <w:rPr>
                <w:rFonts w:ascii="Arial" w:hAnsi="Arial" w:cs="Arial"/>
                <w:b/>
              </w:rPr>
            </w:pPr>
            <w:r w:rsidRPr="005E34F8">
              <w:rPr>
                <w:rFonts w:ascii="Arial" w:hAnsi="Arial" w:cs="Arial"/>
                <w:b/>
              </w:rPr>
              <w:t>National Regulator For Compulsory Specifications (NRCS)</w:t>
            </w:r>
          </w:p>
        </w:tc>
        <w:tc>
          <w:tcPr>
            <w:tcW w:w="2693" w:type="dxa"/>
            <w:shd w:val="clear" w:color="auto" w:fill="FFFFFF" w:themeFill="background1"/>
          </w:tcPr>
          <w:p w:rsidR="00716D73" w:rsidRPr="005E34F8" w:rsidRDefault="00716D73" w:rsidP="00370706">
            <w:pPr>
              <w:spacing w:before="100" w:beforeAutospacing="1" w:after="100" w:afterAutospacing="1" w:line="240" w:lineRule="auto"/>
              <w:contextualSpacing/>
              <w:jc w:val="both"/>
              <w:outlineLvl w:val="0"/>
              <w:rPr>
                <w:rFonts w:ascii="Arial" w:hAnsi="Arial" w:cs="Arial"/>
              </w:rPr>
            </w:pPr>
            <w:r w:rsidRPr="005E34F8">
              <w:rPr>
                <w:rFonts w:ascii="Arial" w:hAnsi="Arial" w:cs="Arial"/>
              </w:rPr>
              <w:t>No transaction advisors for tenders were appointed</w:t>
            </w:r>
          </w:p>
        </w:tc>
        <w:tc>
          <w:tcPr>
            <w:tcW w:w="2268" w:type="dxa"/>
            <w:shd w:val="clear" w:color="auto" w:fill="FFFFFF" w:themeFill="background1"/>
          </w:tcPr>
          <w:p w:rsidR="00716D73" w:rsidRPr="005E34F8" w:rsidRDefault="00716D73">
            <w:pPr>
              <w:rPr>
                <w:rFonts w:ascii="Arial" w:hAnsi="Arial" w:cs="Arial"/>
              </w:rPr>
            </w:pPr>
            <w:r w:rsidRPr="005E34F8">
              <w:rPr>
                <w:rFonts w:ascii="Arial" w:hAnsi="Arial" w:cs="Arial"/>
              </w:rPr>
              <w:t xml:space="preserve">Not applicable </w:t>
            </w:r>
          </w:p>
        </w:tc>
        <w:tc>
          <w:tcPr>
            <w:tcW w:w="2410" w:type="dxa"/>
            <w:shd w:val="clear" w:color="auto" w:fill="FFFFFF" w:themeFill="background1"/>
          </w:tcPr>
          <w:p w:rsidR="00716D73" w:rsidRDefault="00716D73">
            <w:r w:rsidRPr="000B2713">
              <w:rPr>
                <w:rFonts w:ascii="Arial" w:hAnsi="Arial" w:cs="Arial"/>
              </w:rPr>
              <w:t xml:space="preserve">Not applicable </w:t>
            </w:r>
          </w:p>
        </w:tc>
        <w:tc>
          <w:tcPr>
            <w:tcW w:w="1842" w:type="dxa"/>
            <w:shd w:val="clear" w:color="auto" w:fill="FFFFFF" w:themeFill="background1"/>
          </w:tcPr>
          <w:p w:rsidR="00716D73" w:rsidRDefault="00716D73">
            <w:r w:rsidRPr="000B2713">
              <w:rPr>
                <w:rFonts w:ascii="Arial" w:hAnsi="Arial" w:cs="Arial"/>
              </w:rPr>
              <w:t xml:space="preserve">Not applicable </w:t>
            </w:r>
          </w:p>
        </w:tc>
        <w:tc>
          <w:tcPr>
            <w:tcW w:w="2335" w:type="dxa"/>
            <w:shd w:val="clear" w:color="auto" w:fill="FFFFFF" w:themeFill="background1"/>
          </w:tcPr>
          <w:p w:rsidR="00716D73" w:rsidRDefault="00716D73">
            <w:r w:rsidRPr="000B2713">
              <w:rPr>
                <w:rFonts w:ascii="Arial" w:hAnsi="Arial" w:cs="Arial"/>
              </w:rPr>
              <w:t xml:space="preserve">Not applicable </w:t>
            </w:r>
          </w:p>
        </w:tc>
      </w:tr>
      <w:tr w:rsidR="00716D73" w:rsidRPr="003C1064" w:rsidTr="001C1A68">
        <w:tc>
          <w:tcPr>
            <w:tcW w:w="3126" w:type="dxa"/>
            <w:shd w:val="clear" w:color="auto" w:fill="FFFFFF" w:themeFill="background1"/>
          </w:tcPr>
          <w:p w:rsidR="00716D73" w:rsidRPr="005E34F8" w:rsidRDefault="00716D73" w:rsidP="0074637E">
            <w:pPr>
              <w:spacing w:before="100" w:beforeAutospacing="1" w:after="100" w:afterAutospacing="1"/>
              <w:jc w:val="both"/>
              <w:outlineLvl w:val="0"/>
              <w:rPr>
                <w:rFonts w:ascii="Arial" w:hAnsi="Arial" w:cs="Arial"/>
                <w:b/>
                <w:color w:val="FF0000"/>
              </w:rPr>
            </w:pPr>
            <w:r w:rsidRPr="005E34F8">
              <w:rPr>
                <w:rFonts w:ascii="Arial" w:hAnsi="Arial" w:cs="Arial"/>
                <w:b/>
              </w:rPr>
              <w:t>South African Bureau of Standards (SABS)</w:t>
            </w:r>
          </w:p>
        </w:tc>
        <w:tc>
          <w:tcPr>
            <w:tcW w:w="2693" w:type="dxa"/>
            <w:shd w:val="clear" w:color="auto" w:fill="FFFFFF" w:themeFill="background1"/>
          </w:tcPr>
          <w:p w:rsidR="00716D73" w:rsidRPr="005E34F8" w:rsidRDefault="00716D73" w:rsidP="00F12EC0">
            <w:pPr>
              <w:spacing w:before="100" w:beforeAutospacing="1" w:after="100" w:afterAutospacing="1" w:line="240" w:lineRule="auto"/>
              <w:contextualSpacing/>
              <w:jc w:val="both"/>
              <w:outlineLvl w:val="0"/>
              <w:rPr>
                <w:rFonts w:ascii="Arial" w:hAnsi="Arial" w:cs="Arial"/>
              </w:rPr>
            </w:pPr>
            <w:r w:rsidRPr="005E34F8">
              <w:rPr>
                <w:rFonts w:ascii="Arial" w:hAnsi="Arial" w:cs="Arial"/>
              </w:rPr>
              <w:t>No transaction advisors for tenders were appointed</w:t>
            </w:r>
          </w:p>
        </w:tc>
        <w:tc>
          <w:tcPr>
            <w:tcW w:w="2268" w:type="dxa"/>
            <w:shd w:val="clear" w:color="auto" w:fill="FFFFFF" w:themeFill="background1"/>
          </w:tcPr>
          <w:p w:rsidR="00716D73" w:rsidRPr="005E34F8" w:rsidRDefault="00716D73">
            <w:pPr>
              <w:rPr>
                <w:rFonts w:ascii="Arial" w:hAnsi="Arial" w:cs="Arial"/>
              </w:rPr>
            </w:pPr>
            <w:r w:rsidRPr="005E34F8">
              <w:rPr>
                <w:rFonts w:ascii="Arial" w:hAnsi="Arial" w:cs="Arial"/>
              </w:rPr>
              <w:t xml:space="preserve">Not applicable </w:t>
            </w:r>
          </w:p>
        </w:tc>
        <w:tc>
          <w:tcPr>
            <w:tcW w:w="2410" w:type="dxa"/>
            <w:shd w:val="clear" w:color="auto" w:fill="FFFFFF" w:themeFill="background1"/>
          </w:tcPr>
          <w:p w:rsidR="00716D73" w:rsidRPr="005E34F8" w:rsidRDefault="00716D73" w:rsidP="00F12EC0">
            <w:pPr>
              <w:jc w:val="both"/>
              <w:rPr>
                <w:rFonts w:ascii="Arial" w:hAnsi="Arial" w:cs="Arial"/>
              </w:rPr>
            </w:pPr>
            <w:r w:rsidRPr="005E34F8">
              <w:rPr>
                <w:rFonts w:ascii="Arial" w:hAnsi="Arial" w:cs="Arial"/>
              </w:rPr>
              <w:t xml:space="preserve">Not applicable </w:t>
            </w:r>
          </w:p>
        </w:tc>
        <w:tc>
          <w:tcPr>
            <w:tcW w:w="1842" w:type="dxa"/>
            <w:shd w:val="clear" w:color="auto" w:fill="FFFFFF" w:themeFill="background1"/>
          </w:tcPr>
          <w:p w:rsidR="00716D73" w:rsidRPr="005E34F8" w:rsidRDefault="00716D73" w:rsidP="00F12EC0">
            <w:pPr>
              <w:spacing w:before="100" w:beforeAutospacing="1" w:after="100" w:afterAutospacing="1" w:line="240" w:lineRule="auto"/>
              <w:contextualSpacing/>
              <w:jc w:val="both"/>
              <w:outlineLvl w:val="0"/>
              <w:rPr>
                <w:rFonts w:ascii="Arial" w:hAnsi="Arial" w:cs="Arial"/>
              </w:rPr>
            </w:pPr>
            <w:r w:rsidRPr="005E34F8">
              <w:rPr>
                <w:rFonts w:ascii="Arial" w:hAnsi="Arial" w:cs="Arial"/>
              </w:rPr>
              <w:t xml:space="preserve">Not applicable </w:t>
            </w:r>
          </w:p>
        </w:tc>
        <w:tc>
          <w:tcPr>
            <w:tcW w:w="2335" w:type="dxa"/>
            <w:shd w:val="clear" w:color="auto" w:fill="FFFFFF" w:themeFill="background1"/>
          </w:tcPr>
          <w:p w:rsidR="00716D73" w:rsidRPr="005E34F8" w:rsidRDefault="00716D73" w:rsidP="00F12EC0">
            <w:pPr>
              <w:spacing w:before="100" w:beforeAutospacing="1" w:after="100" w:afterAutospacing="1" w:line="240" w:lineRule="auto"/>
              <w:contextualSpacing/>
              <w:jc w:val="both"/>
              <w:outlineLvl w:val="0"/>
              <w:rPr>
                <w:rFonts w:ascii="Arial" w:hAnsi="Arial" w:cs="Arial"/>
              </w:rPr>
            </w:pPr>
            <w:r w:rsidRPr="005E34F8">
              <w:rPr>
                <w:rFonts w:ascii="Arial" w:hAnsi="Arial" w:cs="Arial"/>
              </w:rPr>
              <w:t xml:space="preserve">Not applicable </w:t>
            </w:r>
          </w:p>
        </w:tc>
      </w:tr>
      <w:tr w:rsidR="00716D73" w:rsidRPr="00716D73" w:rsidTr="001C1A68">
        <w:tc>
          <w:tcPr>
            <w:tcW w:w="3126" w:type="dxa"/>
            <w:shd w:val="clear" w:color="auto" w:fill="FFFFFF" w:themeFill="background1"/>
          </w:tcPr>
          <w:p w:rsidR="00716D73" w:rsidRPr="00716D73" w:rsidRDefault="00716D73" w:rsidP="0074637E">
            <w:pPr>
              <w:spacing w:before="100" w:beforeAutospacing="1" w:after="100" w:afterAutospacing="1"/>
              <w:jc w:val="both"/>
              <w:outlineLvl w:val="0"/>
              <w:rPr>
                <w:rFonts w:ascii="Arial" w:hAnsi="Arial" w:cs="Arial"/>
                <w:b/>
              </w:rPr>
            </w:pPr>
            <w:r w:rsidRPr="00716D73">
              <w:rPr>
                <w:rFonts w:ascii="Arial" w:hAnsi="Arial" w:cs="Arial"/>
                <w:b/>
              </w:rPr>
              <w:t>South African National Accreditation System (SANAS)</w:t>
            </w:r>
          </w:p>
        </w:tc>
        <w:tc>
          <w:tcPr>
            <w:tcW w:w="2693" w:type="dxa"/>
            <w:shd w:val="clear" w:color="auto" w:fill="FFFFFF" w:themeFill="background1"/>
          </w:tcPr>
          <w:p w:rsidR="00716D73" w:rsidRPr="00716D73" w:rsidRDefault="00716D73" w:rsidP="006B3A2D">
            <w:pPr>
              <w:spacing w:before="100" w:beforeAutospacing="1" w:after="100" w:afterAutospacing="1" w:line="240" w:lineRule="auto"/>
              <w:contextualSpacing/>
              <w:jc w:val="both"/>
              <w:outlineLvl w:val="0"/>
              <w:rPr>
                <w:rFonts w:ascii="Arial" w:hAnsi="Arial" w:cs="Arial"/>
              </w:rPr>
            </w:pPr>
            <w:r w:rsidRPr="00716D73">
              <w:rPr>
                <w:rFonts w:ascii="Arial" w:hAnsi="Arial" w:cs="Arial"/>
              </w:rPr>
              <w:t>No transaction advisors for tenders were appointed</w:t>
            </w:r>
          </w:p>
        </w:tc>
        <w:tc>
          <w:tcPr>
            <w:tcW w:w="2268" w:type="dxa"/>
            <w:shd w:val="clear" w:color="auto" w:fill="FFFFFF" w:themeFill="background1"/>
          </w:tcPr>
          <w:p w:rsidR="00716D73" w:rsidRPr="00716D73" w:rsidRDefault="00716D73" w:rsidP="006B3A2D">
            <w:pPr>
              <w:rPr>
                <w:rFonts w:ascii="Arial" w:hAnsi="Arial" w:cs="Arial"/>
              </w:rPr>
            </w:pPr>
            <w:r w:rsidRPr="00716D73">
              <w:rPr>
                <w:rFonts w:ascii="Arial" w:hAnsi="Arial" w:cs="Arial"/>
              </w:rPr>
              <w:t xml:space="preserve">Not applicable </w:t>
            </w:r>
          </w:p>
        </w:tc>
        <w:tc>
          <w:tcPr>
            <w:tcW w:w="2410" w:type="dxa"/>
            <w:shd w:val="clear" w:color="auto" w:fill="FFFFFF" w:themeFill="background1"/>
          </w:tcPr>
          <w:p w:rsidR="00716D73" w:rsidRPr="00716D73" w:rsidRDefault="00716D73" w:rsidP="006B3A2D">
            <w:pPr>
              <w:jc w:val="both"/>
              <w:rPr>
                <w:rFonts w:ascii="Arial" w:hAnsi="Arial" w:cs="Arial"/>
              </w:rPr>
            </w:pPr>
            <w:r w:rsidRPr="00716D73">
              <w:rPr>
                <w:rFonts w:ascii="Arial" w:hAnsi="Arial" w:cs="Arial"/>
              </w:rPr>
              <w:t xml:space="preserve">Not applicable </w:t>
            </w:r>
          </w:p>
        </w:tc>
        <w:tc>
          <w:tcPr>
            <w:tcW w:w="1842" w:type="dxa"/>
            <w:shd w:val="clear" w:color="auto" w:fill="FFFFFF" w:themeFill="background1"/>
          </w:tcPr>
          <w:p w:rsidR="00716D73" w:rsidRPr="00716D73" w:rsidRDefault="00716D73" w:rsidP="006B3A2D">
            <w:pPr>
              <w:spacing w:before="100" w:beforeAutospacing="1" w:after="100" w:afterAutospacing="1" w:line="240" w:lineRule="auto"/>
              <w:contextualSpacing/>
              <w:jc w:val="both"/>
              <w:outlineLvl w:val="0"/>
              <w:rPr>
                <w:rFonts w:ascii="Arial" w:hAnsi="Arial" w:cs="Arial"/>
              </w:rPr>
            </w:pPr>
            <w:r w:rsidRPr="00716D73">
              <w:rPr>
                <w:rFonts w:ascii="Arial" w:hAnsi="Arial" w:cs="Arial"/>
              </w:rPr>
              <w:t xml:space="preserve">Not applicable </w:t>
            </w:r>
          </w:p>
        </w:tc>
        <w:tc>
          <w:tcPr>
            <w:tcW w:w="2335" w:type="dxa"/>
            <w:shd w:val="clear" w:color="auto" w:fill="FFFFFF" w:themeFill="background1"/>
          </w:tcPr>
          <w:p w:rsidR="00716D73" w:rsidRPr="00716D73" w:rsidRDefault="00716D73" w:rsidP="006B3A2D">
            <w:pPr>
              <w:spacing w:before="100" w:beforeAutospacing="1" w:after="100" w:afterAutospacing="1" w:line="240" w:lineRule="auto"/>
              <w:contextualSpacing/>
              <w:jc w:val="both"/>
              <w:outlineLvl w:val="0"/>
              <w:rPr>
                <w:rFonts w:ascii="Arial" w:hAnsi="Arial" w:cs="Arial"/>
              </w:rPr>
            </w:pPr>
            <w:r w:rsidRPr="00716D73">
              <w:rPr>
                <w:rFonts w:ascii="Arial" w:hAnsi="Arial" w:cs="Arial"/>
              </w:rPr>
              <w:t xml:space="preserve">Not applicable </w:t>
            </w:r>
          </w:p>
        </w:tc>
      </w:tr>
    </w:tbl>
    <w:p w:rsidR="001C1A68" w:rsidRDefault="001C1A68" w:rsidP="00765598">
      <w:pPr>
        <w:rPr>
          <w:rFonts w:ascii="Arial" w:hAnsi="Arial" w:cs="Arial"/>
        </w:rPr>
      </w:pPr>
    </w:p>
    <w:sectPr w:rsidR="001C1A68" w:rsidSect="00E02E6E">
      <w:footerReference w:type="default" r:id="rId9"/>
      <w:pgSz w:w="16840" w:h="11907" w:orient="landscape" w:code="9"/>
      <w:pgMar w:top="720" w:right="737" w:bottom="720" w:left="737"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70" w:rsidRDefault="00620C70" w:rsidP="00AA259F">
      <w:pPr>
        <w:spacing w:after="0" w:line="240" w:lineRule="auto"/>
      </w:pPr>
      <w:r>
        <w:separator/>
      </w:r>
    </w:p>
  </w:endnote>
  <w:endnote w:type="continuationSeparator" w:id="0">
    <w:p w:rsidR="00620C70" w:rsidRDefault="00620C70" w:rsidP="00AA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911768994"/>
      <w:docPartObj>
        <w:docPartGallery w:val="Page Numbers (Bottom of Page)"/>
        <w:docPartUnique/>
      </w:docPartObj>
    </w:sdtPr>
    <w:sdtEndPr/>
    <w:sdtContent>
      <w:sdt>
        <w:sdtPr>
          <w:rPr>
            <w:rFonts w:ascii="Arial" w:hAnsi="Arial" w:cs="Arial"/>
            <w:sz w:val="20"/>
            <w:szCs w:val="20"/>
          </w:rPr>
          <w:id w:val="1320608002"/>
          <w:docPartObj>
            <w:docPartGallery w:val="Page Numbers (Top of Page)"/>
            <w:docPartUnique/>
          </w:docPartObj>
        </w:sdtPr>
        <w:sdtEndPr/>
        <w:sdtContent>
          <w:p w:rsidR="00AA259F" w:rsidRPr="00AA259F" w:rsidRDefault="00AA259F">
            <w:pPr>
              <w:pStyle w:val="Footer"/>
              <w:jc w:val="right"/>
              <w:rPr>
                <w:rFonts w:ascii="Arial" w:hAnsi="Arial" w:cs="Arial"/>
                <w:sz w:val="20"/>
                <w:szCs w:val="20"/>
              </w:rPr>
            </w:pPr>
            <w:r w:rsidRPr="00AA259F">
              <w:rPr>
                <w:rFonts w:ascii="Arial" w:hAnsi="Arial" w:cs="Arial"/>
                <w:sz w:val="20"/>
                <w:szCs w:val="20"/>
              </w:rPr>
              <w:t xml:space="preserve">Page </w:t>
            </w:r>
            <w:r w:rsidRPr="00AA259F">
              <w:rPr>
                <w:rFonts w:ascii="Arial" w:hAnsi="Arial" w:cs="Arial"/>
                <w:b/>
                <w:bCs/>
                <w:sz w:val="20"/>
                <w:szCs w:val="20"/>
              </w:rPr>
              <w:fldChar w:fldCharType="begin"/>
            </w:r>
            <w:r w:rsidRPr="00AA259F">
              <w:rPr>
                <w:rFonts w:ascii="Arial" w:hAnsi="Arial" w:cs="Arial"/>
                <w:b/>
                <w:bCs/>
                <w:sz w:val="20"/>
                <w:szCs w:val="20"/>
              </w:rPr>
              <w:instrText xml:space="preserve"> PAGE </w:instrText>
            </w:r>
            <w:r w:rsidRPr="00AA259F">
              <w:rPr>
                <w:rFonts w:ascii="Arial" w:hAnsi="Arial" w:cs="Arial"/>
                <w:b/>
                <w:bCs/>
                <w:sz w:val="20"/>
                <w:szCs w:val="20"/>
              </w:rPr>
              <w:fldChar w:fldCharType="separate"/>
            </w:r>
            <w:r w:rsidR="000146A0">
              <w:rPr>
                <w:rFonts w:ascii="Arial" w:hAnsi="Arial" w:cs="Arial"/>
                <w:b/>
                <w:bCs/>
                <w:noProof/>
                <w:sz w:val="20"/>
                <w:szCs w:val="20"/>
              </w:rPr>
              <w:t>1</w:t>
            </w:r>
            <w:r w:rsidRPr="00AA259F">
              <w:rPr>
                <w:rFonts w:ascii="Arial" w:hAnsi="Arial" w:cs="Arial"/>
                <w:b/>
                <w:bCs/>
                <w:sz w:val="20"/>
                <w:szCs w:val="20"/>
              </w:rPr>
              <w:fldChar w:fldCharType="end"/>
            </w:r>
            <w:r w:rsidRPr="00AA259F">
              <w:rPr>
                <w:rFonts w:ascii="Arial" w:hAnsi="Arial" w:cs="Arial"/>
                <w:sz w:val="20"/>
                <w:szCs w:val="20"/>
              </w:rPr>
              <w:t xml:space="preserve"> of </w:t>
            </w:r>
            <w:r w:rsidRPr="00AA259F">
              <w:rPr>
                <w:rFonts w:ascii="Arial" w:hAnsi="Arial" w:cs="Arial"/>
                <w:b/>
                <w:bCs/>
                <w:sz w:val="20"/>
                <w:szCs w:val="20"/>
              </w:rPr>
              <w:fldChar w:fldCharType="begin"/>
            </w:r>
            <w:r w:rsidRPr="00AA259F">
              <w:rPr>
                <w:rFonts w:ascii="Arial" w:hAnsi="Arial" w:cs="Arial"/>
                <w:b/>
                <w:bCs/>
                <w:sz w:val="20"/>
                <w:szCs w:val="20"/>
              </w:rPr>
              <w:instrText xml:space="preserve"> NUMPAGES  </w:instrText>
            </w:r>
            <w:r w:rsidRPr="00AA259F">
              <w:rPr>
                <w:rFonts w:ascii="Arial" w:hAnsi="Arial" w:cs="Arial"/>
                <w:b/>
                <w:bCs/>
                <w:sz w:val="20"/>
                <w:szCs w:val="20"/>
              </w:rPr>
              <w:fldChar w:fldCharType="separate"/>
            </w:r>
            <w:r w:rsidR="000146A0">
              <w:rPr>
                <w:rFonts w:ascii="Arial" w:hAnsi="Arial" w:cs="Arial"/>
                <w:b/>
                <w:bCs/>
                <w:noProof/>
                <w:sz w:val="20"/>
                <w:szCs w:val="20"/>
              </w:rPr>
              <w:t>3</w:t>
            </w:r>
            <w:r w:rsidRPr="00AA259F">
              <w:rPr>
                <w:rFonts w:ascii="Arial" w:hAnsi="Arial" w:cs="Arial"/>
                <w:b/>
                <w:bCs/>
                <w:sz w:val="20"/>
                <w:szCs w:val="20"/>
              </w:rPr>
              <w:fldChar w:fldCharType="end"/>
            </w:r>
          </w:p>
        </w:sdtContent>
      </w:sdt>
    </w:sdtContent>
  </w:sdt>
  <w:p w:rsidR="00AA259F" w:rsidRDefault="00AA2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70" w:rsidRDefault="00620C70" w:rsidP="00AA259F">
      <w:pPr>
        <w:spacing w:after="0" w:line="240" w:lineRule="auto"/>
      </w:pPr>
      <w:r>
        <w:separator/>
      </w:r>
    </w:p>
  </w:footnote>
  <w:footnote w:type="continuationSeparator" w:id="0">
    <w:p w:rsidR="00620C70" w:rsidRDefault="00620C70" w:rsidP="00AA2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704E"/>
    <w:multiLevelType w:val="hybridMultilevel"/>
    <w:tmpl w:val="FA3C84DC"/>
    <w:lvl w:ilvl="0" w:tplc="5EAEBB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1C"/>
    <w:rsid w:val="00000638"/>
    <w:rsid w:val="00002603"/>
    <w:rsid w:val="00004657"/>
    <w:rsid w:val="000068E2"/>
    <w:rsid w:val="000146A0"/>
    <w:rsid w:val="0002431F"/>
    <w:rsid w:val="00031B56"/>
    <w:rsid w:val="00050436"/>
    <w:rsid w:val="00050EB4"/>
    <w:rsid w:val="00063C14"/>
    <w:rsid w:val="000A5DB1"/>
    <w:rsid w:val="000B619D"/>
    <w:rsid w:val="000E72C7"/>
    <w:rsid w:val="001126B4"/>
    <w:rsid w:val="0011434B"/>
    <w:rsid w:val="00147253"/>
    <w:rsid w:val="0015054F"/>
    <w:rsid w:val="00151549"/>
    <w:rsid w:val="0016313C"/>
    <w:rsid w:val="00164B1D"/>
    <w:rsid w:val="001A26DA"/>
    <w:rsid w:val="001C1A68"/>
    <w:rsid w:val="001C5B0A"/>
    <w:rsid w:val="001E5332"/>
    <w:rsid w:val="00202F1C"/>
    <w:rsid w:val="00206D6A"/>
    <w:rsid w:val="0024531D"/>
    <w:rsid w:val="00252AFE"/>
    <w:rsid w:val="00256129"/>
    <w:rsid w:val="00256232"/>
    <w:rsid w:val="002B2C6E"/>
    <w:rsid w:val="002C3AF9"/>
    <w:rsid w:val="002C6F8C"/>
    <w:rsid w:val="002D14C2"/>
    <w:rsid w:val="00323E1C"/>
    <w:rsid w:val="00344C00"/>
    <w:rsid w:val="00347EE7"/>
    <w:rsid w:val="00366D92"/>
    <w:rsid w:val="003839F9"/>
    <w:rsid w:val="003A487E"/>
    <w:rsid w:val="003B06EA"/>
    <w:rsid w:val="003C1064"/>
    <w:rsid w:val="00422B52"/>
    <w:rsid w:val="00460506"/>
    <w:rsid w:val="004634BE"/>
    <w:rsid w:val="004708D1"/>
    <w:rsid w:val="004760A4"/>
    <w:rsid w:val="00490A76"/>
    <w:rsid w:val="004A3575"/>
    <w:rsid w:val="004B288C"/>
    <w:rsid w:val="004C0BDC"/>
    <w:rsid w:val="004F65E5"/>
    <w:rsid w:val="00526EB3"/>
    <w:rsid w:val="00545380"/>
    <w:rsid w:val="005663C1"/>
    <w:rsid w:val="00574B8E"/>
    <w:rsid w:val="005B544B"/>
    <w:rsid w:val="005D174D"/>
    <w:rsid w:val="005E34F8"/>
    <w:rsid w:val="00600591"/>
    <w:rsid w:val="00602AC8"/>
    <w:rsid w:val="00620C70"/>
    <w:rsid w:val="00624087"/>
    <w:rsid w:val="00642607"/>
    <w:rsid w:val="00672C60"/>
    <w:rsid w:val="006A403C"/>
    <w:rsid w:val="006B0F01"/>
    <w:rsid w:val="006B3E86"/>
    <w:rsid w:val="006B47F6"/>
    <w:rsid w:val="006E2308"/>
    <w:rsid w:val="00701809"/>
    <w:rsid w:val="00716D73"/>
    <w:rsid w:val="0074637E"/>
    <w:rsid w:val="007632F1"/>
    <w:rsid w:val="00765598"/>
    <w:rsid w:val="007A164C"/>
    <w:rsid w:val="00817EAC"/>
    <w:rsid w:val="008303D4"/>
    <w:rsid w:val="008807C8"/>
    <w:rsid w:val="00884EB8"/>
    <w:rsid w:val="00884FF2"/>
    <w:rsid w:val="008B0941"/>
    <w:rsid w:val="008D4DBD"/>
    <w:rsid w:val="008F180F"/>
    <w:rsid w:val="00946FE2"/>
    <w:rsid w:val="00960556"/>
    <w:rsid w:val="009824B0"/>
    <w:rsid w:val="009844BA"/>
    <w:rsid w:val="009C0FF7"/>
    <w:rsid w:val="009C40EA"/>
    <w:rsid w:val="009E6C72"/>
    <w:rsid w:val="00A01ECF"/>
    <w:rsid w:val="00A31F2F"/>
    <w:rsid w:val="00A37EB0"/>
    <w:rsid w:val="00A45402"/>
    <w:rsid w:val="00A47651"/>
    <w:rsid w:val="00A477D3"/>
    <w:rsid w:val="00A650E0"/>
    <w:rsid w:val="00A70AA2"/>
    <w:rsid w:val="00A957BB"/>
    <w:rsid w:val="00A97E24"/>
    <w:rsid w:val="00AA259F"/>
    <w:rsid w:val="00AA3A0B"/>
    <w:rsid w:val="00AB742C"/>
    <w:rsid w:val="00AE707D"/>
    <w:rsid w:val="00AF275D"/>
    <w:rsid w:val="00B1460A"/>
    <w:rsid w:val="00B24582"/>
    <w:rsid w:val="00B27E8F"/>
    <w:rsid w:val="00B31267"/>
    <w:rsid w:val="00B36C38"/>
    <w:rsid w:val="00B43F98"/>
    <w:rsid w:val="00B54373"/>
    <w:rsid w:val="00B77C21"/>
    <w:rsid w:val="00B831A7"/>
    <w:rsid w:val="00BE5633"/>
    <w:rsid w:val="00C05B71"/>
    <w:rsid w:val="00C47814"/>
    <w:rsid w:val="00C7301B"/>
    <w:rsid w:val="00C76A8F"/>
    <w:rsid w:val="00C80065"/>
    <w:rsid w:val="00C8336E"/>
    <w:rsid w:val="00C97504"/>
    <w:rsid w:val="00D700B0"/>
    <w:rsid w:val="00D70A81"/>
    <w:rsid w:val="00D8387A"/>
    <w:rsid w:val="00DA0F68"/>
    <w:rsid w:val="00DA644C"/>
    <w:rsid w:val="00DA64D8"/>
    <w:rsid w:val="00DB4D69"/>
    <w:rsid w:val="00E02E6E"/>
    <w:rsid w:val="00E251B2"/>
    <w:rsid w:val="00EA2901"/>
    <w:rsid w:val="00EC11F7"/>
    <w:rsid w:val="00EC7014"/>
    <w:rsid w:val="00ED1F84"/>
    <w:rsid w:val="00ED28AA"/>
    <w:rsid w:val="00EF6567"/>
    <w:rsid w:val="00F32F33"/>
    <w:rsid w:val="00F3449D"/>
    <w:rsid w:val="00F43A16"/>
    <w:rsid w:val="00F46A53"/>
    <w:rsid w:val="00F75C78"/>
    <w:rsid w:val="00F8184D"/>
    <w:rsid w:val="00F83015"/>
    <w:rsid w:val="00F836C6"/>
    <w:rsid w:val="00FB0047"/>
    <w:rsid w:val="00FC1ADB"/>
    <w:rsid w:val="00FD78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2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59F"/>
  </w:style>
  <w:style w:type="paragraph" w:styleId="Footer">
    <w:name w:val="footer"/>
    <w:basedOn w:val="Normal"/>
    <w:link w:val="FooterChar"/>
    <w:uiPriority w:val="99"/>
    <w:unhideWhenUsed/>
    <w:rsid w:val="00AA2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59F"/>
  </w:style>
  <w:style w:type="paragraph" w:styleId="ListParagraph">
    <w:name w:val="List Paragraph"/>
    <w:basedOn w:val="Normal"/>
    <w:uiPriority w:val="34"/>
    <w:qFormat/>
    <w:rsid w:val="004C0BDC"/>
    <w:pPr>
      <w:ind w:left="720"/>
      <w:contextualSpacing/>
    </w:pPr>
  </w:style>
  <w:style w:type="paragraph" w:styleId="BalloonText">
    <w:name w:val="Balloon Text"/>
    <w:basedOn w:val="Normal"/>
    <w:link w:val="BalloonTextChar"/>
    <w:uiPriority w:val="99"/>
    <w:semiHidden/>
    <w:unhideWhenUsed/>
    <w:rsid w:val="008B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41"/>
    <w:rPr>
      <w:rFonts w:ascii="Tahoma" w:hAnsi="Tahoma" w:cs="Tahoma"/>
      <w:sz w:val="16"/>
      <w:szCs w:val="16"/>
    </w:rPr>
  </w:style>
  <w:style w:type="paragraph" w:styleId="Revision">
    <w:name w:val="Revision"/>
    <w:hidden/>
    <w:uiPriority w:val="99"/>
    <w:semiHidden/>
    <w:rsid w:val="00F818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2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59F"/>
  </w:style>
  <w:style w:type="paragraph" w:styleId="Footer">
    <w:name w:val="footer"/>
    <w:basedOn w:val="Normal"/>
    <w:link w:val="FooterChar"/>
    <w:uiPriority w:val="99"/>
    <w:unhideWhenUsed/>
    <w:rsid w:val="00AA2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59F"/>
  </w:style>
  <w:style w:type="paragraph" w:styleId="ListParagraph">
    <w:name w:val="List Paragraph"/>
    <w:basedOn w:val="Normal"/>
    <w:uiPriority w:val="34"/>
    <w:qFormat/>
    <w:rsid w:val="004C0BDC"/>
    <w:pPr>
      <w:ind w:left="720"/>
      <w:contextualSpacing/>
    </w:pPr>
  </w:style>
  <w:style w:type="paragraph" w:styleId="BalloonText">
    <w:name w:val="Balloon Text"/>
    <w:basedOn w:val="Normal"/>
    <w:link w:val="BalloonTextChar"/>
    <w:uiPriority w:val="99"/>
    <w:semiHidden/>
    <w:unhideWhenUsed/>
    <w:rsid w:val="008B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41"/>
    <w:rPr>
      <w:rFonts w:ascii="Tahoma" w:hAnsi="Tahoma" w:cs="Tahoma"/>
      <w:sz w:val="16"/>
      <w:szCs w:val="16"/>
    </w:rPr>
  </w:style>
  <w:style w:type="paragraph" w:styleId="Revision">
    <w:name w:val="Revision"/>
    <w:hidden/>
    <w:uiPriority w:val="99"/>
    <w:semiHidden/>
    <w:rsid w:val="00F81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20738">
      <w:bodyDiv w:val="1"/>
      <w:marLeft w:val="0"/>
      <w:marRight w:val="0"/>
      <w:marTop w:val="0"/>
      <w:marBottom w:val="0"/>
      <w:divBdr>
        <w:top w:val="none" w:sz="0" w:space="0" w:color="auto"/>
        <w:left w:val="none" w:sz="0" w:space="0" w:color="auto"/>
        <w:bottom w:val="none" w:sz="0" w:space="0" w:color="auto"/>
        <w:right w:val="none" w:sz="0" w:space="0" w:color="auto"/>
      </w:divBdr>
      <w:divsChild>
        <w:div w:id="1606502699">
          <w:marLeft w:val="0"/>
          <w:marRight w:val="0"/>
          <w:marTop w:val="0"/>
          <w:marBottom w:val="0"/>
          <w:divBdr>
            <w:top w:val="none" w:sz="0" w:space="0" w:color="auto"/>
            <w:left w:val="none" w:sz="0" w:space="0" w:color="auto"/>
            <w:bottom w:val="none" w:sz="0" w:space="0" w:color="auto"/>
            <w:right w:val="none" w:sz="0" w:space="0" w:color="auto"/>
          </w:divBdr>
          <w:divsChild>
            <w:div w:id="1880626347">
              <w:marLeft w:val="0"/>
              <w:marRight w:val="0"/>
              <w:marTop w:val="0"/>
              <w:marBottom w:val="0"/>
              <w:divBdr>
                <w:top w:val="none" w:sz="0" w:space="0" w:color="auto"/>
                <w:left w:val="none" w:sz="0" w:space="0" w:color="auto"/>
                <w:bottom w:val="none" w:sz="0" w:space="0" w:color="auto"/>
                <w:right w:val="none" w:sz="0" w:space="0" w:color="auto"/>
              </w:divBdr>
              <w:divsChild>
                <w:div w:id="1369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C107-3FB3-4518-AF36-3C69D129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Windows User</cp:lastModifiedBy>
  <cp:revision>2</cp:revision>
  <cp:lastPrinted>2017-06-27T13:17:00Z</cp:lastPrinted>
  <dcterms:created xsi:type="dcterms:W3CDTF">2017-06-27T13:19:00Z</dcterms:created>
  <dcterms:modified xsi:type="dcterms:W3CDTF">2017-06-27T13:19:00Z</dcterms:modified>
</cp:coreProperties>
</file>