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795C90">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posOffset>1857375</wp:posOffset>
            </wp:positionH>
            <wp:positionV relativeFrom="page">
              <wp:posOffset>247650</wp:posOffset>
            </wp:positionV>
            <wp:extent cx="4112895" cy="1864360"/>
            <wp:effectExtent l="19050" t="0" r="1905" b="0"/>
            <wp:wrapTight wrapText="bothSides">
              <wp:wrapPolygon edited="0">
                <wp:start x="-100" y="0"/>
                <wp:lineTo x="-100" y="21409"/>
                <wp:lineTo x="21610" y="21409"/>
                <wp:lineTo x="21610" y="0"/>
                <wp:lineTo x="-10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112895" cy="1864360"/>
                    </a:xfrm>
                    <a:prstGeom prst="rect">
                      <a:avLst/>
                    </a:prstGeom>
                    <a:noFill/>
                    <a:ln w="12700">
                      <a:noFill/>
                      <a:miter lim="0"/>
                      <a:headEnd/>
                      <a:tailEnd/>
                    </a:ln>
                    <a:effectLst/>
                  </pic:spPr>
                </pic:pic>
              </a:graphicData>
            </a:graphic>
          </wp:anchor>
        </w:drawing>
      </w:r>
    </w:p>
    <w:p w:rsidR="00150B15" w:rsidRDefault="00150B15">
      <w:pPr>
        <w:pStyle w:val="Body1"/>
        <w:jc w:val="center"/>
        <w:rPr>
          <w:rFonts w:ascii="Arial" w:hAnsi="Arial"/>
          <w:b/>
        </w:rPr>
      </w:pPr>
    </w:p>
    <w:p w:rsidR="00150B15" w:rsidRDefault="00150B15" w:rsidP="00E30E99">
      <w:pPr>
        <w:pStyle w:val="Body1"/>
        <w:rPr>
          <w:rFonts w:ascii="Arial" w:hAnsi="Arial"/>
          <w:b/>
        </w:rPr>
      </w:pPr>
    </w:p>
    <w:p w:rsidR="00150B15" w:rsidRDefault="00150B15">
      <w:pPr>
        <w:pStyle w:val="Body1"/>
        <w:jc w:val="right"/>
        <w:rPr>
          <w:rFonts w:ascii="Arial" w:hAnsi="Arial"/>
          <w:b/>
          <w:color w:val="FF0000"/>
        </w:rPr>
      </w:pPr>
    </w:p>
    <w:p w:rsidR="00306351" w:rsidRDefault="00306351">
      <w:pPr>
        <w:pStyle w:val="Body1"/>
        <w:jc w:val="center"/>
        <w:rPr>
          <w:rFonts w:ascii="Arial" w:hAnsi="Arial Unicode MS"/>
          <w:b/>
        </w:rPr>
      </w:pPr>
    </w:p>
    <w:p w:rsidR="00150B15" w:rsidRDefault="00150B15">
      <w:pPr>
        <w:pStyle w:val="Body1"/>
        <w:jc w:val="center"/>
        <w:rPr>
          <w:rFonts w:ascii="Arial" w:hAnsi="Arial"/>
          <w:b/>
        </w:rPr>
      </w:pPr>
      <w:r>
        <w:rPr>
          <w:rFonts w:ascii="Arial" w:hAnsi="Arial Unicode MS"/>
          <w:b/>
        </w:rPr>
        <w:t xml:space="preserve">NATIONAL </w:t>
      </w:r>
      <w:r w:rsidR="00ED53EE">
        <w:rPr>
          <w:rFonts w:ascii="Arial" w:hAnsi="Arial Unicode MS"/>
          <w:b/>
        </w:rPr>
        <w:t>ASSEMBLY</w:t>
      </w:r>
    </w:p>
    <w:p w:rsidR="00150B15" w:rsidRDefault="00150B15">
      <w:pPr>
        <w:pStyle w:val="Body1"/>
        <w:jc w:val="right"/>
        <w:rPr>
          <w:rFonts w:ascii="Arial" w:hAnsi="Arial"/>
          <w:b/>
          <w:color w:val="FF0000"/>
        </w:rPr>
      </w:pPr>
    </w:p>
    <w:p w:rsidR="00150B15" w:rsidRDefault="008A5330" w:rsidP="008A5330">
      <w:pPr>
        <w:tabs>
          <w:tab w:val="left" w:pos="7560"/>
        </w:tabs>
        <w:outlineLvl w:val="0"/>
        <w:rPr>
          <w:rFonts w:ascii="Arial" w:eastAsia="Arial Unicode MS" w:hAnsi="Arial"/>
          <w:b/>
          <w:color w:val="000000"/>
          <w:u w:color="000000"/>
        </w:rPr>
      </w:pPr>
      <w:r>
        <w:rPr>
          <w:rFonts w:ascii="Arial" w:eastAsia="Arial Unicode MS" w:hAnsi="Arial"/>
          <w:b/>
          <w:color w:val="000000"/>
          <w:u w:color="000000"/>
        </w:rPr>
        <w:tab/>
      </w: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0E0227">
      <w:pPr>
        <w:jc w:val="both"/>
        <w:outlineLvl w:val="0"/>
        <w:rPr>
          <w:rFonts w:ascii="Arial" w:eastAsia="Arial Unicode MS" w:hAnsi="Arial"/>
          <w:b/>
          <w:color w:val="000000"/>
          <w:u w:color="000000"/>
        </w:rPr>
      </w:pPr>
      <w:r>
        <w:rPr>
          <w:rFonts w:ascii="Arial" w:eastAsia="Arial Unicode MS" w:hAnsi="Arial Unicode MS"/>
          <w:b/>
          <w:color w:val="000000"/>
          <w:u w:color="000000"/>
        </w:rPr>
        <w:t>PARLIAMENTARY QUESTION:</w:t>
      </w:r>
      <w:r w:rsidR="00150B15">
        <w:rPr>
          <w:rFonts w:ascii="Arial" w:eastAsia="Arial Unicode MS" w:hAnsi="Arial Unicode MS"/>
          <w:b/>
          <w:color w:val="000000"/>
          <w:u w:color="000000"/>
        </w:rPr>
        <w:t xml:space="preserve"> </w:t>
      </w:r>
      <w:r w:rsidR="009E2258">
        <w:rPr>
          <w:rFonts w:ascii="Arial" w:eastAsia="Arial Unicode MS" w:hAnsi="Arial Unicode MS"/>
          <w:b/>
          <w:color w:val="000000"/>
          <w:u w:color="000000"/>
        </w:rPr>
        <w:t>1874</w:t>
      </w:r>
      <w:r w:rsidR="00ED53EE">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b/>
          <w:color w:val="000000"/>
          <w:u w:color="000000"/>
        </w:rPr>
      </w:pPr>
    </w:p>
    <w:p w:rsidR="00150B15" w:rsidRDefault="009E2258">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23 June 2017 </w:t>
      </w:r>
    </w:p>
    <w:p w:rsidR="00150B15" w:rsidRDefault="00150B15">
      <w:pPr>
        <w:jc w:val="both"/>
        <w:outlineLvl w:val="0"/>
        <w:rPr>
          <w:rFonts w:ascii="Arial" w:eastAsia="Arial Unicode MS" w:hAnsi="Arial"/>
          <w:color w:val="000000"/>
          <w:u w:color="000000"/>
        </w:rPr>
      </w:pPr>
    </w:p>
    <w:p w:rsidR="00150B15" w:rsidRDefault="009E2258">
      <w:pPr>
        <w:outlineLvl w:val="0"/>
        <w:rPr>
          <w:rFonts w:ascii="Arial" w:eastAsia="Arial Unicode MS" w:hAnsi="Arial"/>
          <w:b/>
          <w:color w:val="000000"/>
          <w:u w:color="000000"/>
        </w:rPr>
      </w:pPr>
      <w:r>
        <w:rPr>
          <w:rFonts w:ascii="Arial" w:eastAsia="Arial Unicode MS" w:hAnsi="Arial Unicode MS"/>
          <w:b/>
          <w:color w:val="000000"/>
          <w:u w:color="000000"/>
        </w:rPr>
        <w:t>Mr M S Mbatha (EFF)</w:t>
      </w:r>
      <w:r w:rsidR="00C56405">
        <w:rPr>
          <w:rFonts w:ascii="Arial" w:eastAsia="Arial Unicode MS" w:hAnsi="Arial Unicode MS"/>
          <w:b/>
          <w:color w:val="000000"/>
          <w:u w:color="000000"/>
        </w:rPr>
        <w:t xml:space="preserve"> to ask the Minister of Economic Development:</w:t>
      </w:r>
    </w:p>
    <w:p w:rsidR="00FB63F7" w:rsidRDefault="00FB63F7" w:rsidP="0015574C">
      <w:pPr>
        <w:spacing w:line="360" w:lineRule="auto"/>
        <w:jc w:val="both"/>
        <w:outlineLvl w:val="0"/>
        <w:rPr>
          <w:rFonts w:ascii="Arial" w:hAnsi="Arial" w:cs="Arial"/>
        </w:rPr>
      </w:pPr>
    </w:p>
    <w:p w:rsidR="00FB63F7" w:rsidRPr="00B210A0" w:rsidRDefault="00B210A0" w:rsidP="00B210A0">
      <w:pPr>
        <w:spacing w:line="360" w:lineRule="auto"/>
        <w:jc w:val="both"/>
        <w:outlineLvl w:val="0"/>
        <w:rPr>
          <w:rFonts w:ascii="Arial" w:hAnsi="Arial" w:cs="Arial"/>
        </w:rPr>
      </w:pPr>
      <w:r w:rsidRPr="00B210A0">
        <w:rPr>
          <w:rFonts w:ascii="Arial" w:hAnsi="Arial" w:cs="Arial"/>
        </w:rPr>
        <w:t>Whether (a) his department and (b) each entity reporting to him appointed transaction</w:t>
      </w:r>
      <w:r w:rsidRPr="00B210A0">
        <w:rPr>
          <w:rFonts w:ascii="Arial" w:hAnsi="Arial" w:cs="Arial"/>
          <w:lang w:val="en-GB"/>
        </w:rPr>
        <w:t xml:space="preserve">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w:t>
      </w:r>
      <w:r w:rsidRPr="00B210A0">
        <w:rPr>
          <w:rFonts w:ascii="Arial" w:hAnsi="Arial" w:cs="Arial"/>
          <w:lang w:val="en-GB"/>
        </w:rPr>
        <w:tab/>
      </w:r>
      <w:r w:rsidRPr="00B210A0">
        <w:rPr>
          <w:rFonts w:ascii="Arial" w:hAnsi="Arial" w:cs="Arial"/>
          <w:lang w:val="en-GB"/>
        </w:rPr>
        <w:tab/>
      </w:r>
      <w:r w:rsidRPr="00B210A0">
        <w:rPr>
          <w:rFonts w:ascii="Arial" w:hAnsi="Arial" w:cs="Arial"/>
          <w:lang w:val="en-GB"/>
        </w:rPr>
        <w:tab/>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sidRPr="00B210A0">
        <w:rPr>
          <w:rFonts w:ascii="Arial" w:hAnsi="Arial" w:cs="Arial"/>
          <w:lang w:val="en-GB"/>
        </w:rPr>
        <w:t>NW2086E</w:t>
      </w:r>
    </w:p>
    <w:p w:rsidR="00FB63F7" w:rsidRDefault="00FB63F7" w:rsidP="0015574C">
      <w:pPr>
        <w:spacing w:line="360" w:lineRule="auto"/>
        <w:jc w:val="both"/>
        <w:outlineLvl w:val="0"/>
        <w:rPr>
          <w:rFonts w:ascii="Arial" w:hAnsi="Arial" w:cs="Arial"/>
        </w:rPr>
      </w:pPr>
    </w:p>
    <w:p w:rsidR="00150B15" w:rsidRDefault="00150B15" w:rsidP="0015574C">
      <w:pPr>
        <w:spacing w:line="360" w:lineRule="auto"/>
        <w:jc w:val="both"/>
        <w:outlineLvl w:val="0"/>
        <w:rPr>
          <w:rFonts w:ascii="Arial" w:eastAsia="Arial Unicode MS" w:hAnsi="Arial Unicode MS"/>
          <w:b/>
          <w:color w:val="000000"/>
          <w:u w:color="000000"/>
        </w:rPr>
      </w:pPr>
      <w:r w:rsidRPr="0015574C">
        <w:rPr>
          <w:rFonts w:ascii="Arial" w:eastAsia="Arial Unicode MS" w:hAnsi="Arial Unicode MS"/>
          <w:b/>
          <w:color w:val="000000"/>
          <w:u w:color="000000"/>
        </w:rPr>
        <w:t>REPLY</w:t>
      </w:r>
    </w:p>
    <w:p w:rsidR="00B61202" w:rsidRDefault="00B61202" w:rsidP="0015574C">
      <w:pPr>
        <w:spacing w:line="360" w:lineRule="auto"/>
        <w:jc w:val="both"/>
        <w:outlineLvl w:val="0"/>
        <w:rPr>
          <w:rFonts w:ascii="Arial" w:eastAsia="Arial Unicode MS" w:hAnsi="Arial Unicode MS"/>
          <w:b/>
          <w:color w:val="000000"/>
          <w:u w:color="000000"/>
        </w:rPr>
      </w:pPr>
    </w:p>
    <w:p w:rsidR="00B61202" w:rsidRDefault="00B61202" w:rsidP="0015574C">
      <w:pPr>
        <w:spacing w:line="360" w:lineRule="auto"/>
        <w:jc w:val="both"/>
        <w:outlineLvl w:val="0"/>
        <w:rPr>
          <w:rFonts w:ascii="Arial" w:eastAsia="Arial Unicode MS" w:hAnsi="Arial Unicode MS"/>
          <w:color w:val="000000"/>
          <w:u w:color="000000"/>
        </w:rPr>
      </w:pPr>
      <w:r w:rsidRPr="00074562">
        <w:rPr>
          <w:rFonts w:ascii="Arial" w:eastAsia="Arial Unicode MS" w:hAnsi="Arial Unicode MS"/>
          <w:u w:color="000000"/>
        </w:rPr>
        <w:t>The</w:t>
      </w:r>
      <w:r w:rsidR="00074562" w:rsidRPr="00074562">
        <w:rPr>
          <w:rFonts w:ascii="Arial" w:eastAsia="Arial Unicode MS" w:hAnsi="Arial Unicode MS"/>
          <w:u w:color="000000"/>
        </w:rPr>
        <w:t xml:space="preserve"> EDD,</w:t>
      </w:r>
      <w:r w:rsidRPr="00074562">
        <w:rPr>
          <w:rFonts w:ascii="Arial" w:eastAsia="Arial Unicode MS" w:hAnsi="Arial Unicode MS"/>
          <w:u w:color="000000"/>
        </w:rPr>
        <w:t xml:space="preserve"> Competition Tribunal</w:t>
      </w:r>
      <w:r w:rsidR="00506BD9">
        <w:rPr>
          <w:rFonts w:ascii="Arial" w:eastAsia="Arial Unicode MS" w:hAnsi="Arial Unicode MS"/>
          <w:u w:color="000000"/>
        </w:rPr>
        <w:t>, ITAC and</w:t>
      </w:r>
      <w:r w:rsidR="00074562">
        <w:rPr>
          <w:rFonts w:ascii="Arial" w:eastAsia="Arial Unicode MS" w:hAnsi="Arial Unicode MS"/>
          <w:color w:val="FF0000"/>
          <w:u w:color="000000"/>
        </w:rPr>
        <w:t xml:space="preserve"> </w:t>
      </w:r>
      <w:r w:rsidR="00074562" w:rsidRPr="00506BD9">
        <w:rPr>
          <w:rFonts w:ascii="Arial" w:eastAsia="Arial Unicode MS" w:hAnsi="Arial Unicode MS"/>
          <w:u w:color="000000"/>
        </w:rPr>
        <w:t>Competition Commission</w:t>
      </w:r>
      <w:r w:rsidR="003E23BB">
        <w:rPr>
          <w:rFonts w:ascii="Arial" w:eastAsia="Arial Unicode MS" w:hAnsi="Arial Unicode MS"/>
          <w:color w:val="FF0000"/>
          <w:u w:color="000000"/>
        </w:rPr>
        <w:t xml:space="preserve"> </w:t>
      </w:r>
      <w:r w:rsidR="003E23BB" w:rsidRPr="00B61202">
        <w:rPr>
          <w:rFonts w:ascii="Arial" w:eastAsia="Arial Unicode MS" w:hAnsi="Arial Unicode MS"/>
          <w:color w:val="000000"/>
          <w:u w:color="000000"/>
        </w:rPr>
        <w:t>did</w:t>
      </w:r>
      <w:r>
        <w:rPr>
          <w:rFonts w:ascii="Arial" w:eastAsia="Arial Unicode MS" w:hAnsi="Arial Unicode MS"/>
          <w:color w:val="000000"/>
          <w:u w:color="000000"/>
        </w:rPr>
        <w:t xml:space="preserve"> not appoint any transact</w:t>
      </w:r>
      <w:r w:rsidR="00220BBC">
        <w:rPr>
          <w:rFonts w:ascii="Arial" w:eastAsia="Arial Unicode MS" w:hAnsi="Arial Unicode MS"/>
          <w:color w:val="000000"/>
          <w:u w:color="000000"/>
        </w:rPr>
        <w:t xml:space="preserve">ion advisors for any tenders in the period </w:t>
      </w:r>
      <w:r>
        <w:rPr>
          <w:rFonts w:ascii="Arial" w:eastAsia="Arial Unicode MS" w:hAnsi="Arial Unicode MS"/>
          <w:color w:val="000000"/>
          <w:u w:color="000000"/>
        </w:rPr>
        <w:t xml:space="preserve">01 January 2012 to 31 December 2016. </w:t>
      </w:r>
    </w:p>
    <w:p w:rsidR="00074562" w:rsidRDefault="00074562" w:rsidP="0015574C">
      <w:pPr>
        <w:spacing w:line="360" w:lineRule="auto"/>
        <w:jc w:val="both"/>
        <w:outlineLvl w:val="0"/>
        <w:rPr>
          <w:rFonts w:ascii="Arial" w:eastAsia="Arial Unicode MS" w:hAnsi="Arial Unicode MS"/>
          <w:color w:val="000000"/>
          <w:u w:color="000000"/>
        </w:rPr>
      </w:pPr>
    </w:p>
    <w:p w:rsidR="00E30E99" w:rsidRDefault="00074562" w:rsidP="00074562">
      <w:pPr>
        <w:spacing w:line="360" w:lineRule="auto"/>
        <w:jc w:val="both"/>
        <w:rPr>
          <w:rFonts w:ascii="Arial" w:hAnsi="Arial" w:cs="Arial"/>
        </w:rPr>
      </w:pPr>
      <w:r w:rsidRPr="00074562">
        <w:rPr>
          <w:rFonts w:ascii="Arial" w:hAnsi="Arial" w:cs="Arial"/>
        </w:rPr>
        <w:t>The IDC engage</w:t>
      </w:r>
      <w:r w:rsidR="005D2663">
        <w:rPr>
          <w:rFonts w:ascii="Arial" w:hAnsi="Arial" w:cs="Arial"/>
        </w:rPr>
        <w:t>s</w:t>
      </w:r>
      <w:r w:rsidRPr="00074562">
        <w:rPr>
          <w:rFonts w:ascii="Arial" w:hAnsi="Arial" w:cs="Arial"/>
        </w:rPr>
        <w:t xml:space="preserve"> the services of transaction advisors in the execution of some of its strategi</w:t>
      </w:r>
      <w:r w:rsidR="004255F7">
        <w:rPr>
          <w:rFonts w:ascii="Arial" w:hAnsi="Arial" w:cs="Arial"/>
        </w:rPr>
        <w:t xml:space="preserve">c business related activities. </w:t>
      </w:r>
    </w:p>
    <w:p w:rsidR="00E30E99" w:rsidRDefault="00E30E99" w:rsidP="00074562">
      <w:pPr>
        <w:spacing w:line="360" w:lineRule="auto"/>
        <w:jc w:val="both"/>
        <w:rPr>
          <w:rFonts w:ascii="Arial" w:hAnsi="Arial" w:cs="Arial"/>
        </w:rPr>
      </w:pPr>
    </w:p>
    <w:p w:rsidR="00E611FD" w:rsidRDefault="00074562" w:rsidP="00E30E99">
      <w:pPr>
        <w:spacing w:line="360" w:lineRule="auto"/>
        <w:jc w:val="both"/>
        <w:rPr>
          <w:rFonts w:ascii="Arial" w:hAnsi="Arial" w:cs="Arial"/>
        </w:rPr>
      </w:pPr>
      <w:r w:rsidRPr="00074562">
        <w:rPr>
          <w:rFonts w:ascii="Arial" w:hAnsi="Arial" w:cs="Arial"/>
        </w:rPr>
        <w:t>For the period 01 January 2012 to 31 December 2016, the following transaction advisors were appointed by the IDC:</w:t>
      </w:r>
    </w:p>
    <w:p w:rsidR="004255F7" w:rsidRDefault="004255F7" w:rsidP="00E30E99">
      <w:pPr>
        <w:spacing w:line="360" w:lineRule="auto"/>
        <w:jc w:val="both"/>
        <w:rPr>
          <w:rFonts w:ascii="Arial" w:hAnsi="Arial" w:cs="Arial"/>
        </w:rPr>
      </w:pPr>
    </w:p>
    <w:p w:rsidR="004255F7" w:rsidRPr="00E30E99" w:rsidRDefault="004255F7" w:rsidP="00E30E99">
      <w:pPr>
        <w:spacing w:line="360" w:lineRule="auto"/>
        <w:jc w:val="both"/>
        <w:rPr>
          <w:rFonts w:ascii="Arial" w:hAnsi="Arial" w:cs="Arial"/>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2551"/>
        <w:gridCol w:w="2126"/>
        <w:gridCol w:w="1985"/>
      </w:tblGrid>
      <w:tr w:rsidR="005F42D6" w:rsidRPr="00713F04" w:rsidTr="007824A8">
        <w:tc>
          <w:tcPr>
            <w:tcW w:w="709" w:type="dxa"/>
            <w:shd w:val="clear" w:color="auto" w:fill="D5DCE4"/>
          </w:tcPr>
          <w:p w:rsidR="00E611FD" w:rsidRPr="007E792E" w:rsidRDefault="00E611FD" w:rsidP="007E792E">
            <w:pPr>
              <w:rPr>
                <w:rFonts w:ascii="Arial" w:eastAsia="Calibri" w:hAnsi="Arial" w:cs="Arial"/>
                <w:b/>
              </w:rPr>
            </w:pPr>
            <w:r w:rsidRPr="007E792E">
              <w:rPr>
                <w:rFonts w:ascii="Arial" w:eastAsia="Calibri" w:hAnsi="Arial" w:cs="Arial"/>
                <w:b/>
              </w:rPr>
              <w:t>No.</w:t>
            </w:r>
          </w:p>
        </w:tc>
        <w:tc>
          <w:tcPr>
            <w:tcW w:w="3828" w:type="dxa"/>
            <w:shd w:val="clear" w:color="auto" w:fill="D5DCE4"/>
          </w:tcPr>
          <w:p w:rsidR="00E611FD" w:rsidRPr="007E792E" w:rsidRDefault="00E611FD" w:rsidP="007E792E">
            <w:pPr>
              <w:pStyle w:val="ListParagraph"/>
              <w:numPr>
                <w:ilvl w:val="0"/>
                <w:numId w:val="6"/>
              </w:numPr>
              <w:spacing w:after="0" w:line="240" w:lineRule="auto"/>
              <w:ind w:left="188" w:hanging="284"/>
              <w:jc w:val="both"/>
              <w:rPr>
                <w:rFonts w:ascii="Arial" w:eastAsia="Calibri" w:hAnsi="Arial" w:cs="Arial"/>
                <w:b/>
                <w:sz w:val="24"/>
                <w:szCs w:val="24"/>
              </w:rPr>
            </w:pPr>
            <w:r w:rsidRPr="007E792E">
              <w:rPr>
                <w:rFonts w:ascii="Arial" w:eastAsia="Calibri" w:hAnsi="Arial" w:cs="Arial"/>
                <w:b/>
                <w:sz w:val="24"/>
                <w:szCs w:val="24"/>
              </w:rPr>
              <w:t>Name of Transaction Advisor</w:t>
            </w:r>
          </w:p>
        </w:tc>
        <w:tc>
          <w:tcPr>
            <w:tcW w:w="2551" w:type="dxa"/>
            <w:shd w:val="clear" w:color="auto" w:fill="D5DCE4"/>
          </w:tcPr>
          <w:p w:rsidR="00E611FD" w:rsidRPr="007E792E" w:rsidRDefault="00E611FD" w:rsidP="007E792E">
            <w:pPr>
              <w:pStyle w:val="ListParagraph"/>
              <w:numPr>
                <w:ilvl w:val="0"/>
                <w:numId w:val="6"/>
              </w:numPr>
              <w:spacing w:after="0" w:line="240" w:lineRule="auto"/>
              <w:ind w:left="176" w:hanging="284"/>
              <w:jc w:val="both"/>
              <w:rPr>
                <w:rFonts w:ascii="Arial" w:eastAsia="Calibri" w:hAnsi="Arial" w:cs="Arial"/>
                <w:b/>
                <w:sz w:val="24"/>
                <w:szCs w:val="24"/>
              </w:rPr>
            </w:pPr>
            <w:r w:rsidRPr="007E792E">
              <w:rPr>
                <w:rFonts w:ascii="Arial" w:eastAsia="Calibri" w:hAnsi="Arial" w:cs="Arial"/>
                <w:b/>
                <w:sz w:val="24"/>
                <w:szCs w:val="24"/>
              </w:rPr>
              <w:t>Tender description</w:t>
            </w:r>
          </w:p>
        </w:tc>
        <w:tc>
          <w:tcPr>
            <w:tcW w:w="2126" w:type="dxa"/>
            <w:shd w:val="clear" w:color="auto" w:fill="D5DCE4"/>
          </w:tcPr>
          <w:p w:rsidR="00E611FD" w:rsidRPr="007E792E" w:rsidRDefault="00E611FD" w:rsidP="007E792E">
            <w:pPr>
              <w:pStyle w:val="ListParagraph"/>
              <w:numPr>
                <w:ilvl w:val="0"/>
                <w:numId w:val="6"/>
              </w:numPr>
              <w:tabs>
                <w:tab w:val="left" w:pos="317"/>
              </w:tabs>
              <w:spacing w:after="0" w:line="240" w:lineRule="auto"/>
              <w:ind w:left="175" w:hanging="283"/>
              <w:jc w:val="both"/>
              <w:rPr>
                <w:rFonts w:ascii="Arial" w:eastAsia="Calibri" w:hAnsi="Arial" w:cs="Arial"/>
                <w:b/>
                <w:sz w:val="24"/>
                <w:szCs w:val="24"/>
              </w:rPr>
            </w:pPr>
            <w:r w:rsidRPr="007E792E">
              <w:rPr>
                <w:rFonts w:ascii="Arial" w:eastAsia="Calibri" w:hAnsi="Arial" w:cs="Arial"/>
                <w:b/>
                <w:sz w:val="24"/>
                <w:szCs w:val="24"/>
              </w:rPr>
              <w:t>Tender pricing</w:t>
            </w:r>
          </w:p>
        </w:tc>
        <w:tc>
          <w:tcPr>
            <w:tcW w:w="1985" w:type="dxa"/>
            <w:shd w:val="clear" w:color="auto" w:fill="D5DCE4"/>
          </w:tcPr>
          <w:p w:rsidR="00E611FD" w:rsidRPr="007E792E" w:rsidRDefault="00E611FD" w:rsidP="007E792E">
            <w:pPr>
              <w:pStyle w:val="ListParagraph"/>
              <w:numPr>
                <w:ilvl w:val="0"/>
                <w:numId w:val="6"/>
              </w:numPr>
              <w:spacing w:after="0" w:line="240" w:lineRule="auto"/>
              <w:ind w:left="360" w:hanging="360"/>
              <w:jc w:val="both"/>
              <w:rPr>
                <w:rFonts w:ascii="Arial" w:eastAsia="Calibri" w:hAnsi="Arial" w:cs="Arial"/>
                <w:b/>
                <w:sz w:val="24"/>
                <w:szCs w:val="24"/>
              </w:rPr>
            </w:pPr>
            <w:r w:rsidRPr="007E792E">
              <w:rPr>
                <w:rFonts w:ascii="Arial" w:eastAsia="Calibri" w:hAnsi="Arial" w:cs="Arial"/>
                <w:b/>
                <w:sz w:val="24"/>
                <w:szCs w:val="24"/>
              </w:rPr>
              <w:t>Amount paid to date</w:t>
            </w:r>
          </w:p>
        </w:tc>
      </w:tr>
      <w:tr w:rsidR="00E611FD" w:rsidRPr="00713F04" w:rsidTr="007824A8">
        <w:trPr>
          <w:trHeight w:val="594"/>
        </w:trPr>
        <w:tc>
          <w:tcPr>
            <w:tcW w:w="709"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1</w:t>
            </w:r>
          </w:p>
        </w:tc>
        <w:tc>
          <w:tcPr>
            <w:tcW w:w="3828" w:type="dxa"/>
            <w:shd w:val="clear" w:color="auto" w:fill="auto"/>
          </w:tcPr>
          <w:p w:rsidR="00E611FD" w:rsidRPr="007E792E" w:rsidRDefault="00E611FD" w:rsidP="007E792E">
            <w:pPr>
              <w:rPr>
                <w:rFonts w:ascii="Arial" w:eastAsia="Calibri" w:hAnsi="Arial" w:cs="Arial"/>
                <w:iCs/>
              </w:rPr>
            </w:pPr>
            <w:r w:rsidRPr="007E792E">
              <w:rPr>
                <w:rFonts w:ascii="Arial" w:eastAsia="Calibri" w:hAnsi="Arial" w:cs="Arial"/>
                <w:iCs/>
              </w:rPr>
              <w:t>Nedbank Capital and Basis Points Capital (Pty) Ltd Joint Venture</w:t>
            </w:r>
          </w:p>
          <w:p w:rsidR="00E611FD" w:rsidRPr="007E792E" w:rsidRDefault="00E611FD" w:rsidP="007E792E">
            <w:pPr>
              <w:rPr>
                <w:rFonts w:ascii="Arial" w:eastAsia="Calibri" w:hAnsi="Arial" w:cs="Arial"/>
              </w:rPr>
            </w:pPr>
          </w:p>
        </w:tc>
        <w:tc>
          <w:tcPr>
            <w:tcW w:w="2551"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Financial Valuation of TargetCo</w:t>
            </w:r>
          </w:p>
        </w:tc>
        <w:tc>
          <w:tcPr>
            <w:tcW w:w="2126"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R 750,000</w:t>
            </w:r>
          </w:p>
        </w:tc>
        <w:tc>
          <w:tcPr>
            <w:tcW w:w="1985"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R 750,000</w:t>
            </w:r>
          </w:p>
        </w:tc>
      </w:tr>
      <w:tr w:rsidR="00E611FD" w:rsidRPr="00713F04" w:rsidTr="007824A8">
        <w:trPr>
          <w:trHeight w:val="1073"/>
        </w:trPr>
        <w:tc>
          <w:tcPr>
            <w:tcW w:w="709"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2</w:t>
            </w:r>
          </w:p>
        </w:tc>
        <w:tc>
          <w:tcPr>
            <w:tcW w:w="3828"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PriceWaterhouseCoopers Incorporated</w:t>
            </w:r>
          </w:p>
        </w:tc>
        <w:tc>
          <w:tcPr>
            <w:tcW w:w="2551"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Transaction Advisory Services for the Masorini Steel Project</w:t>
            </w:r>
          </w:p>
          <w:p w:rsidR="00E611FD" w:rsidRPr="007E792E" w:rsidRDefault="00E611FD" w:rsidP="007E792E">
            <w:pPr>
              <w:rPr>
                <w:rFonts w:ascii="Arial" w:eastAsia="Calibri" w:hAnsi="Arial" w:cs="Arial"/>
              </w:rPr>
            </w:pPr>
          </w:p>
        </w:tc>
        <w:tc>
          <w:tcPr>
            <w:tcW w:w="2126" w:type="dxa"/>
            <w:shd w:val="clear" w:color="auto" w:fill="auto"/>
          </w:tcPr>
          <w:p w:rsidR="00E611FD" w:rsidRPr="007E792E" w:rsidRDefault="00E611FD" w:rsidP="007E792E">
            <w:pPr>
              <w:rPr>
                <w:rFonts w:ascii="Arial" w:eastAsia="Calibri" w:hAnsi="Arial" w:cs="Arial"/>
                <w:lang w:eastAsia="en-ZA"/>
              </w:rPr>
            </w:pPr>
            <w:r w:rsidRPr="007E792E">
              <w:rPr>
                <w:rFonts w:ascii="Arial" w:eastAsia="Calibri" w:hAnsi="Arial" w:cs="Arial"/>
                <w:lang w:eastAsia="en-ZA"/>
              </w:rPr>
              <w:t>R 3,506,800</w:t>
            </w:r>
          </w:p>
        </w:tc>
        <w:tc>
          <w:tcPr>
            <w:tcW w:w="1985"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R 3,049,919</w:t>
            </w:r>
          </w:p>
        </w:tc>
      </w:tr>
      <w:tr w:rsidR="00E611FD" w:rsidRPr="00713F04" w:rsidTr="007824A8">
        <w:tc>
          <w:tcPr>
            <w:tcW w:w="709"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3</w:t>
            </w:r>
          </w:p>
        </w:tc>
        <w:tc>
          <w:tcPr>
            <w:tcW w:w="3828"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PSG Capital (Pty) Ltd</w:t>
            </w:r>
          </w:p>
        </w:tc>
        <w:tc>
          <w:tcPr>
            <w:tcW w:w="2551"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Transaction Advisor for the UCW Transaction</w:t>
            </w:r>
          </w:p>
          <w:p w:rsidR="00E611FD" w:rsidRPr="007E792E" w:rsidRDefault="00E611FD" w:rsidP="007E792E">
            <w:pPr>
              <w:rPr>
                <w:rFonts w:ascii="Arial" w:eastAsia="Calibri" w:hAnsi="Arial" w:cs="Arial"/>
              </w:rPr>
            </w:pPr>
          </w:p>
        </w:tc>
        <w:tc>
          <w:tcPr>
            <w:tcW w:w="2126" w:type="dxa"/>
            <w:shd w:val="clear" w:color="auto" w:fill="auto"/>
          </w:tcPr>
          <w:p w:rsidR="00E611FD" w:rsidRPr="007E792E" w:rsidRDefault="00E611FD" w:rsidP="007E792E">
            <w:pPr>
              <w:rPr>
                <w:rFonts w:ascii="Arial" w:eastAsia="Calibri" w:hAnsi="Arial" w:cs="Arial"/>
                <w:b/>
              </w:rPr>
            </w:pPr>
            <w:r w:rsidRPr="007E792E">
              <w:rPr>
                <w:rFonts w:ascii="Arial" w:eastAsia="Calibri" w:hAnsi="Arial" w:cs="Arial"/>
                <w:color w:val="000000"/>
              </w:rPr>
              <w:t>R 2,351,114</w:t>
            </w:r>
          </w:p>
        </w:tc>
        <w:tc>
          <w:tcPr>
            <w:tcW w:w="1985" w:type="dxa"/>
            <w:shd w:val="clear" w:color="auto" w:fill="auto"/>
          </w:tcPr>
          <w:p w:rsidR="00E611FD" w:rsidRPr="007E792E" w:rsidRDefault="00E611FD" w:rsidP="007E792E">
            <w:pPr>
              <w:rPr>
                <w:rFonts w:ascii="Arial" w:eastAsia="Calibri" w:hAnsi="Arial" w:cs="Arial"/>
                <w:color w:val="000000"/>
              </w:rPr>
            </w:pPr>
            <w:r w:rsidRPr="007E792E">
              <w:rPr>
                <w:rFonts w:ascii="Arial" w:eastAsia="Calibri" w:hAnsi="Arial" w:cs="Arial"/>
                <w:color w:val="000000"/>
              </w:rPr>
              <w:t>R 2,351,114</w:t>
            </w:r>
          </w:p>
        </w:tc>
      </w:tr>
      <w:tr w:rsidR="00E611FD" w:rsidRPr="00713F04" w:rsidTr="007824A8">
        <w:tc>
          <w:tcPr>
            <w:tcW w:w="709"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4</w:t>
            </w:r>
          </w:p>
        </w:tc>
        <w:tc>
          <w:tcPr>
            <w:tcW w:w="3828"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iCs/>
              </w:rPr>
              <w:t>Sasfin Bank Ltd</w:t>
            </w:r>
          </w:p>
        </w:tc>
        <w:tc>
          <w:tcPr>
            <w:tcW w:w="2551" w:type="dxa"/>
            <w:shd w:val="clear" w:color="auto" w:fill="auto"/>
          </w:tcPr>
          <w:p w:rsidR="00E611FD" w:rsidRPr="007E792E" w:rsidRDefault="00E611FD" w:rsidP="007E792E">
            <w:pPr>
              <w:rPr>
                <w:rFonts w:ascii="Arial" w:eastAsia="Calibri" w:hAnsi="Arial" w:cs="Arial"/>
                <w:iCs/>
              </w:rPr>
            </w:pPr>
            <w:r w:rsidRPr="007E792E">
              <w:rPr>
                <w:rFonts w:ascii="Arial" w:eastAsia="Calibri" w:hAnsi="Arial" w:cs="Arial"/>
                <w:iCs/>
              </w:rPr>
              <w:t>Independent financial valuation of United Carriage Wagons</w:t>
            </w:r>
          </w:p>
          <w:p w:rsidR="00E611FD" w:rsidRPr="007E792E" w:rsidRDefault="00E611FD" w:rsidP="007E792E">
            <w:pPr>
              <w:rPr>
                <w:rFonts w:ascii="Arial" w:eastAsia="Calibri" w:hAnsi="Arial" w:cs="Arial"/>
              </w:rPr>
            </w:pPr>
          </w:p>
        </w:tc>
        <w:tc>
          <w:tcPr>
            <w:tcW w:w="2126" w:type="dxa"/>
            <w:shd w:val="clear" w:color="auto" w:fill="auto"/>
          </w:tcPr>
          <w:p w:rsidR="00E611FD" w:rsidRPr="007E792E" w:rsidRDefault="00E611FD" w:rsidP="007E792E">
            <w:pPr>
              <w:rPr>
                <w:rFonts w:ascii="Arial" w:eastAsia="Calibri" w:hAnsi="Arial" w:cs="Arial"/>
                <w:color w:val="000000"/>
              </w:rPr>
            </w:pPr>
            <w:r w:rsidRPr="007E792E">
              <w:rPr>
                <w:rFonts w:ascii="Arial" w:eastAsia="Calibri" w:hAnsi="Arial" w:cs="Arial"/>
                <w:color w:val="000000"/>
              </w:rPr>
              <w:t>R 200,000</w:t>
            </w:r>
          </w:p>
        </w:tc>
        <w:tc>
          <w:tcPr>
            <w:tcW w:w="1985" w:type="dxa"/>
            <w:shd w:val="clear" w:color="auto" w:fill="auto"/>
          </w:tcPr>
          <w:p w:rsidR="00E611FD" w:rsidRPr="007E792E" w:rsidRDefault="00E611FD" w:rsidP="007E792E">
            <w:pPr>
              <w:rPr>
                <w:rFonts w:ascii="Arial" w:eastAsia="Calibri" w:hAnsi="Arial" w:cs="Arial"/>
                <w:color w:val="000000"/>
              </w:rPr>
            </w:pPr>
            <w:r w:rsidRPr="007E792E">
              <w:rPr>
                <w:rFonts w:ascii="Arial" w:eastAsia="Calibri" w:hAnsi="Arial" w:cs="Arial"/>
                <w:color w:val="000000"/>
              </w:rPr>
              <w:t>R 200,000</w:t>
            </w:r>
          </w:p>
        </w:tc>
      </w:tr>
      <w:tr w:rsidR="00E611FD" w:rsidRPr="00713F04" w:rsidTr="007824A8">
        <w:tc>
          <w:tcPr>
            <w:tcW w:w="709"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5</w:t>
            </w:r>
          </w:p>
        </w:tc>
        <w:tc>
          <w:tcPr>
            <w:tcW w:w="3828"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 xml:space="preserve">Ernst &amp; Young Advisory Services (Pty) </w:t>
            </w:r>
          </w:p>
        </w:tc>
        <w:tc>
          <w:tcPr>
            <w:tcW w:w="2551" w:type="dxa"/>
            <w:shd w:val="clear" w:color="auto" w:fill="auto"/>
          </w:tcPr>
          <w:p w:rsidR="00E611FD" w:rsidRPr="007E792E" w:rsidRDefault="00E611FD" w:rsidP="007E792E">
            <w:pPr>
              <w:rPr>
                <w:rFonts w:ascii="Arial" w:eastAsia="Calibri" w:hAnsi="Arial" w:cs="Arial"/>
                <w:color w:val="000000"/>
              </w:rPr>
            </w:pPr>
            <w:r w:rsidRPr="007E792E">
              <w:rPr>
                <w:rFonts w:ascii="Arial" w:eastAsia="Calibri" w:hAnsi="Arial" w:cs="Arial"/>
                <w:color w:val="000000"/>
              </w:rPr>
              <w:t>Transaction advisor on the Corporatisation of Scaw</w:t>
            </w:r>
          </w:p>
          <w:p w:rsidR="00E611FD" w:rsidRPr="007E792E" w:rsidRDefault="00E611FD" w:rsidP="007E792E">
            <w:pPr>
              <w:rPr>
                <w:rFonts w:ascii="Arial" w:eastAsia="Calibri" w:hAnsi="Arial" w:cs="Arial"/>
                <w:color w:val="000000"/>
              </w:rPr>
            </w:pPr>
          </w:p>
        </w:tc>
        <w:tc>
          <w:tcPr>
            <w:tcW w:w="2126"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R 17,256,155</w:t>
            </w:r>
          </w:p>
        </w:tc>
        <w:tc>
          <w:tcPr>
            <w:tcW w:w="1985"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R 13,520,721</w:t>
            </w:r>
          </w:p>
        </w:tc>
      </w:tr>
      <w:tr w:rsidR="00E611FD" w:rsidRPr="00713F04" w:rsidTr="007824A8">
        <w:trPr>
          <w:trHeight w:val="1401"/>
        </w:trPr>
        <w:tc>
          <w:tcPr>
            <w:tcW w:w="709" w:type="dxa"/>
            <w:shd w:val="clear" w:color="auto" w:fill="auto"/>
          </w:tcPr>
          <w:p w:rsidR="00E611FD" w:rsidRPr="007E792E" w:rsidRDefault="00E611FD" w:rsidP="007E792E">
            <w:pPr>
              <w:rPr>
                <w:rFonts w:ascii="Arial" w:eastAsia="Calibri" w:hAnsi="Arial" w:cs="Arial"/>
                <w:b/>
              </w:rPr>
            </w:pPr>
            <w:r w:rsidRPr="007E792E">
              <w:rPr>
                <w:rFonts w:ascii="Arial" w:eastAsia="Calibri" w:hAnsi="Arial" w:cs="Arial"/>
              </w:rPr>
              <w:t>6</w:t>
            </w:r>
          </w:p>
        </w:tc>
        <w:tc>
          <w:tcPr>
            <w:tcW w:w="3828"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Rothschild (South Africa) (Pty) Ltd and Identity Capital Partners (Pty) Ltd Joint Venture</w:t>
            </w:r>
          </w:p>
        </w:tc>
        <w:tc>
          <w:tcPr>
            <w:tcW w:w="2551"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Transaction advisory services to the IDC to identify strategic equity partners to its subsidiary, Scaw</w:t>
            </w:r>
          </w:p>
          <w:p w:rsidR="00E611FD" w:rsidRPr="007E792E" w:rsidRDefault="00E611FD" w:rsidP="007E792E">
            <w:pPr>
              <w:rPr>
                <w:rFonts w:ascii="Arial" w:eastAsia="Calibri" w:hAnsi="Arial" w:cs="Arial"/>
              </w:rPr>
            </w:pPr>
          </w:p>
        </w:tc>
        <w:tc>
          <w:tcPr>
            <w:tcW w:w="2126"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R 17,500,000</w:t>
            </w:r>
          </w:p>
        </w:tc>
        <w:tc>
          <w:tcPr>
            <w:tcW w:w="1985" w:type="dxa"/>
            <w:shd w:val="clear" w:color="auto" w:fill="auto"/>
          </w:tcPr>
          <w:p w:rsidR="00E611FD" w:rsidRPr="007E792E" w:rsidRDefault="00E611FD" w:rsidP="007E792E">
            <w:pPr>
              <w:rPr>
                <w:rFonts w:ascii="Arial" w:eastAsia="Calibri" w:hAnsi="Arial" w:cs="Arial"/>
              </w:rPr>
            </w:pPr>
            <w:r w:rsidRPr="007E792E">
              <w:rPr>
                <w:rFonts w:ascii="Arial" w:eastAsia="Calibri" w:hAnsi="Arial" w:cs="Arial"/>
              </w:rPr>
              <w:t>R 7,579,905</w:t>
            </w:r>
          </w:p>
        </w:tc>
      </w:tr>
    </w:tbl>
    <w:p w:rsidR="004255F7" w:rsidRDefault="004255F7" w:rsidP="004255F7">
      <w:pPr>
        <w:spacing w:line="360" w:lineRule="auto"/>
        <w:jc w:val="center"/>
        <w:outlineLvl w:val="0"/>
        <w:rPr>
          <w:rFonts w:ascii="Arial" w:eastAsia="Arial Unicode MS" w:hAnsi="Arial Unicode MS"/>
          <w:b/>
          <w:color w:val="000000"/>
          <w:u w:color="000000"/>
        </w:rPr>
      </w:pPr>
    </w:p>
    <w:p w:rsidR="004255F7" w:rsidRDefault="004255F7" w:rsidP="004255F7">
      <w:pPr>
        <w:spacing w:line="360" w:lineRule="auto"/>
        <w:jc w:val="center"/>
        <w:outlineLvl w:val="0"/>
        <w:rPr>
          <w:rFonts w:ascii="Arial" w:eastAsia="Arial Unicode MS" w:hAnsi="Arial Unicode MS"/>
          <w:b/>
          <w:color w:val="000000"/>
          <w:u w:color="000000"/>
        </w:rPr>
      </w:pPr>
    </w:p>
    <w:p w:rsidR="00150B15" w:rsidRPr="0015574C" w:rsidRDefault="004255F7" w:rsidP="004255F7">
      <w:pPr>
        <w:spacing w:line="360" w:lineRule="auto"/>
        <w:jc w:val="center"/>
        <w:outlineLvl w:val="0"/>
        <w:rPr>
          <w:rFonts w:ascii="Arial" w:eastAsia="Arial Unicode MS" w:hAnsi="Arial"/>
          <w:color w:val="000000"/>
          <w:u w:color="000000"/>
        </w:rPr>
      </w:pPr>
      <w:r>
        <w:rPr>
          <w:rFonts w:ascii="Arial" w:eastAsia="Arial Unicode MS" w:hAnsi="Arial Unicode MS"/>
          <w:b/>
          <w:color w:val="000000"/>
          <w:u w:color="000000"/>
        </w:rPr>
        <w:t>-END-</w:t>
      </w:r>
    </w:p>
    <w:p w:rsidR="00150B15" w:rsidRPr="0015574C" w:rsidRDefault="00150B15" w:rsidP="0015574C">
      <w:pPr>
        <w:pStyle w:val="Body1"/>
        <w:spacing w:line="360" w:lineRule="auto"/>
        <w:jc w:val="both"/>
        <w:rPr>
          <w:rFonts w:ascii="Arial" w:hAnsi="Arial"/>
          <w:szCs w:val="24"/>
        </w:rPr>
      </w:pPr>
    </w:p>
    <w:sectPr w:rsidR="00150B15" w:rsidRPr="0015574C">
      <w:footerReference w:type="default" r:id="rId8"/>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A4" w:rsidRDefault="004A7AA4">
      <w:r>
        <w:separator/>
      </w:r>
    </w:p>
  </w:endnote>
  <w:endnote w:type="continuationSeparator" w:id="0">
    <w:p w:rsidR="004A7AA4" w:rsidRDefault="004A7AA4">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B210A0"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1874</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A4" w:rsidRDefault="004A7AA4">
      <w:r>
        <w:separator/>
      </w:r>
    </w:p>
  </w:footnote>
  <w:footnote w:type="continuationSeparator" w:id="0">
    <w:p w:rsidR="004A7AA4" w:rsidRDefault="004A7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25853"/>
    <w:rsid w:val="00055C79"/>
    <w:rsid w:val="00061336"/>
    <w:rsid w:val="000625CB"/>
    <w:rsid w:val="00074562"/>
    <w:rsid w:val="000B1EA6"/>
    <w:rsid w:val="000B1F97"/>
    <w:rsid w:val="000B3E71"/>
    <w:rsid w:val="000D456D"/>
    <w:rsid w:val="000D6FF8"/>
    <w:rsid w:val="000E0227"/>
    <w:rsid w:val="000E189A"/>
    <w:rsid w:val="000F1F0E"/>
    <w:rsid w:val="00145238"/>
    <w:rsid w:val="00150B15"/>
    <w:rsid w:val="0015574C"/>
    <w:rsid w:val="00160812"/>
    <w:rsid w:val="001C2AD4"/>
    <w:rsid w:val="00220BBC"/>
    <w:rsid w:val="0025350D"/>
    <w:rsid w:val="00260440"/>
    <w:rsid w:val="00306351"/>
    <w:rsid w:val="0036028D"/>
    <w:rsid w:val="003736E1"/>
    <w:rsid w:val="003757C3"/>
    <w:rsid w:val="0038671A"/>
    <w:rsid w:val="003A0685"/>
    <w:rsid w:val="003E23BB"/>
    <w:rsid w:val="003F4631"/>
    <w:rsid w:val="004255F7"/>
    <w:rsid w:val="00470B0A"/>
    <w:rsid w:val="004A7374"/>
    <w:rsid w:val="004A7AA4"/>
    <w:rsid w:val="005063CE"/>
    <w:rsid w:val="00506BD9"/>
    <w:rsid w:val="00532D9A"/>
    <w:rsid w:val="00545EEB"/>
    <w:rsid w:val="00563E02"/>
    <w:rsid w:val="005D2663"/>
    <w:rsid w:val="005F42D6"/>
    <w:rsid w:val="00631328"/>
    <w:rsid w:val="00633F6F"/>
    <w:rsid w:val="00663754"/>
    <w:rsid w:val="006D6984"/>
    <w:rsid w:val="006D6BD6"/>
    <w:rsid w:val="006E52D8"/>
    <w:rsid w:val="00736BE5"/>
    <w:rsid w:val="00740569"/>
    <w:rsid w:val="007621DE"/>
    <w:rsid w:val="007621F7"/>
    <w:rsid w:val="007824A8"/>
    <w:rsid w:val="007945B8"/>
    <w:rsid w:val="00795C90"/>
    <w:rsid w:val="007E792E"/>
    <w:rsid w:val="007E7AD3"/>
    <w:rsid w:val="008A5330"/>
    <w:rsid w:val="008F61DB"/>
    <w:rsid w:val="009011E5"/>
    <w:rsid w:val="00904B31"/>
    <w:rsid w:val="00923754"/>
    <w:rsid w:val="00925499"/>
    <w:rsid w:val="009628CE"/>
    <w:rsid w:val="009E2258"/>
    <w:rsid w:val="00A07DC7"/>
    <w:rsid w:val="00A246B7"/>
    <w:rsid w:val="00A37442"/>
    <w:rsid w:val="00A52050"/>
    <w:rsid w:val="00A8565A"/>
    <w:rsid w:val="00A90129"/>
    <w:rsid w:val="00AE376D"/>
    <w:rsid w:val="00B134C6"/>
    <w:rsid w:val="00B20D99"/>
    <w:rsid w:val="00B210A0"/>
    <w:rsid w:val="00B237DD"/>
    <w:rsid w:val="00B608B6"/>
    <w:rsid w:val="00B61202"/>
    <w:rsid w:val="00B61C13"/>
    <w:rsid w:val="00BA6E6E"/>
    <w:rsid w:val="00BB6257"/>
    <w:rsid w:val="00C51704"/>
    <w:rsid w:val="00C56405"/>
    <w:rsid w:val="00CA6BA5"/>
    <w:rsid w:val="00CB384E"/>
    <w:rsid w:val="00D012D5"/>
    <w:rsid w:val="00D07F2A"/>
    <w:rsid w:val="00D5239E"/>
    <w:rsid w:val="00D64012"/>
    <w:rsid w:val="00DB5630"/>
    <w:rsid w:val="00DE1AF2"/>
    <w:rsid w:val="00E30E99"/>
    <w:rsid w:val="00E45D72"/>
    <w:rsid w:val="00E6001C"/>
    <w:rsid w:val="00E611FD"/>
    <w:rsid w:val="00EB2B97"/>
    <w:rsid w:val="00ED53EE"/>
    <w:rsid w:val="00EE47A4"/>
    <w:rsid w:val="00EF6032"/>
    <w:rsid w:val="00F63F44"/>
    <w:rsid w:val="00F7168C"/>
    <w:rsid w:val="00FA188A"/>
    <w:rsid w:val="00FB63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2017-07-07T10:28:00Z</cp:lastPrinted>
  <dcterms:created xsi:type="dcterms:W3CDTF">2017-07-31T12:44:00Z</dcterms:created>
  <dcterms:modified xsi:type="dcterms:W3CDTF">2017-07-31T12:44:00Z</dcterms:modified>
</cp:coreProperties>
</file>