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ED23D5" w:rsidRDefault="00ED23D5" w:rsidP="00ED23D5">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ED23D5">
        <w:rPr>
          <w:rFonts w:ascii="Arial" w:hAnsi="Arial" w:cs="Arial"/>
          <w:sz w:val="18"/>
          <w:szCs w:val="18"/>
          <w:lang w:val="en-ZA"/>
        </w:rPr>
        <w:t>Official reply:</w:t>
      </w:r>
      <w:r w:rsidR="00FB6583">
        <w:rPr>
          <w:rFonts w:ascii="Arial" w:hAnsi="Arial" w:cs="Arial"/>
          <w:sz w:val="18"/>
          <w:szCs w:val="18"/>
          <w:lang w:val="en-ZA"/>
        </w:rPr>
        <w:t xml:space="preserve"> 06 April 2017</w:t>
      </w:r>
    </w:p>
    <w:p w:rsidR="002A2A3B" w:rsidRPr="007F7CEF" w:rsidRDefault="002A2A3B" w:rsidP="00ED23D5">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ED23D5">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21A2E">
        <w:rPr>
          <w:rFonts w:ascii="Arial" w:hAnsi="Arial" w:cs="Arial"/>
          <w:lang w:val="en-ZA"/>
        </w:rPr>
        <w:t>17</w:t>
      </w:r>
      <w:r w:rsidR="00843380">
        <w:rPr>
          <w:rFonts w:ascii="Arial" w:hAnsi="Arial" w:cs="Arial"/>
          <w:lang w:val="en-ZA"/>
        </w:rPr>
        <w:t xml:space="preserve">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w:t>
      </w:r>
      <w:r w:rsidR="00821A2E">
        <w:rPr>
          <w:rFonts w:ascii="Arial" w:hAnsi="Arial" w:cs="Arial"/>
          <w:lang w:val="en-ZA"/>
        </w:rPr>
        <w:t>2</w:t>
      </w:r>
    </w:p>
    <w:p w:rsidR="00A91D40" w:rsidRPr="007F7CEF" w:rsidRDefault="00A91D40">
      <w:pPr>
        <w:rPr>
          <w:rFonts w:ascii="Arial" w:hAnsi="Arial" w:cs="Arial"/>
        </w:rPr>
      </w:pPr>
    </w:p>
    <w:p w:rsidR="00DA7398" w:rsidRPr="00DA7398" w:rsidRDefault="00DA7398" w:rsidP="00DA7398">
      <w:pPr>
        <w:spacing w:before="100" w:beforeAutospacing="1" w:after="100" w:afterAutospacing="1"/>
        <w:ind w:left="709" w:hanging="720"/>
        <w:jc w:val="both"/>
        <w:outlineLvl w:val="0"/>
        <w:rPr>
          <w:rFonts w:ascii="Arial" w:hAnsi="Arial" w:cs="Arial"/>
          <w:b/>
          <w:lang w:val="en-GB"/>
        </w:rPr>
      </w:pPr>
      <w:r w:rsidRPr="00DA7398">
        <w:rPr>
          <w:rFonts w:ascii="Arial" w:hAnsi="Arial" w:cs="Arial"/>
          <w:b/>
          <w:lang w:val="en-GB"/>
        </w:rPr>
        <w:t>179.</w:t>
      </w:r>
      <w:r w:rsidRPr="00DA7398">
        <w:rPr>
          <w:rFonts w:ascii="Arial" w:hAnsi="Arial" w:cs="Arial"/>
          <w:b/>
          <w:lang w:val="en-GB"/>
        </w:rPr>
        <w:tab/>
        <w:t xml:space="preserve">Ms B S </w:t>
      </w:r>
      <w:proofErr w:type="spellStart"/>
      <w:r w:rsidRPr="00DA7398">
        <w:rPr>
          <w:rFonts w:ascii="Arial" w:hAnsi="Arial" w:cs="Arial"/>
          <w:b/>
          <w:lang w:val="en-GB"/>
        </w:rPr>
        <w:t>Masango</w:t>
      </w:r>
      <w:proofErr w:type="spellEnd"/>
      <w:r w:rsidRPr="00DA7398">
        <w:rPr>
          <w:rFonts w:ascii="Arial" w:hAnsi="Arial" w:cs="Arial"/>
          <w:b/>
          <w:lang w:val="en-GB"/>
        </w:rPr>
        <w:t xml:space="preserve"> (DA) to ask the Minister of Social Development:</w:t>
      </w:r>
    </w:p>
    <w:p w:rsidR="00DA7398" w:rsidRPr="00DA7398" w:rsidRDefault="00DA7398" w:rsidP="00DA7398">
      <w:pPr>
        <w:spacing w:before="100" w:beforeAutospacing="1" w:after="100" w:afterAutospacing="1"/>
        <w:ind w:left="1440" w:hanging="720"/>
        <w:jc w:val="both"/>
        <w:rPr>
          <w:rFonts w:ascii="Arial" w:hAnsi="Arial" w:cs="Arial"/>
          <w:lang w:val="en-GB"/>
        </w:rPr>
      </w:pPr>
      <w:bookmarkStart w:id="0" w:name="_GoBack"/>
      <w:bookmarkEnd w:id="0"/>
      <w:r w:rsidRPr="00DA7398">
        <w:rPr>
          <w:rFonts w:ascii="Arial" w:hAnsi="Arial" w:cs="Arial"/>
          <w:lang w:val="en-GB"/>
        </w:rPr>
        <w:t>(1)</w:t>
      </w:r>
      <w:r w:rsidRPr="00DA7398">
        <w:rPr>
          <w:rFonts w:ascii="Arial" w:hAnsi="Arial" w:cs="Arial"/>
          <w:lang w:val="en-GB"/>
        </w:rPr>
        <w:tab/>
        <w:t>With reference to the reply of the Minister of Finance to question 2220 on 30 November 2016, what is the detailed breakdown of each amount (a) paid to each of the specified contractors to date and (b) budgeted for each of the specified contractors for the (</w:t>
      </w:r>
      <w:proofErr w:type="spellStart"/>
      <w:r w:rsidRPr="00DA7398">
        <w:rPr>
          <w:rFonts w:ascii="Arial" w:hAnsi="Arial" w:cs="Arial"/>
          <w:lang w:val="en-GB"/>
        </w:rPr>
        <w:t>i</w:t>
      </w:r>
      <w:proofErr w:type="spellEnd"/>
      <w:r w:rsidRPr="00DA7398">
        <w:rPr>
          <w:rFonts w:ascii="Arial" w:hAnsi="Arial" w:cs="Arial"/>
          <w:lang w:val="en-GB"/>
        </w:rPr>
        <w:t>) 2015-16, (ii) 2016-17, (iii) 2017-18 and (iv) 2018-19 financial years;</w:t>
      </w:r>
    </w:p>
    <w:p w:rsidR="00265967" w:rsidRPr="00673A18" w:rsidRDefault="00DA7398" w:rsidP="00ED23D5">
      <w:pPr>
        <w:spacing w:before="100" w:beforeAutospacing="1" w:after="100" w:afterAutospacing="1"/>
        <w:ind w:left="1440" w:hanging="720"/>
        <w:jc w:val="both"/>
        <w:rPr>
          <w:rFonts w:ascii="Arial" w:hAnsi="Arial" w:cs="Arial"/>
          <w:lang w:val="en-GB"/>
        </w:rPr>
      </w:pPr>
      <w:r w:rsidRPr="00DA7398">
        <w:rPr>
          <w:rFonts w:ascii="Arial" w:hAnsi="Arial" w:cs="Arial"/>
          <w:lang w:val="en-GB"/>
        </w:rPr>
        <w:t>(2)</w:t>
      </w:r>
      <w:r w:rsidRPr="00DA7398">
        <w:rPr>
          <w:rFonts w:ascii="Arial" w:hAnsi="Arial" w:cs="Arial"/>
          <w:lang w:val="en-GB"/>
        </w:rPr>
        <w:tab/>
      </w:r>
      <w:proofErr w:type="gramStart"/>
      <w:r w:rsidRPr="00DA7398">
        <w:rPr>
          <w:rFonts w:ascii="Arial" w:hAnsi="Arial" w:cs="Arial"/>
          <w:lang w:val="en-GB"/>
        </w:rPr>
        <w:t>how</w:t>
      </w:r>
      <w:proofErr w:type="gramEnd"/>
      <w:r w:rsidRPr="00DA7398">
        <w:rPr>
          <w:rFonts w:ascii="Arial" w:hAnsi="Arial" w:cs="Arial"/>
          <w:lang w:val="en-GB"/>
        </w:rPr>
        <w:t xml:space="preserve"> much of the SA Social Security Agency’s total budget for the (a) 2015-16, (b) 2016-17, (c) 2017-18 and (d) 2018-19 financial years has been allocated to preparing for the agency’s internal capacity to administer the payment of social grants? </w:t>
      </w:r>
      <w:r w:rsidR="00ED23D5" w:rsidRPr="00DA7398">
        <w:rPr>
          <w:rFonts w:ascii="Arial" w:hAnsi="Arial" w:cs="Arial"/>
          <w:lang w:val="en-GB"/>
        </w:rPr>
        <w:t>NW190E</w:t>
      </w:r>
      <w:r w:rsidRPr="00DA7398">
        <w:rPr>
          <w:rFonts w:ascii="Arial" w:hAnsi="Arial" w:cs="Arial"/>
          <w:lang w:val="en-GB"/>
        </w:rPr>
        <w:tab/>
      </w:r>
      <w:r w:rsidRPr="00DA7398">
        <w:rPr>
          <w:rFonts w:ascii="Arial" w:hAnsi="Arial" w:cs="Arial"/>
          <w:lang w:val="en-GB"/>
        </w:rPr>
        <w:tab/>
      </w:r>
      <w:r w:rsidRPr="00DA7398">
        <w:rPr>
          <w:rFonts w:ascii="Arial" w:hAnsi="Arial" w:cs="Arial"/>
          <w:lang w:val="en-GB"/>
        </w:rPr>
        <w:tab/>
      </w:r>
      <w:r w:rsidRPr="00DA7398">
        <w:rPr>
          <w:rFonts w:ascii="Arial" w:hAnsi="Arial" w:cs="Arial"/>
          <w:lang w:val="en-GB"/>
        </w:rPr>
        <w:tab/>
      </w:r>
      <w:r w:rsidRPr="00DA7398">
        <w:rPr>
          <w:rFonts w:ascii="Arial" w:hAnsi="Arial" w:cs="Arial"/>
          <w:lang w:val="en-GB"/>
        </w:rPr>
        <w:tab/>
      </w:r>
      <w:r w:rsidRPr="00DA7398">
        <w:rPr>
          <w:rFonts w:ascii="Arial" w:hAnsi="Arial" w:cs="Arial"/>
          <w:lang w:val="en-GB"/>
        </w:rPr>
        <w:tab/>
      </w:r>
      <w:r w:rsidRPr="00DA7398">
        <w:rPr>
          <w:rFonts w:ascii="Arial" w:hAnsi="Arial" w:cs="Arial"/>
          <w:lang w:val="en-GB"/>
        </w:rPr>
        <w:tab/>
      </w:r>
    </w:p>
    <w:p w:rsidR="00177CE3" w:rsidRDefault="007F7CEF">
      <w:pPr>
        <w:rPr>
          <w:rFonts w:ascii="Arial" w:hAnsi="Arial" w:cs="Arial"/>
          <w:b/>
        </w:rPr>
      </w:pPr>
      <w:r w:rsidRPr="007F7CEF">
        <w:rPr>
          <w:rFonts w:ascii="Arial" w:hAnsi="Arial" w:cs="Arial"/>
          <w:b/>
        </w:rPr>
        <w:t>Reply:</w:t>
      </w:r>
    </w:p>
    <w:p w:rsidR="001171DA" w:rsidRDefault="001171DA">
      <w:pPr>
        <w:rPr>
          <w:rFonts w:ascii="Arial" w:hAnsi="Arial" w:cs="Arial"/>
          <w:b/>
        </w:rPr>
      </w:pPr>
    </w:p>
    <w:p w:rsidR="001171DA" w:rsidRPr="00820278" w:rsidRDefault="001171DA" w:rsidP="00820278">
      <w:pPr>
        <w:pStyle w:val="ListParagraph"/>
        <w:numPr>
          <w:ilvl w:val="0"/>
          <w:numId w:val="6"/>
        </w:numPr>
        <w:ind w:hanging="720"/>
        <w:jc w:val="both"/>
        <w:rPr>
          <w:rFonts w:ascii="Arial" w:hAnsi="Arial" w:cs="Arial"/>
          <w:lang w:val="en-GB"/>
        </w:rPr>
      </w:pPr>
      <w:r w:rsidRPr="00820278">
        <w:rPr>
          <w:rFonts w:ascii="Arial" w:hAnsi="Arial" w:cs="Arial"/>
          <w:lang w:val="en-GB"/>
        </w:rPr>
        <w:t xml:space="preserve">The amount referred to as </w:t>
      </w:r>
      <w:r w:rsidRPr="00820278">
        <w:rPr>
          <w:rFonts w:ascii="Arial" w:hAnsi="Arial" w:cs="Arial"/>
          <w:i/>
          <w:lang w:val="en-GB"/>
        </w:rPr>
        <w:t>payment contractors</w:t>
      </w:r>
      <w:r w:rsidRPr="00820278">
        <w:rPr>
          <w:rFonts w:ascii="Arial" w:hAnsi="Arial" w:cs="Arial"/>
          <w:lang w:val="en-GB"/>
        </w:rPr>
        <w:t xml:space="preserve"> in the reply to question 2220 </w:t>
      </w:r>
      <w:r w:rsidR="006D7727" w:rsidRPr="00820278">
        <w:rPr>
          <w:rFonts w:ascii="Arial" w:hAnsi="Arial" w:cs="Arial"/>
          <w:lang w:val="en-GB"/>
        </w:rPr>
        <w:t>actually refers to</w:t>
      </w:r>
      <w:r w:rsidRPr="00820278">
        <w:rPr>
          <w:rFonts w:ascii="Arial" w:hAnsi="Arial" w:cs="Arial"/>
          <w:lang w:val="en-GB"/>
        </w:rPr>
        <w:t>:</w:t>
      </w:r>
    </w:p>
    <w:p w:rsidR="001171DA" w:rsidRPr="008F18B1" w:rsidRDefault="001171DA" w:rsidP="008F18B1">
      <w:pPr>
        <w:pStyle w:val="ListParagraph"/>
        <w:jc w:val="both"/>
        <w:rPr>
          <w:rFonts w:ascii="Arial" w:hAnsi="Arial" w:cs="Arial"/>
          <w:lang w:val="en-GB"/>
        </w:rPr>
      </w:pPr>
    </w:p>
    <w:p w:rsidR="001171DA" w:rsidRDefault="006D7727" w:rsidP="008F18B1">
      <w:pPr>
        <w:pStyle w:val="ListParagraph"/>
        <w:numPr>
          <w:ilvl w:val="0"/>
          <w:numId w:val="5"/>
        </w:numPr>
        <w:jc w:val="both"/>
        <w:rPr>
          <w:rFonts w:ascii="Arial" w:hAnsi="Arial" w:cs="Arial"/>
          <w:lang w:val="en-GB"/>
        </w:rPr>
      </w:pPr>
      <w:r w:rsidRPr="008F18B1">
        <w:rPr>
          <w:rFonts w:ascii="Arial" w:hAnsi="Arial" w:cs="Arial"/>
          <w:lang w:val="en-GB"/>
        </w:rPr>
        <w:t xml:space="preserve">The budget for expenditure incurred towards </w:t>
      </w:r>
      <w:r w:rsidR="001171DA" w:rsidRPr="008F18B1">
        <w:rPr>
          <w:rFonts w:ascii="Arial" w:hAnsi="Arial" w:cs="Arial"/>
          <w:lang w:val="en-GB"/>
        </w:rPr>
        <w:t>the contractor for disbursement of grant monies (Cash handling Fees). Expenditure to date</w:t>
      </w:r>
      <w:r w:rsidR="00D14B81">
        <w:rPr>
          <w:rFonts w:ascii="Arial" w:hAnsi="Arial" w:cs="Arial"/>
          <w:lang w:val="en-GB"/>
        </w:rPr>
        <w:t xml:space="preserve"> </w:t>
      </w:r>
      <w:r w:rsidR="001171DA" w:rsidRPr="008F18B1">
        <w:rPr>
          <w:rFonts w:ascii="Arial" w:hAnsi="Arial" w:cs="Arial"/>
          <w:lang w:val="en-GB"/>
        </w:rPr>
        <w:t xml:space="preserve">(end February 2017) </w:t>
      </w:r>
      <w:r w:rsidR="00D14B81">
        <w:rPr>
          <w:rFonts w:ascii="Arial" w:hAnsi="Arial" w:cs="Arial"/>
          <w:lang w:val="en-GB"/>
        </w:rPr>
        <w:t xml:space="preserve"> for 2017/18 </w:t>
      </w:r>
      <w:r w:rsidR="001171DA" w:rsidRPr="008F18B1">
        <w:rPr>
          <w:rFonts w:ascii="Arial" w:hAnsi="Arial" w:cs="Arial"/>
          <w:lang w:val="en-GB"/>
        </w:rPr>
        <w:t>is R</w:t>
      </w:r>
      <w:r w:rsidR="00D14B81">
        <w:rPr>
          <w:rFonts w:ascii="Arial" w:hAnsi="Arial" w:cs="Arial"/>
          <w:lang w:val="en-GB"/>
        </w:rPr>
        <w:t xml:space="preserve"> 1,889,541,996</w:t>
      </w:r>
    </w:p>
    <w:p w:rsidR="008F18B1" w:rsidRPr="008F18B1" w:rsidRDefault="008F18B1" w:rsidP="008F18B1">
      <w:pPr>
        <w:pStyle w:val="ListParagraph"/>
        <w:ind w:left="1080"/>
        <w:jc w:val="both"/>
        <w:rPr>
          <w:rFonts w:ascii="Arial" w:hAnsi="Arial" w:cs="Arial"/>
          <w:lang w:val="en-GB"/>
        </w:rPr>
      </w:pPr>
    </w:p>
    <w:p w:rsidR="006D7727" w:rsidRPr="008F18B1" w:rsidRDefault="006D7727" w:rsidP="008F18B1">
      <w:pPr>
        <w:pStyle w:val="ListParagraph"/>
        <w:numPr>
          <w:ilvl w:val="0"/>
          <w:numId w:val="5"/>
        </w:numPr>
        <w:jc w:val="both"/>
        <w:rPr>
          <w:rFonts w:ascii="Arial" w:hAnsi="Arial" w:cs="Arial"/>
          <w:lang w:val="en-GB"/>
        </w:rPr>
      </w:pPr>
      <w:r w:rsidRPr="008F18B1">
        <w:rPr>
          <w:rFonts w:ascii="Arial" w:hAnsi="Arial" w:cs="Arial"/>
          <w:lang w:val="en-GB"/>
        </w:rPr>
        <w:t xml:space="preserve">The budgeted amounts for the disbursement of grant monies is as follows: </w:t>
      </w:r>
    </w:p>
    <w:p w:rsidR="006D7727" w:rsidRPr="008F18B1" w:rsidRDefault="006D7727" w:rsidP="008F18B1">
      <w:pPr>
        <w:pStyle w:val="ListParagraph"/>
        <w:ind w:left="1080"/>
        <w:jc w:val="both"/>
        <w:rPr>
          <w:rFonts w:ascii="Arial" w:hAnsi="Arial" w:cs="Arial"/>
          <w:lang w:val="en-GB"/>
        </w:rPr>
      </w:pPr>
    </w:p>
    <w:tbl>
      <w:tblPr>
        <w:tblW w:w="7820" w:type="dxa"/>
        <w:tblInd w:w="828" w:type="dxa"/>
        <w:tblLook w:val="04A0" w:firstRow="1" w:lastRow="0" w:firstColumn="1" w:lastColumn="0" w:noHBand="0" w:noVBand="1"/>
      </w:tblPr>
      <w:tblGrid>
        <w:gridCol w:w="1840"/>
        <w:gridCol w:w="1400"/>
        <w:gridCol w:w="1780"/>
        <w:gridCol w:w="1400"/>
        <w:gridCol w:w="1400"/>
      </w:tblGrid>
      <w:tr w:rsidR="006D7727" w:rsidRPr="006D7727" w:rsidTr="006D7727">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6D7727" w:rsidRPr="006D7727" w:rsidRDefault="006D7727" w:rsidP="006D7727">
            <w:pPr>
              <w:rPr>
                <w:rFonts w:ascii="Arial" w:hAnsi="Arial" w:cs="Arial"/>
                <w:color w:val="000000"/>
                <w:szCs w:val="22"/>
              </w:rPr>
            </w:pPr>
            <w:r w:rsidRPr="006D7727">
              <w:rPr>
                <w:rFonts w:ascii="Arial" w:hAnsi="Arial" w:cs="Arial"/>
                <w:color w:val="000000"/>
                <w:szCs w:val="22"/>
              </w:rPr>
              <w:t> </w:t>
            </w:r>
            <w:r w:rsidRPr="008F18B1">
              <w:rPr>
                <w:rFonts w:ascii="Arial" w:hAnsi="Arial" w:cs="Arial"/>
                <w:color w:val="000000"/>
                <w:szCs w:val="22"/>
              </w:rPr>
              <w:t>R’000</w:t>
            </w:r>
          </w:p>
        </w:tc>
        <w:tc>
          <w:tcPr>
            <w:tcW w:w="1400" w:type="dxa"/>
            <w:tcBorders>
              <w:top w:val="single" w:sz="4" w:space="0" w:color="auto"/>
              <w:left w:val="nil"/>
              <w:bottom w:val="single" w:sz="4" w:space="0" w:color="auto"/>
              <w:right w:val="single" w:sz="4" w:space="0" w:color="auto"/>
            </w:tcBorders>
            <w:shd w:val="clear" w:color="000000" w:fill="auto"/>
            <w:noWrap/>
            <w:vAlign w:val="bottom"/>
            <w:hideMark/>
          </w:tcPr>
          <w:p w:rsidR="006D7727" w:rsidRPr="006D7727" w:rsidRDefault="006D7727" w:rsidP="006D7727">
            <w:pPr>
              <w:rPr>
                <w:rFonts w:ascii="Arial" w:hAnsi="Arial" w:cs="Arial"/>
                <w:b/>
                <w:bCs/>
                <w:color w:val="000000"/>
                <w:szCs w:val="22"/>
              </w:rPr>
            </w:pPr>
            <w:r w:rsidRPr="006D7727">
              <w:rPr>
                <w:rFonts w:ascii="Arial" w:hAnsi="Arial" w:cs="Arial"/>
                <w:b/>
                <w:bCs/>
                <w:color w:val="000000"/>
                <w:szCs w:val="22"/>
              </w:rPr>
              <w:t>2015/16</w:t>
            </w:r>
          </w:p>
        </w:tc>
        <w:tc>
          <w:tcPr>
            <w:tcW w:w="1780" w:type="dxa"/>
            <w:tcBorders>
              <w:top w:val="single" w:sz="4" w:space="0" w:color="auto"/>
              <w:left w:val="nil"/>
              <w:bottom w:val="single" w:sz="4" w:space="0" w:color="auto"/>
              <w:right w:val="single" w:sz="4" w:space="0" w:color="auto"/>
            </w:tcBorders>
            <w:shd w:val="clear" w:color="000000" w:fill="auto"/>
            <w:noWrap/>
            <w:vAlign w:val="bottom"/>
            <w:hideMark/>
          </w:tcPr>
          <w:p w:rsidR="006D7727" w:rsidRPr="006D7727" w:rsidRDefault="006D7727" w:rsidP="006D7727">
            <w:pPr>
              <w:rPr>
                <w:rFonts w:ascii="Arial" w:hAnsi="Arial" w:cs="Arial"/>
                <w:b/>
                <w:bCs/>
                <w:color w:val="000000"/>
                <w:szCs w:val="22"/>
              </w:rPr>
            </w:pPr>
            <w:r w:rsidRPr="006D7727">
              <w:rPr>
                <w:rFonts w:ascii="Arial" w:hAnsi="Arial" w:cs="Arial"/>
                <w:b/>
                <w:bCs/>
                <w:color w:val="000000"/>
                <w:szCs w:val="22"/>
              </w:rPr>
              <w:t>2016/17</w:t>
            </w:r>
          </w:p>
        </w:tc>
        <w:tc>
          <w:tcPr>
            <w:tcW w:w="1400" w:type="dxa"/>
            <w:tcBorders>
              <w:top w:val="single" w:sz="4" w:space="0" w:color="auto"/>
              <w:left w:val="nil"/>
              <w:bottom w:val="single" w:sz="4" w:space="0" w:color="auto"/>
              <w:right w:val="single" w:sz="4" w:space="0" w:color="auto"/>
            </w:tcBorders>
            <w:shd w:val="clear" w:color="000000" w:fill="auto"/>
            <w:noWrap/>
            <w:vAlign w:val="bottom"/>
            <w:hideMark/>
          </w:tcPr>
          <w:p w:rsidR="006D7727" w:rsidRPr="006D7727" w:rsidRDefault="006D7727" w:rsidP="006D7727">
            <w:pPr>
              <w:rPr>
                <w:rFonts w:ascii="Arial" w:hAnsi="Arial" w:cs="Arial"/>
                <w:b/>
                <w:bCs/>
                <w:color w:val="000000"/>
                <w:szCs w:val="22"/>
              </w:rPr>
            </w:pPr>
            <w:r w:rsidRPr="006D7727">
              <w:rPr>
                <w:rFonts w:ascii="Arial" w:hAnsi="Arial" w:cs="Arial"/>
                <w:b/>
                <w:bCs/>
                <w:color w:val="000000"/>
                <w:szCs w:val="22"/>
              </w:rPr>
              <w:t>2017/18</w:t>
            </w:r>
          </w:p>
        </w:tc>
        <w:tc>
          <w:tcPr>
            <w:tcW w:w="1400" w:type="dxa"/>
            <w:tcBorders>
              <w:top w:val="single" w:sz="4" w:space="0" w:color="auto"/>
              <w:left w:val="nil"/>
              <w:bottom w:val="single" w:sz="4" w:space="0" w:color="auto"/>
              <w:right w:val="single" w:sz="4" w:space="0" w:color="auto"/>
            </w:tcBorders>
            <w:shd w:val="clear" w:color="000000" w:fill="auto"/>
            <w:noWrap/>
            <w:vAlign w:val="bottom"/>
            <w:hideMark/>
          </w:tcPr>
          <w:p w:rsidR="006D7727" w:rsidRPr="006D7727" w:rsidRDefault="006D7727" w:rsidP="006D7727">
            <w:pPr>
              <w:rPr>
                <w:rFonts w:ascii="Arial" w:hAnsi="Arial" w:cs="Arial"/>
                <w:b/>
                <w:bCs/>
                <w:color w:val="000000"/>
                <w:szCs w:val="22"/>
              </w:rPr>
            </w:pPr>
            <w:r w:rsidRPr="006D7727">
              <w:rPr>
                <w:rFonts w:ascii="Arial" w:hAnsi="Arial" w:cs="Arial"/>
                <w:b/>
                <w:bCs/>
                <w:color w:val="000000"/>
                <w:szCs w:val="22"/>
              </w:rPr>
              <w:t>2018/19</w:t>
            </w:r>
          </w:p>
        </w:tc>
      </w:tr>
      <w:tr w:rsidR="006D7727" w:rsidRPr="006D7727" w:rsidTr="006D7727">
        <w:trPr>
          <w:trHeight w:val="300"/>
        </w:trPr>
        <w:tc>
          <w:tcPr>
            <w:tcW w:w="1840" w:type="dxa"/>
            <w:tcBorders>
              <w:top w:val="nil"/>
              <w:left w:val="single" w:sz="4" w:space="0" w:color="auto"/>
              <w:bottom w:val="single" w:sz="4" w:space="0" w:color="auto"/>
              <w:right w:val="single" w:sz="4" w:space="0" w:color="auto"/>
            </w:tcBorders>
            <w:shd w:val="clear" w:color="000000" w:fill="auto"/>
            <w:noWrap/>
            <w:vAlign w:val="bottom"/>
            <w:hideMark/>
          </w:tcPr>
          <w:p w:rsidR="006D7727" w:rsidRPr="006D7727" w:rsidRDefault="006D7727" w:rsidP="006D7727">
            <w:pPr>
              <w:rPr>
                <w:rFonts w:ascii="Arial" w:hAnsi="Arial" w:cs="Arial"/>
                <w:color w:val="000000"/>
                <w:szCs w:val="22"/>
              </w:rPr>
            </w:pPr>
            <w:r w:rsidRPr="006D7727">
              <w:rPr>
                <w:rFonts w:ascii="Arial" w:hAnsi="Arial" w:cs="Arial"/>
                <w:color w:val="000000"/>
                <w:szCs w:val="22"/>
              </w:rPr>
              <w:t>Budgeted Amount</w:t>
            </w:r>
          </w:p>
        </w:tc>
        <w:tc>
          <w:tcPr>
            <w:tcW w:w="1400" w:type="dxa"/>
            <w:tcBorders>
              <w:top w:val="nil"/>
              <w:left w:val="nil"/>
              <w:bottom w:val="single" w:sz="4" w:space="0" w:color="auto"/>
              <w:right w:val="single" w:sz="4" w:space="0" w:color="auto"/>
            </w:tcBorders>
            <w:shd w:val="clear" w:color="000000" w:fill="auto"/>
            <w:noWrap/>
            <w:vAlign w:val="bottom"/>
            <w:hideMark/>
          </w:tcPr>
          <w:p w:rsidR="006D7727" w:rsidRPr="006D7727" w:rsidRDefault="006D7727" w:rsidP="006D7727">
            <w:pPr>
              <w:rPr>
                <w:rFonts w:ascii="Arial" w:hAnsi="Arial" w:cs="Arial"/>
                <w:color w:val="000000"/>
                <w:szCs w:val="22"/>
              </w:rPr>
            </w:pPr>
            <w:r w:rsidRPr="006D7727">
              <w:rPr>
                <w:rFonts w:ascii="Arial" w:hAnsi="Arial" w:cs="Arial"/>
                <w:color w:val="000000"/>
                <w:szCs w:val="22"/>
              </w:rPr>
              <w:t xml:space="preserve">         2,211,551 </w:t>
            </w:r>
          </w:p>
        </w:tc>
        <w:tc>
          <w:tcPr>
            <w:tcW w:w="1780" w:type="dxa"/>
            <w:tcBorders>
              <w:top w:val="nil"/>
              <w:left w:val="nil"/>
              <w:bottom w:val="single" w:sz="4" w:space="0" w:color="auto"/>
              <w:right w:val="single" w:sz="4" w:space="0" w:color="auto"/>
            </w:tcBorders>
            <w:shd w:val="clear" w:color="000000" w:fill="auto"/>
            <w:noWrap/>
            <w:vAlign w:val="bottom"/>
            <w:hideMark/>
          </w:tcPr>
          <w:p w:rsidR="006D7727" w:rsidRPr="006D7727" w:rsidRDefault="006D7727" w:rsidP="006D7727">
            <w:pPr>
              <w:rPr>
                <w:rFonts w:ascii="Arial" w:hAnsi="Arial" w:cs="Arial"/>
                <w:color w:val="000000"/>
                <w:szCs w:val="22"/>
              </w:rPr>
            </w:pPr>
            <w:r w:rsidRPr="006D7727">
              <w:rPr>
                <w:rFonts w:ascii="Arial" w:hAnsi="Arial" w:cs="Arial"/>
                <w:color w:val="000000"/>
                <w:szCs w:val="22"/>
              </w:rPr>
              <w:t xml:space="preserve">                 2,145,984 </w:t>
            </w:r>
          </w:p>
        </w:tc>
        <w:tc>
          <w:tcPr>
            <w:tcW w:w="1400" w:type="dxa"/>
            <w:tcBorders>
              <w:top w:val="nil"/>
              <w:left w:val="nil"/>
              <w:bottom w:val="single" w:sz="4" w:space="0" w:color="auto"/>
              <w:right w:val="single" w:sz="4" w:space="0" w:color="auto"/>
            </w:tcBorders>
            <w:shd w:val="clear" w:color="000000" w:fill="auto"/>
            <w:noWrap/>
            <w:vAlign w:val="bottom"/>
            <w:hideMark/>
          </w:tcPr>
          <w:p w:rsidR="006D7727" w:rsidRPr="006D7727" w:rsidRDefault="006D7727" w:rsidP="006D7727">
            <w:pPr>
              <w:rPr>
                <w:rFonts w:ascii="Arial" w:hAnsi="Arial" w:cs="Arial"/>
                <w:color w:val="000000"/>
                <w:szCs w:val="22"/>
              </w:rPr>
            </w:pPr>
            <w:r w:rsidRPr="006D7727">
              <w:rPr>
                <w:rFonts w:ascii="Arial" w:hAnsi="Arial" w:cs="Arial"/>
                <w:color w:val="000000"/>
                <w:szCs w:val="22"/>
              </w:rPr>
              <w:t xml:space="preserve">         2,258,674 </w:t>
            </w:r>
          </w:p>
        </w:tc>
        <w:tc>
          <w:tcPr>
            <w:tcW w:w="1400" w:type="dxa"/>
            <w:tcBorders>
              <w:top w:val="nil"/>
              <w:left w:val="nil"/>
              <w:bottom w:val="single" w:sz="4" w:space="0" w:color="auto"/>
              <w:right w:val="single" w:sz="4" w:space="0" w:color="auto"/>
            </w:tcBorders>
            <w:shd w:val="clear" w:color="000000" w:fill="auto"/>
            <w:noWrap/>
            <w:vAlign w:val="bottom"/>
            <w:hideMark/>
          </w:tcPr>
          <w:p w:rsidR="006D7727" w:rsidRPr="006D7727" w:rsidRDefault="006D7727" w:rsidP="006D7727">
            <w:pPr>
              <w:rPr>
                <w:rFonts w:ascii="Arial" w:hAnsi="Arial" w:cs="Arial"/>
                <w:color w:val="000000"/>
                <w:szCs w:val="22"/>
              </w:rPr>
            </w:pPr>
            <w:r w:rsidRPr="006D7727">
              <w:rPr>
                <w:rFonts w:ascii="Arial" w:hAnsi="Arial" w:cs="Arial"/>
                <w:color w:val="000000"/>
                <w:szCs w:val="22"/>
              </w:rPr>
              <w:t xml:space="preserve">         2,257,024 </w:t>
            </w:r>
          </w:p>
        </w:tc>
      </w:tr>
    </w:tbl>
    <w:p w:rsidR="006D7727" w:rsidRDefault="006D7727" w:rsidP="006D7727"/>
    <w:p w:rsidR="006D7727" w:rsidRDefault="006D7727" w:rsidP="006D7727"/>
    <w:p w:rsidR="00820278" w:rsidRDefault="00820278" w:rsidP="006D7727"/>
    <w:p w:rsidR="00820278" w:rsidRDefault="00820278" w:rsidP="006D7727"/>
    <w:p w:rsidR="00820278" w:rsidRDefault="00820278" w:rsidP="006D7727"/>
    <w:p w:rsidR="00820278" w:rsidRDefault="00820278" w:rsidP="006D7727"/>
    <w:p w:rsidR="00820278" w:rsidRDefault="00820278" w:rsidP="006D7727"/>
    <w:p w:rsidR="00820278" w:rsidRDefault="00820278" w:rsidP="006D7727"/>
    <w:p w:rsidR="00D14B81" w:rsidRPr="00820278" w:rsidRDefault="00D14B81" w:rsidP="00820278">
      <w:pPr>
        <w:pStyle w:val="ListParagraph"/>
        <w:numPr>
          <w:ilvl w:val="0"/>
          <w:numId w:val="6"/>
        </w:numPr>
        <w:tabs>
          <w:tab w:val="left" w:pos="1335"/>
        </w:tabs>
        <w:ind w:hanging="720"/>
        <w:jc w:val="both"/>
        <w:rPr>
          <w:rFonts w:ascii="Arial" w:hAnsi="Arial" w:cs="Arial"/>
          <w:lang w:val="en-ZA"/>
        </w:rPr>
      </w:pPr>
      <w:r w:rsidRPr="00820278">
        <w:rPr>
          <w:rFonts w:ascii="Arial" w:hAnsi="Arial" w:cs="Arial"/>
          <w:lang w:val="en-ZA"/>
        </w:rPr>
        <w:lastRenderedPageBreak/>
        <w:t xml:space="preserve">Following approval by the National Treasury for the South African Social </w:t>
      </w:r>
    </w:p>
    <w:p w:rsidR="00D14B81" w:rsidRPr="00D14B81" w:rsidRDefault="00D14B81" w:rsidP="00820278">
      <w:pPr>
        <w:pStyle w:val="ListParagraph"/>
        <w:tabs>
          <w:tab w:val="left" w:pos="1335"/>
        </w:tabs>
        <w:ind w:left="1335"/>
        <w:jc w:val="both"/>
        <w:rPr>
          <w:rFonts w:ascii="Arial" w:hAnsi="Arial" w:cs="Arial"/>
          <w:lang w:val="en-ZA"/>
        </w:rPr>
      </w:pPr>
      <w:r w:rsidRPr="00D14B81">
        <w:rPr>
          <w:rFonts w:ascii="Arial" w:hAnsi="Arial" w:cs="Arial"/>
          <w:lang w:val="en-ZA"/>
        </w:rPr>
        <w:t>Security Agency to retain its cash surplus the Agency will utilise the cash surplus for the purpose of funding internal capacity for the takeover of the administration of the payment of social grants.  The table below shows the budgeted amounts from the retained cash surplus and not necessarily from the baseline.</w:t>
      </w:r>
    </w:p>
    <w:p w:rsidR="00694B46" w:rsidRDefault="00694B46" w:rsidP="00D14B81">
      <w:pPr>
        <w:tabs>
          <w:tab w:val="left" w:pos="1335"/>
        </w:tabs>
        <w:ind w:left="720" w:hanging="360"/>
        <w:jc w:val="both"/>
      </w:pPr>
    </w:p>
    <w:tbl>
      <w:tblPr>
        <w:tblW w:w="8089" w:type="dxa"/>
        <w:tblInd w:w="923" w:type="dxa"/>
        <w:tblLook w:val="04A0" w:firstRow="1" w:lastRow="0" w:firstColumn="1" w:lastColumn="0" w:noHBand="0" w:noVBand="1"/>
      </w:tblPr>
      <w:tblGrid>
        <w:gridCol w:w="2429"/>
        <w:gridCol w:w="2082"/>
        <w:gridCol w:w="1789"/>
        <w:gridCol w:w="1789"/>
      </w:tblGrid>
      <w:tr w:rsidR="00D14B81" w:rsidRPr="00D14B81" w:rsidTr="00820278">
        <w:trPr>
          <w:trHeight w:val="330"/>
        </w:trPr>
        <w:tc>
          <w:tcPr>
            <w:tcW w:w="2429" w:type="dxa"/>
            <w:tcBorders>
              <w:top w:val="nil"/>
              <w:left w:val="nil"/>
              <w:bottom w:val="nil"/>
              <w:right w:val="nil"/>
            </w:tcBorders>
            <w:shd w:val="clear" w:color="000000" w:fill="auto"/>
            <w:noWrap/>
            <w:vAlign w:val="bottom"/>
            <w:hideMark/>
          </w:tcPr>
          <w:p w:rsidR="00D14B81" w:rsidRPr="00D14B81" w:rsidRDefault="00D14B81" w:rsidP="00D14B81">
            <w:pPr>
              <w:rPr>
                <w:rFonts w:ascii="Arial Narrow" w:hAnsi="Arial Narrow"/>
                <w:color w:val="000000"/>
              </w:rPr>
            </w:pPr>
            <w:r w:rsidRPr="00D14B81">
              <w:rPr>
                <w:rFonts w:ascii="Arial Narrow" w:hAnsi="Arial Narrow"/>
                <w:color w:val="000000"/>
              </w:rPr>
              <w:t>R'000</w:t>
            </w:r>
          </w:p>
        </w:tc>
        <w:tc>
          <w:tcPr>
            <w:tcW w:w="2082" w:type="dxa"/>
            <w:tcBorders>
              <w:top w:val="nil"/>
              <w:left w:val="nil"/>
              <w:bottom w:val="nil"/>
              <w:right w:val="nil"/>
            </w:tcBorders>
            <w:shd w:val="clear" w:color="000000" w:fill="FFFFFF"/>
            <w:noWrap/>
            <w:vAlign w:val="bottom"/>
            <w:hideMark/>
          </w:tcPr>
          <w:p w:rsidR="00D14B81" w:rsidRPr="00D14B81" w:rsidRDefault="00D14B81" w:rsidP="00D14B81">
            <w:pPr>
              <w:rPr>
                <w:rFonts w:ascii="Arial Narrow" w:hAnsi="Arial Narrow"/>
                <w:color w:val="000000"/>
              </w:rPr>
            </w:pPr>
            <w:r w:rsidRPr="00D14B81">
              <w:rPr>
                <w:rFonts w:ascii="Arial Narrow" w:hAnsi="Arial Narrow"/>
                <w:color w:val="000000"/>
              </w:rPr>
              <w:t> </w:t>
            </w:r>
          </w:p>
        </w:tc>
        <w:tc>
          <w:tcPr>
            <w:tcW w:w="1789" w:type="dxa"/>
            <w:tcBorders>
              <w:top w:val="nil"/>
              <w:left w:val="nil"/>
              <w:bottom w:val="nil"/>
              <w:right w:val="nil"/>
            </w:tcBorders>
            <w:shd w:val="clear" w:color="000000" w:fill="auto"/>
            <w:noWrap/>
            <w:vAlign w:val="bottom"/>
            <w:hideMark/>
          </w:tcPr>
          <w:p w:rsidR="00D14B81" w:rsidRPr="00D14B81" w:rsidRDefault="00D14B81" w:rsidP="00D14B81">
            <w:pPr>
              <w:rPr>
                <w:rFonts w:ascii="Arial Narrow" w:hAnsi="Arial Narrow"/>
                <w:color w:val="000000"/>
              </w:rPr>
            </w:pPr>
          </w:p>
        </w:tc>
        <w:tc>
          <w:tcPr>
            <w:tcW w:w="1789" w:type="dxa"/>
            <w:tcBorders>
              <w:top w:val="nil"/>
              <w:left w:val="nil"/>
              <w:bottom w:val="nil"/>
              <w:right w:val="nil"/>
            </w:tcBorders>
            <w:shd w:val="clear" w:color="000000" w:fill="auto"/>
            <w:noWrap/>
            <w:vAlign w:val="bottom"/>
            <w:hideMark/>
          </w:tcPr>
          <w:p w:rsidR="00D14B81" w:rsidRPr="00D14B81" w:rsidRDefault="00D14B81" w:rsidP="00D14B81">
            <w:pPr>
              <w:rPr>
                <w:rFonts w:ascii="Arial Narrow" w:hAnsi="Arial Narrow"/>
                <w:color w:val="000000"/>
              </w:rPr>
            </w:pPr>
          </w:p>
        </w:tc>
      </w:tr>
      <w:tr w:rsidR="00D14B81" w:rsidRPr="00D14B81" w:rsidTr="00820278">
        <w:trPr>
          <w:trHeight w:val="330"/>
        </w:trPr>
        <w:tc>
          <w:tcPr>
            <w:tcW w:w="242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D14B81" w:rsidRPr="00D14B81" w:rsidRDefault="00D14B81" w:rsidP="00D14B81">
            <w:pPr>
              <w:rPr>
                <w:rFonts w:ascii="Arial Narrow" w:hAnsi="Arial Narrow"/>
                <w:color w:val="000000"/>
              </w:rPr>
            </w:pPr>
            <w:r w:rsidRPr="00D14B81">
              <w:rPr>
                <w:rFonts w:ascii="Arial Narrow" w:hAnsi="Arial Narrow"/>
                <w:color w:val="000000"/>
              </w:rPr>
              <w:t>2015/16</w:t>
            </w:r>
          </w:p>
        </w:tc>
        <w:tc>
          <w:tcPr>
            <w:tcW w:w="2082" w:type="dxa"/>
            <w:tcBorders>
              <w:top w:val="single" w:sz="4" w:space="0" w:color="auto"/>
              <w:left w:val="nil"/>
              <w:bottom w:val="single" w:sz="4" w:space="0" w:color="auto"/>
              <w:right w:val="single" w:sz="4" w:space="0" w:color="auto"/>
            </w:tcBorders>
            <w:shd w:val="clear" w:color="000000" w:fill="auto"/>
            <w:noWrap/>
            <w:vAlign w:val="bottom"/>
            <w:hideMark/>
          </w:tcPr>
          <w:p w:rsidR="00D14B81" w:rsidRPr="00D14B81" w:rsidRDefault="00D14B81" w:rsidP="00D14B81">
            <w:pPr>
              <w:rPr>
                <w:rFonts w:ascii="Arial Narrow" w:hAnsi="Arial Narrow"/>
                <w:color w:val="000000"/>
              </w:rPr>
            </w:pPr>
            <w:r w:rsidRPr="00D14B81">
              <w:rPr>
                <w:rFonts w:ascii="Arial Narrow" w:hAnsi="Arial Narrow"/>
                <w:color w:val="000000"/>
              </w:rPr>
              <w:t>2016/17</w:t>
            </w:r>
          </w:p>
        </w:tc>
        <w:tc>
          <w:tcPr>
            <w:tcW w:w="1789" w:type="dxa"/>
            <w:tcBorders>
              <w:top w:val="single" w:sz="4" w:space="0" w:color="auto"/>
              <w:left w:val="nil"/>
              <w:bottom w:val="single" w:sz="4" w:space="0" w:color="auto"/>
              <w:right w:val="single" w:sz="4" w:space="0" w:color="auto"/>
            </w:tcBorders>
            <w:shd w:val="clear" w:color="000000" w:fill="auto"/>
            <w:noWrap/>
            <w:vAlign w:val="bottom"/>
            <w:hideMark/>
          </w:tcPr>
          <w:p w:rsidR="00D14B81" w:rsidRPr="00D14B81" w:rsidRDefault="00D14B81" w:rsidP="00D14B81">
            <w:pPr>
              <w:rPr>
                <w:rFonts w:ascii="Arial Narrow" w:hAnsi="Arial Narrow"/>
                <w:color w:val="000000"/>
              </w:rPr>
            </w:pPr>
            <w:r w:rsidRPr="00D14B81">
              <w:rPr>
                <w:rFonts w:ascii="Arial Narrow" w:hAnsi="Arial Narrow"/>
                <w:color w:val="000000"/>
              </w:rPr>
              <w:t>2017/18</w:t>
            </w:r>
          </w:p>
        </w:tc>
        <w:tc>
          <w:tcPr>
            <w:tcW w:w="1789" w:type="dxa"/>
            <w:tcBorders>
              <w:top w:val="single" w:sz="4" w:space="0" w:color="auto"/>
              <w:left w:val="nil"/>
              <w:bottom w:val="single" w:sz="4" w:space="0" w:color="auto"/>
              <w:right w:val="single" w:sz="4" w:space="0" w:color="auto"/>
            </w:tcBorders>
            <w:shd w:val="clear" w:color="000000" w:fill="auto"/>
            <w:noWrap/>
            <w:vAlign w:val="bottom"/>
            <w:hideMark/>
          </w:tcPr>
          <w:p w:rsidR="00D14B81" w:rsidRPr="00D14B81" w:rsidRDefault="00D14B81" w:rsidP="00D14B81">
            <w:pPr>
              <w:rPr>
                <w:rFonts w:ascii="Arial Narrow" w:hAnsi="Arial Narrow"/>
                <w:color w:val="000000"/>
              </w:rPr>
            </w:pPr>
            <w:r w:rsidRPr="00D14B81">
              <w:rPr>
                <w:rFonts w:ascii="Arial Narrow" w:hAnsi="Arial Narrow"/>
                <w:color w:val="000000"/>
              </w:rPr>
              <w:t>2018/19</w:t>
            </w:r>
          </w:p>
        </w:tc>
      </w:tr>
      <w:tr w:rsidR="00D14B81" w:rsidRPr="00D14B81" w:rsidTr="00820278">
        <w:trPr>
          <w:trHeight w:val="330"/>
        </w:trPr>
        <w:tc>
          <w:tcPr>
            <w:tcW w:w="2429" w:type="dxa"/>
            <w:tcBorders>
              <w:top w:val="nil"/>
              <w:left w:val="single" w:sz="4" w:space="0" w:color="auto"/>
              <w:bottom w:val="single" w:sz="4" w:space="0" w:color="auto"/>
              <w:right w:val="single" w:sz="4" w:space="0" w:color="auto"/>
            </w:tcBorders>
            <w:shd w:val="clear" w:color="000000" w:fill="auto"/>
            <w:noWrap/>
            <w:vAlign w:val="bottom"/>
            <w:hideMark/>
          </w:tcPr>
          <w:p w:rsidR="00D14B81" w:rsidRPr="00D14B81" w:rsidRDefault="00D14B81" w:rsidP="00D14B81">
            <w:pPr>
              <w:rPr>
                <w:rFonts w:ascii="Arial Narrow" w:hAnsi="Arial Narrow"/>
                <w:color w:val="000000"/>
              </w:rPr>
            </w:pPr>
            <w:r w:rsidRPr="00D14B81">
              <w:rPr>
                <w:rFonts w:ascii="Arial Narrow" w:hAnsi="Arial Narrow"/>
                <w:color w:val="000000"/>
              </w:rPr>
              <w:t xml:space="preserve">         66,050 </w:t>
            </w:r>
          </w:p>
        </w:tc>
        <w:tc>
          <w:tcPr>
            <w:tcW w:w="2082" w:type="dxa"/>
            <w:tcBorders>
              <w:top w:val="nil"/>
              <w:left w:val="nil"/>
              <w:bottom w:val="single" w:sz="4" w:space="0" w:color="auto"/>
              <w:right w:val="single" w:sz="4" w:space="0" w:color="auto"/>
            </w:tcBorders>
            <w:shd w:val="clear" w:color="000000" w:fill="auto"/>
            <w:noWrap/>
            <w:vAlign w:val="bottom"/>
            <w:hideMark/>
          </w:tcPr>
          <w:p w:rsidR="00D14B81" w:rsidRPr="00D14B81" w:rsidRDefault="00D14B81" w:rsidP="00D14B81">
            <w:pPr>
              <w:rPr>
                <w:rFonts w:ascii="Arial Narrow" w:hAnsi="Arial Narrow"/>
                <w:color w:val="000000"/>
              </w:rPr>
            </w:pPr>
            <w:r w:rsidRPr="00D14B81">
              <w:rPr>
                <w:rFonts w:ascii="Arial Narrow" w:hAnsi="Arial Narrow"/>
                <w:color w:val="000000"/>
              </w:rPr>
              <w:t xml:space="preserve">    132,669 </w:t>
            </w:r>
          </w:p>
        </w:tc>
        <w:tc>
          <w:tcPr>
            <w:tcW w:w="1789" w:type="dxa"/>
            <w:tcBorders>
              <w:top w:val="nil"/>
              <w:left w:val="nil"/>
              <w:bottom w:val="single" w:sz="4" w:space="0" w:color="auto"/>
              <w:right w:val="single" w:sz="4" w:space="0" w:color="auto"/>
            </w:tcBorders>
            <w:shd w:val="clear" w:color="000000" w:fill="auto"/>
            <w:noWrap/>
            <w:vAlign w:val="bottom"/>
            <w:hideMark/>
          </w:tcPr>
          <w:p w:rsidR="00D14B81" w:rsidRPr="00D14B81" w:rsidRDefault="00D14B81" w:rsidP="00D14B81">
            <w:pPr>
              <w:rPr>
                <w:rFonts w:ascii="Arial Narrow" w:hAnsi="Arial Narrow"/>
                <w:color w:val="000000"/>
              </w:rPr>
            </w:pPr>
            <w:r w:rsidRPr="00D14B81">
              <w:rPr>
                <w:rFonts w:ascii="Arial Narrow" w:hAnsi="Arial Narrow"/>
                <w:color w:val="000000"/>
              </w:rPr>
              <w:t xml:space="preserve"> 248,000 </w:t>
            </w:r>
          </w:p>
        </w:tc>
        <w:tc>
          <w:tcPr>
            <w:tcW w:w="1789" w:type="dxa"/>
            <w:tcBorders>
              <w:top w:val="nil"/>
              <w:left w:val="nil"/>
              <w:bottom w:val="single" w:sz="4" w:space="0" w:color="auto"/>
              <w:right w:val="single" w:sz="4" w:space="0" w:color="auto"/>
            </w:tcBorders>
            <w:shd w:val="clear" w:color="000000" w:fill="auto"/>
            <w:noWrap/>
            <w:vAlign w:val="bottom"/>
            <w:hideMark/>
          </w:tcPr>
          <w:p w:rsidR="00D14B81" w:rsidRPr="00D14B81" w:rsidRDefault="00D14B81" w:rsidP="00D14B81">
            <w:pPr>
              <w:rPr>
                <w:rFonts w:ascii="Arial Narrow" w:hAnsi="Arial Narrow"/>
                <w:color w:val="000000"/>
              </w:rPr>
            </w:pPr>
            <w:r w:rsidRPr="00D14B81">
              <w:rPr>
                <w:rFonts w:ascii="Arial Narrow" w:hAnsi="Arial Narrow"/>
                <w:color w:val="000000"/>
              </w:rPr>
              <w:t xml:space="preserve">   14,000 </w:t>
            </w:r>
          </w:p>
        </w:tc>
      </w:tr>
    </w:tbl>
    <w:p w:rsidR="00694B46" w:rsidRPr="002E7CD1" w:rsidRDefault="00694B46" w:rsidP="00D14B81">
      <w:pPr>
        <w:ind w:left="720"/>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C4" w:rsidRDefault="008058C4" w:rsidP="0050056C">
      <w:pPr>
        <w:pStyle w:val="BodyTextIndent"/>
        <w:spacing w:line="240" w:lineRule="auto"/>
      </w:pPr>
      <w:r>
        <w:separator/>
      </w:r>
    </w:p>
  </w:endnote>
  <w:endnote w:type="continuationSeparator" w:id="0">
    <w:p w:rsidR="008058C4" w:rsidRDefault="008058C4"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FB6583">
          <w:rPr>
            <w:noProof/>
          </w:rPr>
          <w:t>2</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C4" w:rsidRDefault="008058C4" w:rsidP="0050056C">
      <w:pPr>
        <w:pStyle w:val="BodyTextIndent"/>
        <w:spacing w:line="240" w:lineRule="auto"/>
      </w:pPr>
      <w:r>
        <w:separator/>
      </w:r>
    </w:p>
  </w:footnote>
  <w:footnote w:type="continuationSeparator" w:id="0">
    <w:p w:rsidR="008058C4" w:rsidRDefault="008058C4"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53B64"/>
    <w:multiLevelType w:val="hybridMultilevel"/>
    <w:tmpl w:val="CDE2CC1C"/>
    <w:lvl w:ilvl="0" w:tplc="760C35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68E605B"/>
    <w:multiLevelType w:val="hybridMultilevel"/>
    <w:tmpl w:val="9802086C"/>
    <w:lvl w:ilvl="0" w:tplc="2EC6B2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78133B"/>
    <w:multiLevelType w:val="hybridMultilevel"/>
    <w:tmpl w:val="052CA4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3395"/>
    <w:rsid w:val="0007673D"/>
    <w:rsid w:val="000809FA"/>
    <w:rsid w:val="001171DA"/>
    <w:rsid w:val="00131BD6"/>
    <w:rsid w:val="00136BE2"/>
    <w:rsid w:val="00163F17"/>
    <w:rsid w:val="00177CE3"/>
    <w:rsid w:val="001A289B"/>
    <w:rsid w:val="001C530A"/>
    <w:rsid w:val="001F50C3"/>
    <w:rsid w:val="00214AF1"/>
    <w:rsid w:val="002165DF"/>
    <w:rsid w:val="00233353"/>
    <w:rsid w:val="00241BB9"/>
    <w:rsid w:val="00265967"/>
    <w:rsid w:val="00265C7D"/>
    <w:rsid w:val="00290C13"/>
    <w:rsid w:val="002A2A3B"/>
    <w:rsid w:val="002E7CD1"/>
    <w:rsid w:val="003103EC"/>
    <w:rsid w:val="003305F4"/>
    <w:rsid w:val="00335DDA"/>
    <w:rsid w:val="00370D69"/>
    <w:rsid w:val="00390271"/>
    <w:rsid w:val="003A38CE"/>
    <w:rsid w:val="00441AC5"/>
    <w:rsid w:val="004805B9"/>
    <w:rsid w:val="004A18AB"/>
    <w:rsid w:val="004A59FE"/>
    <w:rsid w:val="004D0147"/>
    <w:rsid w:val="004D2C84"/>
    <w:rsid w:val="0050056C"/>
    <w:rsid w:val="0057620B"/>
    <w:rsid w:val="005A4732"/>
    <w:rsid w:val="005F6CFA"/>
    <w:rsid w:val="006127CE"/>
    <w:rsid w:val="00673A18"/>
    <w:rsid w:val="00694B46"/>
    <w:rsid w:val="006B5C9B"/>
    <w:rsid w:val="006D7727"/>
    <w:rsid w:val="006E33FB"/>
    <w:rsid w:val="006E7D27"/>
    <w:rsid w:val="00765B79"/>
    <w:rsid w:val="0078213D"/>
    <w:rsid w:val="00792847"/>
    <w:rsid w:val="007C510F"/>
    <w:rsid w:val="007F7CEF"/>
    <w:rsid w:val="00804E20"/>
    <w:rsid w:val="008058C4"/>
    <w:rsid w:val="00820278"/>
    <w:rsid w:val="00821A2E"/>
    <w:rsid w:val="00843380"/>
    <w:rsid w:val="008861F9"/>
    <w:rsid w:val="008F18B1"/>
    <w:rsid w:val="009868A5"/>
    <w:rsid w:val="009B6BFB"/>
    <w:rsid w:val="00A57275"/>
    <w:rsid w:val="00A91D40"/>
    <w:rsid w:val="00AC7CD4"/>
    <w:rsid w:val="00AD4319"/>
    <w:rsid w:val="00AF3AF5"/>
    <w:rsid w:val="00B16E95"/>
    <w:rsid w:val="00B17932"/>
    <w:rsid w:val="00B21EEC"/>
    <w:rsid w:val="00B47883"/>
    <w:rsid w:val="00B56AC8"/>
    <w:rsid w:val="00B80DA6"/>
    <w:rsid w:val="00C13767"/>
    <w:rsid w:val="00CA2A72"/>
    <w:rsid w:val="00CD5747"/>
    <w:rsid w:val="00CF556A"/>
    <w:rsid w:val="00D14B81"/>
    <w:rsid w:val="00D179D7"/>
    <w:rsid w:val="00D86D61"/>
    <w:rsid w:val="00DA7398"/>
    <w:rsid w:val="00DF1683"/>
    <w:rsid w:val="00E620F9"/>
    <w:rsid w:val="00ED23D5"/>
    <w:rsid w:val="00F05F72"/>
    <w:rsid w:val="00F30317"/>
    <w:rsid w:val="00F80298"/>
    <w:rsid w:val="00FB65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3EB4D-3E1C-4FB0-ADD4-886FEF38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6626">
      <w:bodyDiv w:val="1"/>
      <w:marLeft w:val="0"/>
      <w:marRight w:val="0"/>
      <w:marTop w:val="0"/>
      <w:marBottom w:val="0"/>
      <w:divBdr>
        <w:top w:val="none" w:sz="0" w:space="0" w:color="auto"/>
        <w:left w:val="none" w:sz="0" w:space="0" w:color="auto"/>
        <w:bottom w:val="none" w:sz="0" w:space="0" w:color="auto"/>
        <w:right w:val="none" w:sz="0" w:space="0" w:color="auto"/>
      </w:divBdr>
    </w:div>
    <w:div w:id="18751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179.	Ms B S Masango (DA) to ask the Minister of Social Development:</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3</cp:revision>
  <cp:lastPrinted>2017-03-09T11:10:00Z</cp:lastPrinted>
  <dcterms:created xsi:type="dcterms:W3CDTF">2017-04-06T12:11:00Z</dcterms:created>
  <dcterms:modified xsi:type="dcterms:W3CDTF">2017-04-06T12:56:00Z</dcterms:modified>
</cp:coreProperties>
</file>