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FF0FA7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131704DD" wp14:editId="7522459C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F0FA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FF0FA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F0FA7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FF0FA7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FF0FA7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</w:pPr>
      <w:r w:rsidRPr="00FF0FA7">
        <w:rPr>
          <w:rFonts w:ascii="Arial" w:eastAsia="Arial Unicode MS" w:hAnsi="Arial Unicode MS" w:cs="Arial Unicode MS"/>
          <w:b/>
          <w:bCs/>
          <w:color w:val="000000"/>
          <w:u w:val="single" w:color="000000"/>
          <w:bdr w:val="nil"/>
          <w:lang w:val="en-GB" w:eastAsia="en-GB"/>
        </w:rPr>
        <w:t>NATIONAL ASSEMBLY: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8"/>
        </w:tabs>
        <w:spacing w:after="0" w:line="360" w:lineRule="auto"/>
        <w:ind w:firstLine="28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1642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8"/>
        </w:tabs>
        <w:spacing w:after="0" w:line="360" w:lineRule="auto"/>
        <w:ind w:firstLine="28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Date of Publication: </w:t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9 June 2017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8"/>
        </w:tabs>
        <w:spacing w:after="0" w:line="360" w:lineRule="auto"/>
        <w:ind w:firstLine="28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21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28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22 June 2017 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284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  <w:proofErr w:type="spellStart"/>
      <w:r w:rsidRPr="00FF0FA7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>Mr</w:t>
      </w:r>
      <w:proofErr w:type="spellEnd"/>
      <w:r w:rsidRPr="00FF0FA7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 xml:space="preserve"> G R </w:t>
      </w:r>
      <w:proofErr w:type="spellStart"/>
      <w:r w:rsidRPr="00FF0FA7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>Krumbock</w:t>
      </w:r>
      <w:proofErr w:type="spellEnd"/>
      <w:r w:rsidRPr="00FF0FA7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 xml:space="preserve"> (DA) to ask the Minister of Tourism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 xml:space="preserve">Whether she has established the reasons for the 11% increase in spending per day on domestic trips in 2016 compared to 2015, even though SA Tourism reports that affordability is the main deterrent to taking a trip; if so, what are the relevant details? </w:t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  <w:t>NW1848E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jc w:val="both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816"/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b/>
          <w:sz w:val="24"/>
          <w:szCs w:val="24"/>
          <w:bdr w:val="nil"/>
          <w:lang w:val="en-US"/>
        </w:rPr>
        <w:tab/>
        <w:t>Reply:</w:t>
      </w:r>
    </w:p>
    <w:p w:rsidR="00FF0FA7" w:rsidRPr="00FF0FA7" w:rsidRDefault="00FF0FA7" w:rsidP="00FF0FA7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color w:val="5B9BD5" w:themeColor="accent1"/>
          <w:sz w:val="24"/>
          <w:szCs w:val="24"/>
          <w:lang w:val="en-GB"/>
        </w:rPr>
      </w:pPr>
    </w:p>
    <w:p w:rsidR="00FF0FA7" w:rsidRPr="00FF0FA7" w:rsidRDefault="00FF0FA7" w:rsidP="00FF0FA7">
      <w:pPr>
        <w:spacing w:after="0" w:line="360" w:lineRule="auto"/>
        <w:ind w:left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FF0FA7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The increase in average spend per day was driven by increased spend towards transport and shopping for personal usage among others. </w:t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278"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 xml:space="preserve"> </w:t>
      </w:r>
      <w:r w:rsidRPr="00FF0FA7"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  <w:tab/>
      </w: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firstLine="278"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FF0FA7" w:rsidRPr="00FF0FA7" w:rsidRDefault="00FF0FA7" w:rsidP="00FF0F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Arial Narrow" w:eastAsia="Arial Unicode MS" w:hAnsi="Arial Narrow" w:cs="Times New Roman"/>
          <w:sz w:val="24"/>
          <w:szCs w:val="24"/>
          <w:bdr w:val="nil"/>
          <w:lang w:val="en-US"/>
        </w:rPr>
      </w:pPr>
    </w:p>
    <w:p w:rsidR="00262FE0" w:rsidRDefault="00262FE0">
      <w:bookmarkStart w:id="0" w:name="_GoBack"/>
      <w:bookmarkEnd w:id="0"/>
    </w:p>
    <w:sectPr w:rsidR="00262FE0" w:rsidSect="002E00C0">
      <w:footerReference w:type="default" r:id="rId5"/>
      <w:footerReference w:type="first" r:id="rId6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FF0FA7" w:rsidP="00C0184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  <w:hyperlink r:id="rId1" w:history="1">
      <w:r w:rsidRPr="00941BF4">
        <w:rPr>
          <w:rStyle w:val="Hyperlink"/>
          <w:rFonts w:ascii="Arial Narrow" w:hAnsi="Arial Narrow" w:cs="Arial"/>
          <w:i/>
          <w:sz w:val="20"/>
          <w:szCs w:val="20"/>
        </w:rPr>
        <w:t>www.tourism.gov.za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0184E">
      <w:rPr>
        <w:rFonts w:ascii="Arial" w:hAnsi="Arial" w:cs="Arial"/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FF0FA7">
    <w:pPr>
      <w:pStyle w:val="Footer"/>
      <w:jc w:val="right"/>
    </w:pPr>
  </w:p>
  <w:p w:rsidR="001656DE" w:rsidRDefault="00FF0FA7">
    <w:pPr>
      <w:pStyle w:val="Header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7"/>
    <w:rsid w:val="00262FE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B9FD-A344-47D8-A3AD-0BBF649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F0F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0F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0FA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FF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ris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2017-06-22T15:33:00Z</dcterms:created>
  <dcterms:modified xsi:type="dcterms:W3CDTF">2017-06-22T15:33:00Z</dcterms:modified>
</cp:coreProperties>
</file>