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03" w:rsidRPr="002E0545" w:rsidRDefault="00943E03" w:rsidP="00943E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943E03" w:rsidRPr="002E0545" w:rsidRDefault="00943E03" w:rsidP="00943E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943E03" w:rsidRPr="002E0545" w:rsidRDefault="00943E03" w:rsidP="00943E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943E03" w:rsidRPr="002E0545" w:rsidRDefault="00943E03" w:rsidP="00943E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2E0545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580C6270" wp14:editId="6E294D4F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43E03" w:rsidRPr="002E0545" w:rsidRDefault="00943E03" w:rsidP="00943E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943E03" w:rsidRPr="002E0545" w:rsidRDefault="00943E03" w:rsidP="00943E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943E03" w:rsidRPr="002E0545" w:rsidRDefault="00943E03" w:rsidP="00943E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943E03" w:rsidRPr="002E0545" w:rsidRDefault="00943E03" w:rsidP="00943E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943E03" w:rsidRPr="002E0545" w:rsidRDefault="00943E03" w:rsidP="00943E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943E03" w:rsidRPr="002E0545" w:rsidRDefault="00943E03" w:rsidP="00943E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943E03" w:rsidRPr="002E0545" w:rsidRDefault="00943E03" w:rsidP="00943E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943E03" w:rsidRPr="002E0545" w:rsidRDefault="00943E03" w:rsidP="00943E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943E03" w:rsidRPr="002E0545" w:rsidRDefault="00943E03" w:rsidP="00943E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943E03" w:rsidRDefault="00943E03" w:rsidP="00943E03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2E0545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:rsidR="00943E03" w:rsidRDefault="00943E03" w:rsidP="00943E03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</w:p>
    <w:p w:rsidR="00943E03" w:rsidRPr="00943E03" w:rsidRDefault="00943E03" w:rsidP="00943E03">
      <w:pPr>
        <w:spacing w:after="0" w:line="360" w:lineRule="auto"/>
        <w:ind w:firstLine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943E0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943E03" w:rsidRPr="00943E03" w:rsidRDefault="00943E03" w:rsidP="00943E03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943E0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943E0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943E0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1549</w:t>
      </w:r>
    </w:p>
    <w:p w:rsidR="00943E03" w:rsidRPr="00943E03" w:rsidRDefault="00943E03" w:rsidP="00943E03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943E0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943E0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943E0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 June 2017</w:t>
      </w:r>
    </w:p>
    <w:p w:rsidR="00943E03" w:rsidRPr="00943E03" w:rsidRDefault="00943E03" w:rsidP="00943E03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943E0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943E0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943E0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20</w:t>
      </w:r>
    </w:p>
    <w:p w:rsidR="00943E03" w:rsidRPr="00943E03" w:rsidRDefault="00943E03" w:rsidP="00943E03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943E0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943E0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="0098389B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22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 June 2017 </w:t>
      </w:r>
    </w:p>
    <w:p w:rsidR="00943E03" w:rsidRPr="00943E03" w:rsidRDefault="00943E03" w:rsidP="00943E03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943E03" w:rsidRPr="00943E03" w:rsidRDefault="00943E03" w:rsidP="00943E03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943E03" w:rsidRPr="00943E03" w:rsidRDefault="00943E03" w:rsidP="00943E03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943E03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Ms J F Terblanche (DA) to ask the Minister of Tourism</w:t>
      </w:r>
    </w:p>
    <w:p w:rsidR="00943E03" w:rsidRPr="00943E03" w:rsidRDefault="00943E03" w:rsidP="00943E03">
      <w:pPr>
        <w:spacing w:after="0" w:line="360" w:lineRule="auto"/>
        <w:ind w:left="426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943E03" w:rsidRPr="00943E03" w:rsidRDefault="00943E03" w:rsidP="00943E03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943E03">
        <w:rPr>
          <w:rFonts w:ascii="Arial Narrow" w:eastAsia="Times New Roman" w:hAnsi="Arial Narrow" w:cs="Times New Roman"/>
          <w:sz w:val="24"/>
          <w:szCs w:val="24"/>
          <w:lang w:val="en-GB"/>
        </w:rPr>
        <w:t>How does South Africa’s compound annual growth rates for total arrivals of tourists to the country compare to long-haul competitors such as the (a) Commonwealth of Australia, (b) Argentine Republic, (c) Federative Republic of Brazil and (d) New Zealand between 2014 and 2016?</w:t>
      </w:r>
      <w:r w:rsidRPr="00943E03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43E03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943E03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NW1750E</w:t>
      </w:r>
    </w:p>
    <w:p w:rsidR="00943E03" w:rsidRPr="00943E03" w:rsidRDefault="00943E03" w:rsidP="00943E03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943E03" w:rsidRPr="00943E03" w:rsidRDefault="00943E03" w:rsidP="00943E03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943E03" w:rsidRPr="00943E03" w:rsidRDefault="00943E03" w:rsidP="00943E03">
      <w:pPr>
        <w:spacing w:after="0" w:line="360" w:lineRule="auto"/>
        <w:ind w:left="284" w:hanging="816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943E03">
        <w:rPr>
          <w:rFonts w:ascii="Arial Narrow" w:eastAsia="Times New Roman" w:hAnsi="Arial Narrow" w:cs="Times New Roman"/>
          <w:b/>
          <w:sz w:val="24"/>
          <w:szCs w:val="24"/>
          <w:lang w:val="en-GB"/>
        </w:rPr>
        <w:tab/>
        <w:t>Reply:</w:t>
      </w:r>
    </w:p>
    <w:p w:rsidR="00943E03" w:rsidRPr="00943E03" w:rsidRDefault="00943E03" w:rsidP="00943E03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943E03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1273"/>
        <w:gridCol w:w="1273"/>
        <w:gridCol w:w="1504"/>
        <w:gridCol w:w="1574"/>
        <w:gridCol w:w="1572"/>
      </w:tblGrid>
      <w:tr w:rsidR="00943E03" w:rsidRPr="00943E03" w:rsidTr="00BB0EB2">
        <w:trPr>
          <w:trHeight w:val="290"/>
        </w:trPr>
        <w:tc>
          <w:tcPr>
            <w:tcW w:w="1254" w:type="pct"/>
            <w:shd w:val="clear" w:color="000000" w:fill="004A80"/>
            <w:vAlign w:val="center"/>
            <w:hideMark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b/>
                <w:bCs/>
                <w:color w:val="FFFFFF"/>
                <w:lang w:val="en-US"/>
              </w:rPr>
              <w:t>Location</w:t>
            </w:r>
          </w:p>
        </w:tc>
        <w:tc>
          <w:tcPr>
            <w:tcW w:w="663" w:type="pct"/>
            <w:shd w:val="clear" w:color="000000" w:fill="004A80"/>
            <w:vAlign w:val="center"/>
            <w:hideMark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b/>
                <w:bCs/>
                <w:color w:val="FFFFFF"/>
                <w:lang w:val="en-US"/>
              </w:rPr>
              <w:t>2014</w:t>
            </w:r>
          </w:p>
        </w:tc>
        <w:tc>
          <w:tcPr>
            <w:tcW w:w="663" w:type="pct"/>
            <w:shd w:val="clear" w:color="000000" w:fill="004A80"/>
            <w:vAlign w:val="center"/>
            <w:hideMark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b/>
                <w:bCs/>
                <w:color w:val="FFFFFF"/>
                <w:lang w:val="en-US"/>
              </w:rPr>
              <w:t>2015</w:t>
            </w:r>
          </w:p>
        </w:tc>
        <w:tc>
          <w:tcPr>
            <w:tcW w:w="783" w:type="pct"/>
            <w:shd w:val="clear" w:color="000000" w:fill="004A80"/>
            <w:vAlign w:val="center"/>
            <w:hideMark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b/>
                <w:bCs/>
                <w:color w:val="FFFFFF"/>
                <w:lang w:val="en-US"/>
              </w:rPr>
              <w:t>2016</w:t>
            </w:r>
          </w:p>
        </w:tc>
        <w:tc>
          <w:tcPr>
            <w:tcW w:w="819" w:type="pct"/>
            <w:shd w:val="clear" w:color="000000" w:fill="004A80"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color w:val="FFFFFF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b/>
                <w:bCs/>
                <w:i/>
                <w:color w:val="FFFFFF"/>
                <w:lang w:val="en-US"/>
              </w:rPr>
              <w:t>% growth: 2015-2016</w:t>
            </w:r>
          </w:p>
        </w:tc>
        <w:tc>
          <w:tcPr>
            <w:tcW w:w="818" w:type="pct"/>
            <w:shd w:val="clear" w:color="000000" w:fill="004A80"/>
            <w:vAlign w:val="center"/>
            <w:hideMark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color w:val="FFFFFF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b/>
                <w:bCs/>
                <w:i/>
                <w:color w:val="FFFFFF"/>
                <w:lang w:val="en-US"/>
              </w:rPr>
              <w:t>CAGR:</w:t>
            </w:r>
          </w:p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color w:val="FFFFFF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b/>
                <w:bCs/>
                <w:i/>
                <w:color w:val="FFFFFF"/>
                <w:lang w:val="en-US"/>
              </w:rPr>
              <w:t xml:space="preserve"> 2014-2016</w:t>
            </w:r>
          </w:p>
        </w:tc>
      </w:tr>
      <w:tr w:rsidR="00943E03" w:rsidRPr="00943E03" w:rsidTr="00BB0EB2">
        <w:trPr>
          <w:trHeight w:val="290"/>
        </w:trPr>
        <w:tc>
          <w:tcPr>
            <w:tcW w:w="1254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South Africa (‘000)</w:t>
            </w:r>
          </w:p>
        </w:tc>
        <w:tc>
          <w:tcPr>
            <w:tcW w:w="663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9,549.2</w:t>
            </w:r>
          </w:p>
        </w:tc>
        <w:tc>
          <w:tcPr>
            <w:tcW w:w="663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8,903.8</w:t>
            </w:r>
          </w:p>
        </w:tc>
        <w:tc>
          <w:tcPr>
            <w:tcW w:w="783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10,044.2</w:t>
            </w:r>
          </w:p>
        </w:tc>
        <w:tc>
          <w:tcPr>
            <w:tcW w:w="819" w:type="pct"/>
            <w:shd w:val="clear" w:color="000000" w:fill="F5F5F5"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i/>
                <w:color w:val="00B050"/>
                <w:lang w:val="en-US"/>
              </w:rPr>
              <w:t>12.8%</w:t>
            </w:r>
          </w:p>
        </w:tc>
        <w:tc>
          <w:tcPr>
            <w:tcW w:w="818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i/>
                <w:color w:val="00B050"/>
                <w:lang w:val="en-US"/>
              </w:rPr>
              <w:t>2.6%</w:t>
            </w:r>
          </w:p>
        </w:tc>
      </w:tr>
      <w:tr w:rsidR="00943E03" w:rsidRPr="00943E03" w:rsidTr="00BB0EB2">
        <w:trPr>
          <w:trHeight w:val="290"/>
        </w:trPr>
        <w:tc>
          <w:tcPr>
            <w:tcW w:w="1254" w:type="pct"/>
            <w:shd w:val="clear" w:color="000000" w:fill="F5F5F5"/>
            <w:noWrap/>
            <w:vAlign w:val="bottom"/>
            <w:hideMark/>
          </w:tcPr>
          <w:p w:rsidR="00943E03" w:rsidRPr="00943E03" w:rsidRDefault="00943E03" w:rsidP="00943E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(a)Australia (‘000)</w:t>
            </w:r>
          </w:p>
        </w:tc>
        <w:tc>
          <w:tcPr>
            <w:tcW w:w="663" w:type="pct"/>
            <w:shd w:val="clear" w:color="000000" w:fill="F5F5F5"/>
            <w:noWrap/>
            <w:vAlign w:val="bottom"/>
            <w:hideMark/>
          </w:tcPr>
          <w:p w:rsidR="00943E03" w:rsidRPr="00943E03" w:rsidRDefault="00943E03" w:rsidP="00943E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6,884.1</w:t>
            </w:r>
          </w:p>
        </w:tc>
        <w:tc>
          <w:tcPr>
            <w:tcW w:w="663" w:type="pct"/>
            <w:shd w:val="clear" w:color="000000" w:fill="F5F5F5"/>
            <w:noWrap/>
            <w:vAlign w:val="bottom"/>
            <w:hideMark/>
          </w:tcPr>
          <w:p w:rsidR="00943E03" w:rsidRPr="00943E03" w:rsidRDefault="00943E03" w:rsidP="00943E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7,444.4</w:t>
            </w:r>
          </w:p>
        </w:tc>
        <w:tc>
          <w:tcPr>
            <w:tcW w:w="783" w:type="pct"/>
            <w:shd w:val="clear" w:color="000000" w:fill="F5F5F5"/>
            <w:noWrap/>
            <w:vAlign w:val="bottom"/>
            <w:hideMark/>
          </w:tcPr>
          <w:p w:rsidR="00943E03" w:rsidRPr="00943E03" w:rsidRDefault="00943E03" w:rsidP="00943E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8,283.6</w:t>
            </w:r>
          </w:p>
        </w:tc>
        <w:tc>
          <w:tcPr>
            <w:tcW w:w="819" w:type="pct"/>
            <w:shd w:val="clear" w:color="000000" w:fill="F5F5F5"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color w:val="00B05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i/>
                <w:color w:val="00B050"/>
                <w:lang w:val="en-US"/>
              </w:rPr>
              <w:t>11.3%</w:t>
            </w:r>
          </w:p>
        </w:tc>
        <w:tc>
          <w:tcPr>
            <w:tcW w:w="818" w:type="pct"/>
            <w:shd w:val="clear" w:color="000000" w:fill="F5F5F5"/>
            <w:noWrap/>
            <w:vAlign w:val="bottom"/>
            <w:hideMark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color w:val="00B05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i/>
                <w:color w:val="00B050"/>
                <w:lang w:val="en-US"/>
              </w:rPr>
              <w:t>9.7%</w:t>
            </w:r>
          </w:p>
        </w:tc>
      </w:tr>
      <w:tr w:rsidR="00943E03" w:rsidRPr="00943E03" w:rsidTr="00BB0EB2">
        <w:trPr>
          <w:trHeight w:val="290"/>
        </w:trPr>
        <w:tc>
          <w:tcPr>
            <w:tcW w:w="1254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(b)Argentina (‘000)</w:t>
            </w:r>
          </w:p>
        </w:tc>
        <w:tc>
          <w:tcPr>
            <w:tcW w:w="663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5,931.0</w:t>
            </w:r>
          </w:p>
        </w:tc>
        <w:tc>
          <w:tcPr>
            <w:tcW w:w="663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5,736.0</w:t>
            </w:r>
          </w:p>
        </w:tc>
        <w:tc>
          <w:tcPr>
            <w:tcW w:w="783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5,501.5</w:t>
            </w:r>
          </w:p>
        </w:tc>
        <w:tc>
          <w:tcPr>
            <w:tcW w:w="819" w:type="pct"/>
            <w:shd w:val="clear" w:color="000000" w:fill="F5F5F5"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color w:val="FF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i/>
                <w:color w:val="FF0000"/>
                <w:lang w:val="en-US"/>
              </w:rPr>
              <w:t>-4.1%</w:t>
            </w:r>
          </w:p>
        </w:tc>
        <w:tc>
          <w:tcPr>
            <w:tcW w:w="818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color w:val="FF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i/>
                <w:color w:val="FF0000"/>
                <w:lang w:val="en-US"/>
              </w:rPr>
              <w:t>-3.7%</w:t>
            </w:r>
          </w:p>
        </w:tc>
      </w:tr>
      <w:tr w:rsidR="00943E03" w:rsidRPr="00943E03" w:rsidTr="00BB0EB2">
        <w:trPr>
          <w:trHeight w:val="290"/>
        </w:trPr>
        <w:tc>
          <w:tcPr>
            <w:tcW w:w="1254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(c)Brazil (‘000)</w:t>
            </w:r>
          </w:p>
        </w:tc>
        <w:tc>
          <w:tcPr>
            <w:tcW w:w="663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6,430.0</w:t>
            </w:r>
          </w:p>
        </w:tc>
        <w:tc>
          <w:tcPr>
            <w:tcW w:w="663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6,306.0</w:t>
            </w:r>
          </w:p>
        </w:tc>
        <w:tc>
          <w:tcPr>
            <w:tcW w:w="783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8064A2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lang w:val="en-US"/>
              </w:rPr>
              <w:t>6,371.7</w:t>
            </w:r>
          </w:p>
        </w:tc>
        <w:tc>
          <w:tcPr>
            <w:tcW w:w="819" w:type="pct"/>
            <w:shd w:val="clear" w:color="000000" w:fill="F5F5F5"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color w:val="FF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i/>
                <w:color w:val="00B050"/>
                <w:lang w:val="en-US"/>
              </w:rPr>
              <w:t>1.0%</w:t>
            </w:r>
          </w:p>
        </w:tc>
        <w:tc>
          <w:tcPr>
            <w:tcW w:w="818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color w:val="FF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i/>
                <w:color w:val="FF0000"/>
                <w:lang w:val="en-US"/>
              </w:rPr>
              <w:t>-0.5%</w:t>
            </w:r>
          </w:p>
        </w:tc>
      </w:tr>
      <w:tr w:rsidR="00943E03" w:rsidRPr="00943E03" w:rsidTr="00BB0EB2">
        <w:trPr>
          <w:trHeight w:val="290"/>
        </w:trPr>
        <w:tc>
          <w:tcPr>
            <w:tcW w:w="1254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(d)New Zealand (‘000)</w:t>
            </w:r>
          </w:p>
        </w:tc>
        <w:tc>
          <w:tcPr>
            <w:tcW w:w="663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2,829.8</w:t>
            </w:r>
          </w:p>
        </w:tc>
        <w:tc>
          <w:tcPr>
            <w:tcW w:w="663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3,108.9</w:t>
            </w:r>
          </w:p>
        </w:tc>
        <w:tc>
          <w:tcPr>
            <w:tcW w:w="783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color w:val="000000"/>
                <w:lang w:val="en-US"/>
              </w:rPr>
              <w:t>3,471.7</w:t>
            </w:r>
          </w:p>
        </w:tc>
        <w:tc>
          <w:tcPr>
            <w:tcW w:w="819" w:type="pct"/>
            <w:shd w:val="clear" w:color="000000" w:fill="F5F5F5"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color w:val="00B05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i/>
                <w:color w:val="00B050"/>
                <w:lang w:val="en-US"/>
              </w:rPr>
              <w:t>11.7%</w:t>
            </w:r>
          </w:p>
        </w:tc>
        <w:tc>
          <w:tcPr>
            <w:tcW w:w="818" w:type="pct"/>
            <w:shd w:val="clear" w:color="000000" w:fill="F5F5F5"/>
            <w:noWrap/>
            <w:vAlign w:val="bottom"/>
          </w:tcPr>
          <w:p w:rsidR="00943E03" w:rsidRPr="00943E03" w:rsidRDefault="00943E03" w:rsidP="00943E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color w:val="00B050"/>
                <w:lang w:val="en-US"/>
              </w:rPr>
            </w:pPr>
            <w:r w:rsidRPr="00943E03">
              <w:rPr>
                <w:rFonts w:ascii="Trebuchet MS" w:eastAsia="Times New Roman" w:hAnsi="Trebuchet MS" w:cs="Times New Roman"/>
                <w:i/>
                <w:color w:val="00B050"/>
                <w:lang w:val="en-US"/>
              </w:rPr>
              <w:t>10.8%</w:t>
            </w:r>
          </w:p>
        </w:tc>
      </w:tr>
    </w:tbl>
    <w:p w:rsidR="00943E03" w:rsidRPr="00943E03" w:rsidRDefault="00943E03" w:rsidP="00943E03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val="en-GB"/>
        </w:rPr>
      </w:pPr>
      <w:r w:rsidRPr="00943E03">
        <w:rPr>
          <w:rFonts w:ascii="Arial Narrow" w:eastAsia="Times New Roman" w:hAnsi="Arial Narrow" w:cs="Times New Roman"/>
          <w:sz w:val="20"/>
          <w:szCs w:val="20"/>
          <w:lang w:val="en-GB"/>
        </w:rPr>
        <w:t>Source: Oxford Economics</w:t>
      </w:r>
    </w:p>
    <w:p w:rsidR="00943E03" w:rsidRPr="002E0545" w:rsidRDefault="00943E03" w:rsidP="00943E03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</w:p>
    <w:sectPr w:rsidR="00943E03" w:rsidRPr="002E0545" w:rsidSect="003416EC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BB" w:rsidRDefault="00FC52BB">
      <w:pPr>
        <w:spacing w:after="0" w:line="240" w:lineRule="auto"/>
      </w:pPr>
      <w:r>
        <w:separator/>
      </w:r>
    </w:p>
  </w:endnote>
  <w:endnote w:type="continuationSeparator" w:id="0">
    <w:p w:rsidR="00FC52BB" w:rsidRDefault="00FC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EC" w:rsidRPr="00C0184E" w:rsidRDefault="00943E03" w:rsidP="003416EC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EC" w:rsidRDefault="00FC52BB">
    <w:pPr>
      <w:pStyle w:val="Footer"/>
      <w:jc w:val="right"/>
    </w:pPr>
  </w:p>
  <w:p w:rsidR="003416EC" w:rsidRDefault="00FC52B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BB" w:rsidRDefault="00FC52BB">
      <w:pPr>
        <w:spacing w:after="0" w:line="240" w:lineRule="auto"/>
      </w:pPr>
      <w:r>
        <w:separator/>
      </w:r>
    </w:p>
  </w:footnote>
  <w:footnote w:type="continuationSeparator" w:id="0">
    <w:p w:rsidR="00FC52BB" w:rsidRDefault="00FC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975EB"/>
    <w:multiLevelType w:val="hybridMultilevel"/>
    <w:tmpl w:val="FC029C42"/>
    <w:lvl w:ilvl="0" w:tplc="009843B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03"/>
    <w:rsid w:val="004C7911"/>
    <w:rsid w:val="00943E03"/>
    <w:rsid w:val="0098389B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0DDB2-DB07-4B26-8C33-FF496F7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43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E03"/>
  </w:style>
  <w:style w:type="paragraph" w:customStyle="1" w:styleId="HeaderFooter">
    <w:name w:val="Header &amp; Footer"/>
    <w:rsid w:val="00943E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2</cp:revision>
  <dcterms:created xsi:type="dcterms:W3CDTF">2017-06-21T09:39:00Z</dcterms:created>
  <dcterms:modified xsi:type="dcterms:W3CDTF">2017-06-22T15:19:00Z</dcterms:modified>
</cp:coreProperties>
</file>