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4037D4" w14:textId="77777777" w:rsidR="00E43A1C" w:rsidRPr="007E587B" w:rsidRDefault="00E43A1C" w:rsidP="00E43A1C">
      <w:pPr>
        <w:pBdr>
          <w:top w:val="nil"/>
          <w:left w:val="nil"/>
          <w:bottom w:val="nil"/>
          <w:right w:val="nil"/>
          <w:between w:val="nil"/>
          <w:bar w:val="nil"/>
        </w:pBdr>
        <w:spacing w:after="0" w:line="240" w:lineRule="auto"/>
        <w:rPr>
          <w:rFonts w:ascii="Arial" w:eastAsia="Arial Unicode MS" w:hAnsi="Arial Unicode MS" w:cs="Arial Unicode MS"/>
          <w:color w:val="000000"/>
          <w:u w:color="000000"/>
          <w:bdr w:val="nil"/>
          <w:lang w:val="en-GB" w:eastAsia="en-GB"/>
        </w:rPr>
      </w:pPr>
      <w:bookmarkStart w:id="0" w:name="_GoBack"/>
      <w:bookmarkEnd w:id="0"/>
    </w:p>
    <w:p w14:paraId="5CAA7836" w14:textId="77777777" w:rsidR="00E43A1C" w:rsidRPr="007E587B" w:rsidRDefault="00E43A1C" w:rsidP="00E43A1C">
      <w:pPr>
        <w:pBdr>
          <w:top w:val="nil"/>
          <w:left w:val="nil"/>
          <w:bottom w:val="nil"/>
          <w:right w:val="nil"/>
          <w:between w:val="nil"/>
          <w:bar w:val="nil"/>
        </w:pBdr>
        <w:spacing w:after="0" w:line="240" w:lineRule="auto"/>
        <w:ind w:left="720" w:hanging="720"/>
        <w:jc w:val="both"/>
        <w:rPr>
          <w:rFonts w:ascii="Arial Narrow" w:eastAsia="Arial Unicode MS" w:hAnsi="Arial Unicode MS" w:cs="Arial Unicode MS"/>
          <w:b/>
          <w:bCs/>
          <w:color w:val="000000"/>
          <w:sz w:val="24"/>
          <w:szCs w:val="24"/>
          <w:u w:color="000000"/>
          <w:bdr w:val="nil"/>
          <w:lang w:val="en-GB" w:eastAsia="en-GB"/>
        </w:rPr>
      </w:pPr>
    </w:p>
    <w:p w14:paraId="12D2924D" w14:textId="77777777" w:rsidR="00E43A1C" w:rsidRPr="007E587B" w:rsidRDefault="00E43A1C" w:rsidP="00E43A1C">
      <w:pPr>
        <w:pBdr>
          <w:top w:val="nil"/>
          <w:left w:val="nil"/>
          <w:bottom w:val="nil"/>
          <w:right w:val="nil"/>
          <w:between w:val="nil"/>
          <w:bar w:val="nil"/>
        </w:pBdr>
        <w:spacing w:after="0" w:line="240" w:lineRule="auto"/>
        <w:jc w:val="both"/>
        <w:rPr>
          <w:rFonts w:ascii="Arial Narrow" w:eastAsia="Arial Unicode MS" w:hAnsi="Arial Unicode MS" w:cs="Arial Unicode MS"/>
          <w:b/>
          <w:bCs/>
          <w:color w:val="000000"/>
          <w:sz w:val="24"/>
          <w:szCs w:val="24"/>
          <w:u w:color="000000"/>
          <w:bdr w:val="nil"/>
          <w:lang w:val="en-GB" w:eastAsia="en-GB"/>
        </w:rPr>
      </w:pPr>
    </w:p>
    <w:p w14:paraId="33434FEB" w14:textId="77777777" w:rsidR="00E43A1C" w:rsidRPr="007E587B" w:rsidRDefault="00E43A1C" w:rsidP="00E43A1C">
      <w:pPr>
        <w:pBdr>
          <w:top w:val="nil"/>
          <w:left w:val="nil"/>
          <w:bottom w:val="nil"/>
          <w:right w:val="nil"/>
          <w:between w:val="nil"/>
          <w:bar w:val="nil"/>
        </w:pBdr>
        <w:spacing w:after="0" w:line="240" w:lineRule="auto"/>
        <w:jc w:val="center"/>
        <w:rPr>
          <w:rFonts w:ascii="Arial Narrow" w:eastAsia="Arial Unicode MS" w:hAnsi="Arial Unicode MS" w:cs="Arial Unicode MS"/>
          <w:b/>
          <w:bCs/>
          <w:color w:val="000000"/>
          <w:sz w:val="24"/>
          <w:szCs w:val="24"/>
          <w:u w:color="000000"/>
          <w:bdr w:val="nil"/>
          <w:lang w:val="en-US" w:eastAsia="en-GB"/>
        </w:rPr>
      </w:pPr>
      <w:r w:rsidRPr="007E587B">
        <w:rPr>
          <w:rFonts w:ascii="Arial Narrow" w:eastAsia="Arial Unicode MS" w:hAnsi="Arial Unicode MS" w:cs="Arial Unicode MS"/>
          <w:b/>
          <w:bCs/>
          <w:noProof/>
          <w:color w:val="000000"/>
          <w:sz w:val="24"/>
          <w:szCs w:val="24"/>
          <w:u w:color="000000"/>
          <w:bdr w:val="nil"/>
          <w:lang w:eastAsia="en-ZA"/>
        </w:rPr>
        <w:drawing>
          <wp:inline distT="0" distB="0" distL="0" distR="0" wp14:anchorId="3B5420A6" wp14:editId="257563E3">
            <wp:extent cx="571500" cy="800100"/>
            <wp:effectExtent l="0" t="0" r="0" b="0"/>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7">
                      <a:extLst/>
                    </a:blip>
                    <a:stretch>
                      <a:fillRect/>
                    </a:stretch>
                  </pic:blipFill>
                  <pic:spPr>
                    <a:xfrm>
                      <a:off x="0" y="0"/>
                      <a:ext cx="571500" cy="800100"/>
                    </a:xfrm>
                    <a:prstGeom prst="rect">
                      <a:avLst/>
                    </a:prstGeom>
                    <a:ln w="12700" cap="flat">
                      <a:noFill/>
                      <a:miter lim="400000"/>
                    </a:ln>
                    <a:effectLst/>
                  </pic:spPr>
                </pic:pic>
              </a:graphicData>
            </a:graphic>
          </wp:inline>
        </w:drawing>
      </w:r>
    </w:p>
    <w:p w14:paraId="385DA9D6" w14:textId="77777777" w:rsidR="00E43A1C" w:rsidRPr="007E587B" w:rsidRDefault="00E43A1C" w:rsidP="00E43A1C">
      <w:pPr>
        <w:pBdr>
          <w:top w:val="nil"/>
          <w:left w:val="nil"/>
          <w:bottom w:val="nil"/>
          <w:right w:val="nil"/>
          <w:between w:val="nil"/>
          <w:bar w:val="nil"/>
        </w:pBdr>
        <w:spacing w:after="0" w:line="240" w:lineRule="auto"/>
        <w:rPr>
          <w:rFonts w:ascii="Arial" w:eastAsia="Arial Unicode MS" w:hAnsi="Arial Unicode MS" w:cs="Arial Unicode MS"/>
          <w:b/>
          <w:bCs/>
          <w:color w:val="000000"/>
          <w:sz w:val="20"/>
          <w:szCs w:val="20"/>
          <w:u w:color="000000"/>
          <w:bdr w:val="nil"/>
          <w:lang w:val="en-US" w:eastAsia="en-GB"/>
        </w:rPr>
      </w:pPr>
    </w:p>
    <w:p w14:paraId="7C494ACF" w14:textId="77777777" w:rsidR="00E43A1C" w:rsidRPr="007E587B" w:rsidRDefault="00E43A1C" w:rsidP="00E43A1C">
      <w:pPr>
        <w:pBdr>
          <w:top w:val="nil"/>
          <w:left w:val="nil"/>
          <w:bottom w:val="nil"/>
          <w:right w:val="nil"/>
          <w:between w:val="nil"/>
          <w:bar w:val="nil"/>
        </w:pBdr>
        <w:spacing w:after="0" w:line="240" w:lineRule="auto"/>
        <w:ind w:right="4"/>
        <w:jc w:val="center"/>
        <w:rPr>
          <w:rFonts w:ascii="Arial" w:eastAsia="Arial Unicode MS" w:hAnsi="Arial Unicode MS" w:cs="Arial Unicode MS"/>
          <w:b/>
          <w:bCs/>
          <w:color w:val="003300"/>
          <w:sz w:val="20"/>
          <w:szCs w:val="20"/>
          <w:u w:color="003300"/>
          <w:bdr w:val="nil"/>
          <w:lang w:val="en-US" w:eastAsia="en-GB"/>
        </w:rPr>
      </w:pPr>
      <w:r w:rsidRPr="007E587B">
        <w:rPr>
          <w:rFonts w:ascii="Arial" w:eastAsia="Arial Unicode MS" w:hAnsi="Arial Unicode MS" w:cs="Arial Unicode MS"/>
          <w:b/>
          <w:bCs/>
          <w:color w:val="003300"/>
          <w:sz w:val="20"/>
          <w:szCs w:val="20"/>
          <w:u w:color="003300"/>
          <w:bdr w:val="nil"/>
          <w:lang w:val="en-US" w:eastAsia="en-GB"/>
        </w:rPr>
        <w:t>MINISTRY OF TOURISM</w:t>
      </w:r>
    </w:p>
    <w:p w14:paraId="22C7DFC3" w14:textId="77777777" w:rsidR="00E43A1C" w:rsidRPr="007E587B" w:rsidRDefault="00E43A1C" w:rsidP="00E43A1C">
      <w:pPr>
        <w:pBdr>
          <w:top w:val="nil"/>
          <w:left w:val="nil"/>
          <w:bottom w:val="nil"/>
          <w:right w:val="nil"/>
          <w:between w:val="nil"/>
          <w:bar w:val="nil"/>
        </w:pBdr>
        <w:spacing w:after="0" w:line="240" w:lineRule="auto"/>
        <w:ind w:right="4"/>
        <w:jc w:val="center"/>
        <w:rPr>
          <w:rFonts w:ascii="Arial" w:eastAsia="Arial Unicode MS" w:hAnsi="Arial Unicode MS" w:cs="Arial Unicode MS"/>
          <w:b/>
          <w:bCs/>
          <w:color w:val="003300"/>
          <w:sz w:val="20"/>
          <w:szCs w:val="20"/>
          <w:u w:color="003300"/>
          <w:bdr w:val="nil"/>
          <w:lang w:val="en-US" w:eastAsia="en-GB"/>
        </w:rPr>
      </w:pPr>
      <w:r w:rsidRPr="007E587B">
        <w:rPr>
          <w:rFonts w:ascii="Arial" w:eastAsia="Arial Unicode MS" w:hAnsi="Arial Unicode MS" w:cs="Arial Unicode MS"/>
          <w:b/>
          <w:bCs/>
          <w:color w:val="003300"/>
          <w:sz w:val="20"/>
          <w:szCs w:val="20"/>
          <w:u w:color="003300"/>
          <w:bdr w:val="nil"/>
          <w:lang w:val="en-US" w:eastAsia="en-GB"/>
        </w:rPr>
        <w:t>REPUBLIC OF SOUTH AFRICA</w:t>
      </w:r>
    </w:p>
    <w:p w14:paraId="68DFF95B" w14:textId="77777777" w:rsidR="00E43A1C" w:rsidRPr="007E587B" w:rsidRDefault="00E43A1C" w:rsidP="00E43A1C">
      <w:pPr>
        <w:pBdr>
          <w:top w:val="nil"/>
          <w:left w:val="nil"/>
          <w:bottom w:val="nil"/>
          <w:right w:val="nil"/>
          <w:between w:val="nil"/>
          <w:bar w:val="nil"/>
        </w:pBdr>
        <w:spacing w:after="0" w:line="240" w:lineRule="auto"/>
        <w:ind w:right="4"/>
        <w:jc w:val="center"/>
        <w:rPr>
          <w:rFonts w:ascii="Arial" w:eastAsia="Arial Unicode MS" w:hAnsi="Arial Unicode MS" w:cs="Arial Unicode MS"/>
          <w:b/>
          <w:bCs/>
          <w:color w:val="000000"/>
          <w:sz w:val="16"/>
          <w:szCs w:val="16"/>
          <w:u w:color="000000"/>
          <w:bdr w:val="nil"/>
          <w:lang w:val="en-US" w:eastAsia="en-GB"/>
        </w:rPr>
      </w:pPr>
    </w:p>
    <w:p w14:paraId="736DF6C4" w14:textId="77777777" w:rsidR="00E43A1C" w:rsidRPr="007E587B" w:rsidRDefault="00E43A1C" w:rsidP="00E43A1C">
      <w:pPr>
        <w:pBdr>
          <w:top w:val="nil"/>
          <w:left w:val="nil"/>
          <w:bottom w:val="nil"/>
          <w:right w:val="nil"/>
          <w:between w:val="nil"/>
          <w:bar w:val="nil"/>
        </w:pBdr>
        <w:spacing w:after="0" w:line="240" w:lineRule="auto"/>
        <w:ind w:right="4"/>
        <w:jc w:val="center"/>
        <w:rPr>
          <w:rFonts w:ascii="Arial" w:eastAsia="Arial Unicode MS" w:hAnsi="Arial Unicode MS" w:cs="Arial Unicode MS"/>
          <w:color w:val="000000"/>
          <w:sz w:val="16"/>
          <w:szCs w:val="16"/>
          <w:u w:color="000000"/>
          <w:bdr w:val="nil"/>
          <w:lang w:val="en-US" w:eastAsia="en-GB"/>
        </w:rPr>
      </w:pPr>
      <w:r w:rsidRPr="007E587B">
        <w:rPr>
          <w:rFonts w:ascii="Arial" w:eastAsia="Arial Unicode MS" w:hAnsi="Arial Unicode MS" w:cs="Arial Unicode MS"/>
          <w:color w:val="000000"/>
          <w:sz w:val="16"/>
          <w:szCs w:val="16"/>
          <w:u w:color="000000"/>
          <w:bdr w:val="nil"/>
          <w:lang w:val="en-US" w:eastAsia="en-GB"/>
        </w:rPr>
        <w:t>Private Bag X424, Pretoria, 0001, South Africa. Tel. (+27 12) 444 6780, Fax (+27 12) 444 7027</w:t>
      </w:r>
    </w:p>
    <w:p w14:paraId="5CA0ADD2" w14:textId="77777777" w:rsidR="00E43A1C" w:rsidRPr="007E587B" w:rsidRDefault="00E43A1C" w:rsidP="00E43A1C">
      <w:pPr>
        <w:pBdr>
          <w:top w:val="nil"/>
          <w:left w:val="nil"/>
          <w:bottom w:val="nil"/>
          <w:right w:val="nil"/>
          <w:between w:val="nil"/>
          <w:bar w:val="nil"/>
        </w:pBdr>
        <w:spacing w:after="0" w:line="240" w:lineRule="auto"/>
        <w:ind w:right="4"/>
        <w:jc w:val="center"/>
        <w:rPr>
          <w:rFonts w:ascii="Arial" w:eastAsia="Arial Unicode MS" w:hAnsi="Arial Unicode MS" w:cs="Arial Unicode MS"/>
          <w:color w:val="000000"/>
          <w:sz w:val="16"/>
          <w:szCs w:val="16"/>
          <w:u w:color="000000"/>
          <w:bdr w:val="nil"/>
          <w:lang w:val="en-US" w:eastAsia="en-GB"/>
        </w:rPr>
      </w:pPr>
      <w:r w:rsidRPr="007E587B">
        <w:rPr>
          <w:rFonts w:ascii="Arial" w:eastAsia="Arial Unicode MS" w:hAnsi="Arial Unicode MS" w:cs="Arial Unicode MS"/>
          <w:color w:val="000000"/>
          <w:sz w:val="16"/>
          <w:szCs w:val="16"/>
          <w:u w:color="000000"/>
          <w:bdr w:val="nil"/>
          <w:lang w:val="en-US" w:eastAsia="en-GB"/>
        </w:rPr>
        <w:t>Private Bag X9154, Cape Town, 8000, South Africa. Tel. (+27 21) 469 5800, Fax: (+27 21) 465 3216</w:t>
      </w:r>
    </w:p>
    <w:p w14:paraId="1B392B6E" w14:textId="77777777" w:rsidR="00E43A1C" w:rsidRPr="007E587B" w:rsidRDefault="00E43A1C" w:rsidP="00E43A1C">
      <w:pPr>
        <w:pBdr>
          <w:top w:val="nil"/>
          <w:left w:val="nil"/>
          <w:bottom w:val="nil"/>
          <w:right w:val="nil"/>
          <w:between w:val="nil"/>
          <w:bar w:val="nil"/>
        </w:pBdr>
        <w:spacing w:after="0" w:line="240" w:lineRule="auto"/>
        <w:ind w:right="4"/>
        <w:rPr>
          <w:rFonts w:ascii="Arial Narrow" w:eastAsia="Arial Narrow" w:hAnsi="Arial Narrow" w:cs="Arial Narrow"/>
          <w:color w:val="000000"/>
          <w:sz w:val="24"/>
          <w:szCs w:val="24"/>
          <w:u w:color="000000"/>
          <w:bdr w:val="nil"/>
          <w:lang w:val="en-US" w:eastAsia="en-GB"/>
        </w:rPr>
      </w:pPr>
    </w:p>
    <w:p w14:paraId="7B43E224" w14:textId="77777777" w:rsidR="00E43A1C" w:rsidRPr="007E587B" w:rsidRDefault="00E43A1C" w:rsidP="00E43A1C">
      <w:pPr>
        <w:pBdr>
          <w:top w:val="nil"/>
          <w:left w:val="nil"/>
          <w:bottom w:val="nil"/>
          <w:right w:val="nil"/>
          <w:between w:val="nil"/>
          <w:bar w:val="nil"/>
        </w:pBdr>
        <w:spacing w:after="0" w:line="240" w:lineRule="auto"/>
        <w:ind w:right="4"/>
        <w:rPr>
          <w:rFonts w:ascii="Arial" w:eastAsia="Arial Unicode MS" w:hAnsi="Arial Unicode MS" w:cs="Arial Unicode MS"/>
          <w:color w:val="000000"/>
          <w:sz w:val="20"/>
          <w:szCs w:val="20"/>
          <w:u w:color="000000"/>
          <w:bdr w:val="nil"/>
          <w:lang w:val="en-US" w:eastAsia="en-GB"/>
        </w:rPr>
      </w:pPr>
      <w:r w:rsidRPr="007E587B">
        <w:rPr>
          <w:rFonts w:ascii="Arial" w:eastAsia="Arial Unicode MS" w:hAnsi="Arial Unicode MS" w:cs="Arial Unicode MS"/>
          <w:color w:val="000000"/>
          <w:sz w:val="20"/>
          <w:szCs w:val="20"/>
          <w:u w:color="000000"/>
          <w:bdr w:val="nil"/>
          <w:lang w:val="en-US" w:eastAsia="en-GB"/>
        </w:rPr>
        <w:t>Ref: TM 2/1/1/10</w:t>
      </w:r>
    </w:p>
    <w:p w14:paraId="76476E58" w14:textId="77777777" w:rsidR="00E43A1C" w:rsidRPr="007E587B" w:rsidRDefault="00E43A1C" w:rsidP="00E43A1C">
      <w:pPr>
        <w:pBdr>
          <w:top w:val="nil"/>
          <w:left w:val="nil"/>
          <w:bottom w:val="nil"/>
          <w:right w:val="nil"/>
          <w:between w:val="nil"/>
          <w:bar w:val="nil"/>
        </w:pBdr>
        <w:spacing w:after="0" w:line="240" w:lineRule="auto"/>
        <w:rPr>
          <w:rFonts w:ascii="Arial" w:eastAsia="Arial Unicode MS" w:hAnsi="Arial Unicode MS" w:cs="Arial Unicode MS"/>
          <w:b/>
          <w:bCs/>
          <w:color w:val="000000"/>
          <w:sz w:val="20"/>
          <w:szCs w:val="20"/>
          <w:u w:val="single" w:color="000000"/>
          <w:bdr w:val="nil"/>
          <w:lang w:val="en-GB" w:eastAsia="en-GB"/>
        </w:rPr>
      </w:pPr>
    </w:p>
    <w:p w14:paraId="2D611C22" w14:textId="77777777" w:rsidR="00E43A1C" w:rsidRPr="007E587B" w:rsidRDefault="00E43A1C" w:rsidP="00E43A1C">
      <w:pPr>
        <w:pBdr>
          <w:top w:val="nil"/>
          <w:left w:val="nil"/>
          <w:bottom w:val="nil"/>
          <w:right w:val="nil"/>
          <w:between w:val="nil"/>
          <w:bar w:val="nil"/>
        </w:pBdr>
        <w:spacing w:after="0" w:line="240" w:lineRule="auto"/>
        <w:rPr>
          <w:rFonts w:ascii="Arial" w:eastAsia="Arial Unicode MS" w:hAnsi="Arial Unicode MS" w:cs="Arial Unicode MS"/>
          <w:b/>
          <w:bCs/>
          <w:color w:val="000000"/>
          <w:u w:val="single" w:color="000000"/>
          <w:bdr w:val="nil"/>
          <w:lang w:val="en-GB" w:eastAsia="en-GB"/>
        </w:rPr>
      </w:pPr>
      <w:r w:rsidRPr="007E587B">
        <w:rPr>
          <w:rFonts w:ascii="Arial" w:eastAsia="Arial Unicode MS" w:hAnsi="Arial Unicode MS" w:cs="Arial Unicode MS"/>
          <w:b/>
          <w:bCs/>
          <w:color w:val="000000"/>
          <w:u w:val="single" w:color="000000"/>
          <w:bdr w:val="nil"/>
          <w:lang w:val="en-GB" w:eastAsia="en-GB"/>
        </w:rPr>
        <w:t>NATIONAL ASSEMBLY:</w:t>
      </w:r>
    </w:p>
    <w:p w14:paraId="01810911" w14:textId="77777777" w:rsidR="00E43A1C" w:rsidRDefault="00E43A1C" w:rsidP="00E43A1C">
      <w:pPr>
        <w:pBdr>
          <w:top w:val="nil"/>
          <w:left w:val="nil"/>
          <w:bottom w:val="nil"/>
          <w:right w:val="nil"/>
          <w:between w:val="nil"/>
          <w:bar w:val="nil"/>
        </w:pBdr>
        <w:spacing w:after="0" w:line="240" w:lineRule="auto"/>
        <w:jc w:val="both"/>
        <w:rPr>
          <w:rFonts w:ascii="Arial" w:eastAsia="Arial Unicode MS" w:hAnsi="Arial Unicode MS" w:cs="Arial Unicode MS"/>
          <w:b/>
          <w:bCs/>
          <w:color w:val="000000"/>
          <w:u w:color="000000"/>
          <w:bdr w:val="nil"/>
          <w:lang w:val="en-GB" w:eastAsia="en-GB"/>
        </w:rPr>
      </w:pPr>
    </w:p>
    <w:p w14:paraId="4E4573F1" w14:textId="77777777" w:rsidR="00E43A1C" w:rsidRDefault="00E43A1C" w:rsidP="00E43A1C">
      <w:pPr>
        <w:spacing w:line="360" w:lineRule="auto"/>
        <w:ind w:left="1418" w:hanging="709"/>
        <w:rPr>
          <w:rFonts w:ascii="Arial Narrow" w:hAnsi="Arial Narrow" w:cs="Arial"/>
          <w:b/>
          <w:sz w:val="24"/>
          <w:szCs w:val="24"/>
        </w:rPr>
      </w:pPr>
      <w:r>
        <w:rPr>
          <w:rFonts w:ascii="Arial Narrow" w:hAnsi="Arial Narrow"/>
          <w:b/>
          <w:bCs/>
          <w:sz w:val="24"/>
          <w:szCs w:val="24"/>
        </w:rPr>
        <w:t>QUESTION FOR WRITTEN REPLY:</w:t>
      </w:r>
    </w:p>
    <w:p w14:paraId="597DC92E" w14:textId="77777777" w:rsidR="00E43A1C" w:rsidRDefault="00E43A1C" w:rsidP="00E43A1C">
      <w:pPr>
        <w:spacing w:line="360" w:lineRule="auto"/>
        <w:ind w:left="1418" w:hanging="709"/>
        <w:rPr>
          <w:rFonts w:ascii="Arial Narrow" w:hAnsi="Arial Narrow" w:cs="Times New Roman"/>
          <w:b/>
          <w:bCs/>
          <w:sz w:val="24"/>
          <w:szCs w:val="24"/>
        </w:rPr>
      </w:pPr>
      <w:r>
        <w:rPr>
          <w:rFonts w:ascii="Arial Narrow" w:hAnsi="Arial Narrow"/>
          <w:b/>
          <w:bCs/>
          <w:sz w:val="24"/>
          <w:szCs w:val="24"/>
        </w:rPr>
        <w:t>Question Number:</w:t>
      </w:r>
      <w:r>
        <w:rPr>
          <w:rFonts w:ascii="Arial Narrow" w:hAnsi="Arial Narrow"/>
          <w:b/>
          <w:bCs/>
          <w:sz w:val="24"/>
          <w:szCs w:val="24"/>
        </w:rPr>
        <w:tab/>
        <w:t xml:space="preserve">   </w:t>
      </w:r>
      <w:r w:rsidR="003A3058">
        <w:rPr>
          <w:rFonts w:ascii="Arial Narrow" w:hAnsi="Arial Narrow"/>
          <w:b/>
          <w:bCs/>
          <w:sz w:val="24"/>
          <w:szCs w:val="24"/>
        </w:rPr>
        <w:tab/>
      </w:r>
      <w:r>
        <w:rPr>
          <w:rFonts w:ascii="Arial Narrow" w:hAnsi="Arial Narrow"/>
          <w:b/>
          <w:bCs/>
          <w:sz w:val="24"/>
          <w:szCs w:val="24"/>
        </w:rPr>
        <w:t>1400</w:t>
      </w:r>
    </w:p>
    <w:p w14:paraId="499BCCD7" w14:textId="77777777" w:rsidR="00E43A1C" w:rsidRDefault="00E43A1C" w:rsidP="00E43A1C">
      <w:pPr>
        <w:spacing w:line="360" w:lineRule="auto"/>
        <w:ind w:left="1418" w:hanging="709"/>
        <w:rPr>
          <w:rFonts w:ascii="Arial Narrow" w:hAnsi="Arial Narrow"/>
          <w:b/>
          <w:bCs/>
          <w:sz w:val="24"/>
          <w:szCs w:val="24"/>
        </w:rPr>
      </w:pPr>
      <w:r>
        <w:rPr>
          <w:rFonts w:ascii="Arial Narrow" w:hAnsi="Arial Narrow"/>
          <w:b/>
          <w:bCs/>
          <w:sz w:val="24"/>
          <w:szCs w:val="24"/>
        </w:rPr>
        <w:t xml:space="preserve">Date of Publication: </w:t>
      </w:r>
      <w:r>
        <w:rPr>
          <w:rFonts w:ascii="Arial Narrow" w:hAnsi="Arial Narrow"/>
          <w:b/>
          <w:bCs/>
          <w:sz w:val="24"/>
          <w:szCs w:val="24"/>
        </w:rPr>
        <w:tab/>
      </w:r>
      <w:r w:rsidR="003A3058">
        <w:rPr>
          <w:rFonts w:ascii="Arial Narrow" w:hAnsi="Arial Narrow"/>
          <w:b/>
          <w:bCs/>
          <w:sz w:val="24"/>
          <w:szCs w:val="24"/>
        </w:rPr>
        <w:tab/>
      </w:r>
      <w:r>
        <w:rPr>
          <w:rFonts w:ascii="Arial Narrow" w:hAnsi="Arial Narrow"/>
          <w:b/>
          <w:bCs/>
          <w:sz w:val="24"/>
          <w:szCs w:val="24"/>
        </w:rPr>
        <w:t>26 May 2017</w:t>
      </w:r>
    </w:p>
    <w:p w14:paraId="790E39DB" w14:textId="77777777" w:rsidR="00E43A1C" w:rsidRDefault="00E43A1C" w:rsidP="00E43A1C">
      <w:pPr>
        <w:spacing w:line="360" w:lineRule="auto"/>
        <w:ind w:left="1418" w:hanging="709"/>
        <w:rPr>
          <w:rFonts w:ascii="Arial Narrow" w:hAnsi="Arial Narrow"/>
          <w:b/>
          <w:bCs/>
          <w:sz w:val="24"/>
          <w:szCs w:val="24"/>
        </w:rPr>
      </w:pPr>
      <w:r>
        <w:rPr>
          <w:rFonts w:ascii="Arial Narrow" w:hAnsi="Arial Narrow"/>
          <w:b/>
          <w:bCs/>
          <w:sz w:val="24"/>
          <w:szCs w:val="24"/>
        </w:rPr>
        <w:t>NA IQP Number:</w:t>
      </w:r>
      <w:r>
        <w:rPr>
          <w:rFonts w:ascii="Arial Narrow" w:hAnsi="Arial Narrow"/>
          <w:b/>
          <w:bCs/>
          <w:sz w:val="24"/>
          <w:szCs w:val="24"/>
        </w:rPr>
        <w:tab/>
      </w:r>
      <w:r w:rsidR="003A3058">
        <w:rPr>
          <w:rFonts w:ascii="Arial Narrow" w:hAnsi="Arial Narrow"/>
          <w:b/>
          <w:bCs/>
          <w:sz w:val="24"/>
          <w:szCs w:val="24"/>
        </w:rPr>
        <w:tab/>
      </w:r>
      <w:r>
        <w:rPr>
          <w:rFonts w:ascii="Arial Narrow" w:hAnsi="Arial Narrow"/>
          <w:b/>
          <w:bCs/>
          <w:sz w:val="24"/>
          <w:szCs w:val="24"/>
        </w:rPr>
        <w:t>18</w:t>
      </w:r>
    </w:p>
    <w:p w14:paraId="31CE7A06" w14:textId="77777777" w:rsidR="00E43A1C" w:rsidRDefault="00E43A1C" w:rsidP="00E43A1C">
      <w:pPr>
        <w:spacing w:line="360" w:lineRule="auto"/>
        <w:ind w:left="1418" w:hanging="709"/>
        <w:rPr>
          <w:rFonts w:ascii="Arial Narrow" w:hAnsi="Arial Narrow"/>
          <w:b/>
          <w:bCs/>
          <w:sz w:val="24"/>
          <w:szCs w:val="24"/>
        </w:rPr>
      </w:pPr>
      <w:r>
        <w:rPr>
          <w:rFonts w:ascii="Arial Narrow" w:hAnsi="Arial Narrow"/>
          <w:b/>
          <w:bCs/>
          <w:sz w:val="24"/>
          <w:szCs w:val="24"/>
        </w:rPr>
        <w:t>Date of reply:</w:t>
      </w:r>
      <w:r>
        <w:rPr>
          <w:rFonts w:ascii="Arial Narrow" w:hAnsi="Arial Narrow"/>
          <w:b/>
          <w:bCs/>
          <w:sz w:val="24"/>
          <w:szCs w:val="24"/>
        </w:rPr>
        <w:tab/>
      </w:r>
      <w:r w:rsidR="003A3058">
        <w:rPr>
          <w:rFonts w:ascii="Arial Narrow" w:hAnsi="Arial Narrow"/>
          <w:b/>
          <w:bCs/>
          <w:sz w:val="24"/>
          <w:szCs w:val="24"/>
        </w:rPr>
        <w:tab/>
      </w:r>
      <w:r w:rsidR="003A3058">
        <w:rPr>
          <w:rFonts w:ascii="Arial Narrow" w:hAnsi="Arial Narrow"/>
          <w:b/>
          <w:bCs/>
          <w:sz w:val="24"/>
          <w:szCs w:val="24"/>
        </w:rPr>
        <w:tab/>
        <w:t xml:space="preserve">7 July 2017 </w:t>
      </w:r>
    </w:p>
    <w:p w14:paraId="592C0E92" w14:textId="77777777" w:rsidR="00E43A1C" w:rsidRDefault="00E43A1C" w:rsidP="00E43A1C">
      <w:pPr>
        <w:spacing w:line="360" w:lineRule="auto"/>
        <w:ind w:left="1418" w:hanging="709"/>
        <w:rPr>
          <w:rFonts w:ascii="Arial Narrow" w:hAnsi="Arial Narrow"/>
          <w:b/>
          <w:bCs/>
          <w:sz w:val="24"/>
          <w:szCs w:val="24"/>
        </w:rPr>
      </w:pPr>
    </w:p>
    <w:p w14:paraId="0A37E171" w14:textId="77777777" w:rsidR="00E43A1C" w:rsidRDefault="00E43A1C" w:rsidP="00E43A1C">
      <w:pPr>
        <w:spacing w:line="360" w:lineRule="auto"/>
        <w:ind w:left="709" w:hanging="709"/>
        <w:rPr>
          <w:rFonts w:ascii="Arial Narrow" w:hAnsi="Arial Narrow"/>
          <w:b/>
          <w:sz w:val="24"/>
          <w:szCs w:val="24"/>
        </w:rPr>
      </w:pPr>
      <w:r>
        <w:rPr>
          <w:rFonts w:ascii="Arial Narrow" w:hAnsi="Arial Narrow"/>
          <w:b/>
          <w:sz w:val="24"/>
          <w:szCs w:val="24"/>
        </w:rPr>
        <w:tab/>
        <w:t xml:space="preserve">Mr G R </w:t>
      </w:r>
      <w:proofErr w:type="spellStart"/>
      <w:r>
        <w:rPr>
          <w:rFonts w:ascii="Arial Narrow" w:hAnsi="Arial Narrow"/>
          <w:b/>
          <w:sz w:val="24"/>
          <w:szCs w:val="24"/>
        </w:rPr>
        <w:t>Krumbock</w:t>
      </w:r>
      <w:proofErr w:type="spellEnd"/>
      <w:r>
        <w:rPr>
          <w:rFonts w:ascii="Arial Narrow" w:hAnsi="Arial Narrow"/>
          <w:b/>
          <w:sz w:val="24"/>
          <w:szCs w:val="24"/>
        </w:rPr>
        <w:t xml:space="preserve"> (DA) to ask the Minister of Tourism:</w:t>
      </w:r>
    </w:p>
    <w:p w14:paraId="1CD05CD5" w14:textId="77777777" w:rsidR="00E43A1C" w:rsidRDefault="00E43A1C" w:rsidP="00E43A1C">
      <w:pPr>
        <w:spacing w:line="360" w:lineRule="auto"/>
        <w:ind w:left="709" w:hanging="709"/>
        <w:rPr>
          <w:rFonts w:ascii="Arial Narrow" w:hAnsi="Arial Narrow"/>
          <w:b/>
          <w:sz w:val="24"/>
          <w:szCs w:val="24"/>
        </w:rPr>
      </w:pPr>
    </w:p>
    <w:p w14:paraId="00861460" w14:textId="77777777" w:rsidR="00E43A1C" w:rsidRDefault="00E43A1C" w:rsidP="00E43A1C">
      <w:pPr>
        <w:spacing w:line="360" w:lineRule="auto"/>
        <w:ind w:left="709" w:hanging="709"/>
        <w:jc w:val="both"/>
        <w:outlineLvl w:val="0"/>
        <w:rPr>
          <w:rFonts w:ascii="Arial Narrow" w:hAnsi="Arial Narrow"/>
          <w:sz w:val="24"/>
          <w:szCs w:val="24"/>
        </w:rPr>
      </w:pPr>
      <w:r>
        <w:rPr>
          <w:rFonts w:ascii="Arial Narrow" w:hAnsi="Arial Narrow"/>
          <w:sz w:val="24"/>
          <w:szCs w:val="24"/>
        </w:rPr>
        <w:tab/>
      </w:r>
      <w:proofErr w:type="gramStart"/>
      <w:r>
        <w:rPr>
          <w:rFonts w:ascii="Arial Narrow" w:hAnsi="Arial Narrow"/>
          <w:sz w:val="24"/>
          <w:szCs w:val="24"/>
        </w:rPr>
        <w:t>(a) What percentage of small, medium and micro enterprise bed and breakfast establishments are currently owned by black entrepreneurs, (b) how is the percentage expected to change by the end of the (</w:t>
      </w:r>
      <w:proofErr w:type="spellStart"/>
      <w:r>
        <w:rPr>
          <w:rFonts w:ascii="Arial Narrow" w:hAnsi="Arial Narrow"/>
          <w:sz w:val="24"/>
          <w:szCs w:val="24"/>
        </w:rPr>
        <w:t>i</w:t>
      </w:r>
      <w:proofErr w:type="spellEnd"/>
      <w:r>
        <w:rPr>
          <w:rFonts w:ascii="Arial Narrow" w:hAnsi="Arial Narrow"/>
          <w:sz w:val="24"/>
          <w:szCs w:val="24"/>
        </w:rPr>
        <w:t xml:space="preserve">) 2017-18, (ii) 2018-19 and (iii) 2019-20 financial years and (c) what amounts has her department </w:t>
      </w:r>
      <w:r>
        <w:rPr>
          <w:rFonts w:ascii="Arial Narrow" w:hAnsi="Arial Narrow"/>
          <w:sz w:val="24"/>
          <w:szCs w:val="24"/>
          <w:lang w:val="af-ZA"/>
        </w:rPr>
        <w:t>allocated</w:t>
      </w:r>
      <w:r>
        <w:rPr>
          <w:rFonts w:ascii="Arial Narrow" w:hAnsi="Arial Narrow"/>
          <w:sz w:val="24"/>
          <w:szCs w:val="24"/>
        </w:rPr>
        <w:t xml:space="preserve"> in the 2017-18 to 2019-20 medium term expenditure framework to accelerate transformation in this segment of the industry?</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proofErr w:type="gramEnd"/>
      <w:r>
        <w:rPr>
          <w:rFonts w:ascii="Arial Narrow" w:hAnsi="Arial Narrow"/>
          <w:sz w:val="24"/>
          <w:szCs w:val="24"/>
        </w:rPr>
        <w:t xml:space="preserve">                                                             </w:t>
      </w:r>
      <w:r>
        <w:rPr>
          <w:rFonts w:ascii="Arial Narrow" w:hAnsi="Arial Narrow"/>
        </w:rPr>
        <w:t>NW1542E</w:t>
      </w:r>
    </w:p>
    <w:p w14:paraId="32C854CF" w14:textId="77777777" w:rsidR="00E43A1C" w:rsidRDefault="00E43A1C" w:rsidP="00E43A1C">
      <w:pPr>
        <w:ind w:left="709" w:hanging="709"/>
        <w:rPr>
          <w:rFonts w:ascii="Arial Narrow" w:hAnsi="Arial Narrow"/>
          <w:sz w:val="24"/>
          <w:szCs w:val="24"/>
        </w:rPr>
      </w:pPr>
    </w:p>
    <w:p w14:paraId="4A6A49F0" w14:textId="77777777" w:rsidR="00E43A1C" w:rsidRDefault="00E43A1C" w:rsidP="00E43A1C">
      <w:pPr>
        <w:pStyle w:val="ListParagraph"/>
        <w:ind w:left="709" w:hanging="709"/>
        <w:rPr>
          <w:rFonts w:ascii="Arial Narrow" w:hAnsi="Arial Narrow"/>
          <w:b/>
          <w:sz w:val="24"/>
          <w:szCs w:val="24"/>
        </w:rPr>
      </w:pPr>
      <w:r>
        <w:rPr>
          <w:rFonts w:ascii="Arial Narrow" w:hAnsi="Arial Narrow"/>
          <w:b/>
          <w:sz w:val="24"/>
          <w:szCs w:val="24"/>
        </w:rPr>
        <w:tab/>
        <w:t>Reply</w:t>
      </w:r>
    </w:p>
    <w:p w14:paraId="6AA35F21" w14:textId="77777777" w:rsidR="00E43A1C" w:rsidRDefault="00E43A1C" w:rsidP="00E43A1C">
      <w:pPr>
        <w:pStyle w:val="ListParagraph"/>
        <w:ind w:left="709" w:hanging="709"/>
        <w:rPr>
          <w:rFonts w:ascii="Arial Narrow" w:hAnsi="Arial Narrow"/>
          <w:b/>
          <w:sz w:val="24"/>
          <w:szCs w:val="24"/>
        </w:rPr>
      </w:pPr>
    </w:p>
    <w:p w14:paraId="18855C8B" w14:textId="77777777" w:rsidR="00E43A1C" w:rsidRDefault="00E43A1C" w:rsidP="00E43A1C">
      <w:pPr>
        <w:pStyle w:val="ListParagraph"/>
        <w:ind w:left="709" w:hanging="709"/>
        <w:rPr>
          <w:rFonts w:ascii="Arial Narrow" w:hAnsi="Arial Narrow"/>
        </w:rPr>
      </w:pPr>
    </w:p>
    <w:p w14:paraId="4F3BF505" w14:textId="77777777" w:rsidR="00E43A1C" w:rsidRDefault="00E43A1C" w:rsidP="00E43A1C">
      <w:pPr>
        <w:pStyle w:val="ListParagraph"/>
        <w:numPr>
          <w:ilvl w:val="0"/>
          <w:numId w:val="1"/>
        </w:numPr>
        <w:spacing w:line="360" w:lineRule="auto"/>
        <w:ind w:left="709" w:hanging="709"/>
        <w:jc w:val="both"/>
        <w:rPr>
          <w:rFonts w:ascii="Arial Narrow" w:hAnsi="Arial Narrow"/>
          <w:sz w:val="24"/>
          <w:szCs w:val="24"/>
        </w:rPr>
      </w:pPr>
      <w:r>
        <w:rPr>
          <w:rFonts w:ascii="Arial Narrow" w:hAnsi="Arial Narrow"/>
          <w:sz w:val="24"/>
          <w:szCs w:val="24"/>
        </w:rPr>
        <w:t xml:space="preserve">The total number of Bed and Breakfast (B&amp;B) establishments in the country is currently unknown and so is the demographic information about them. However, through the grading system, 884 B&amp;B establishments </w:t>
      </w:r>
      <w:proofErr w:type="gramStart"/>
      <w:r>
        <w:rPr>
          <w:rFonts w:ascii="Arial Narrow" w:hAnsi="Arial Narrow"/>
          <w:sz w:val="24"/>
          <w:szCs w:val="24"/>
        </w:rPr>
        <w:t>were graded</w:t>
      </w:r>
      <w:proofErr w:type="gramEnd"/>
      <w:r>
        <w:rPr>
          <w:rFonts w:ascii="Arial Narrow" w:hAnsi="Arial Narrow"/>
          <w:sz w:val="24"/>
          <w:szCs w:val="24"/>
        </w:rPr>
        <w:t xml:space="preserve"> as of 31 May 2017. Furthermore, updates of the National Tourism Database, which currently relies on voluntary updates by establishments, indicates that an additional 29 B&amp;B </w:t>
      </w:r>
      <w:proofErr w:type="gramStart"/>
      <w:r>
        <w:rPr>
          <w:rFonts w:ascii="Arial Narrow" w:hAnsi="Arial Narrow"/>
          <w:sz w:val="24"/>
          <w:szCs w:val="24"/>
        </w:rPr>
        <w:t>establishments which were not graded also</w:t>
      </w:r>
      <w:proofErr w:type="gramEnd"/>
      <w:r>
        <w:rPr>
          <w:rFonts w:ascii="Arial Narrow" w:hAnsi="Arial Narrow"/>
          <w:sz w:val="24"/>
          <w:szCs w:val="24"/>
        </w:rPr>
        <w:t xml:space="preserve"> updated their information.</w:t>
      </w:r>
    </w:p>
    <w:p w14:paraId="4A33A751" w14:textId="77777777" w:rsidR="00E43A1C" w:rsidRDefault="00E43A1C" w:rsidP="00E43A1C">
      <w:pPr>
        <w:pStyle w:val="ListParagraph"/>
        <w:spacing w:line="360" w:lineRule="auto"/>
        <w:ind w:left="1418" w:hanging="709"/>
        <w:jc w:val="both"/>
        <w:rPr>
          <w:rFonts w:ascii="Arial Narrow" w:hAnsi="Arial Narrow"/>
          <w:sz w:val="24"/>
          <w:szCs w:val="24"/>
        </w:rPr>
      </w:pPr>
    </w:p>
    <w:p w14:paraId="3AA6BAD9" w14:textId="77777777" w:rsidR="00E43A1C" w:rsidRDefault="00E43A1C" w:rsidP="00E43A1C">
      <w:pPr>
        <w:pStyle w:val="ListParagraph"/>
        <w:spacing w:line="360" w:lineRule="auto"/>
        <w:ind w:left="709" w:hanging="709"/>
        <w:jc w:val="both"/>
        <w:rPr>
          <w:rFonts w:ascii="Arial Narrow" w:hAnsi="Arial Narrow"/>
          <w:sz w:val="24"/>
          <w:szCs w:val="24"/>
        </w:rPr>
      </w:pPr>
      <w:r>
        <w:rPr>
          <w:rFonts w:ascii="Arial Narrow" w:hAnsi="Arial Narrow"/>
          <w:sz w:val="24"/>
          <w:szCs w:val="24"/>
        </w:rPr>
        <w:tab/>
        <w:t xml:space="preserve">The department recognises the need for a comprehensive database that is not solely dependent on the updates from establishments in order to support planning, growth and development of the tourism sector. In this regard, the Department, working with Provinces; Department of Cooperative Governance and Traditional Affairs; Municipalities; Industry and other related agencies is embarking on a process to build a comprehensive tourism database for the country through a “census” of establishments during the current financial year. </w:t>
      </w:r>
    </w:p>
    <w:p w14:paraId="295AEA4E" w14:textId="77777777" w:rsidR="00E43A1C" w:rsidRDefault="00E43A1C" w:rsidP="00E43A1C">
      <w:pPr>
        <w:pStyle w:val="ListParagraph"/>
        <w:spacing w:line="360" w:lineRule="auto"/>
        <w:ind w:left="709" w:hanging="709"/>
        <w:jc w:val="both"/>
        <w:rPr>
          <w:rFonts w:ascii="Arial Narrow" w:hAnsi="Arial Narrow"/>
          <w:sz w:val="24"/>
          <w:szCs w:val="24"/>
        </w:rPr>
      </w:pPr>
    </w:p>
    <w:p w14:paraId="1FDB7327" w14:textId="77777777" w:rsidR="00E43A1C" w:rsidRDefault="00E43A1C" w:rsidP="00E43A1C">
      <w:pPr>
        <w:ind w:left="709" w:hanging="709"/>
        <w:rPr>
          <w:rFonts w:ascii="Arial Narrow" w:hAnsi="Arial Narrow"/>
          <w:color w:val="000000" w:themeColor="text1"/>
          <w:sz w:val="24"/>
          <w:szCs w:val="24"/>
        </w:rPr>
      </w:pPr>
      <w:r>
        <w:rPr>
          <w:rFonts w:ascii="Arial Narrow" w:hAnsi="Arial Narrow"/>
          <w:sz w:val="24"/>
          <w:szCs w:val="24"/>
        </w:rPr>
        <w:tab/>
      </w:r>
    </w:p>
    <w:p w14:paraId="40DD5737" w14:textId="77777777" w:rsidR="00E43A1C" w:rsidRDefault="00E43A1C" w:rsidP="00E43A1C">
      <w:pPr>
        <w:pStyle w:val="ListParagraph"/>
        <w:numPr>
          <w:ilvl w:val="0"/>
          <w:numId w:val="2"/>
        </w:numPr>
        <w:spacing w:line="360" w:lineRule="auto"/>
        <w:ind w:left="709" w:hanging="709"/>
        <w:jc w:val="both"/>
        <w:rPr>
          <w:rFonts w:ascii="Arial Narrow" w:hAnsi="Arial Narrow"/>
          <w:sz w:val="24"/>
          <w:szCs w:val="24"/>
        </w:rPr>
      </w:pPr>
      <w:r>
        <w:rPr>
          <w:rFonts w:ascii="Arial Narrow" w:hAnsi="Arial Narrow"/>
          <w:sz w:val="24"/>
          <w:szCs w:val="24"/>
        </w:rPr>
        <w:t>(</w:t>
      </w:r>
      <w:proofErr w:type="spellStart"/>
      <w:proofErr w:type="gramStart"/>
      <w:r>
        <w:rPr>
          <w:rFonts w:ascii="Arial Narrow" w:hAnsi="Arial Narrow"/>
          <w:sz w:val="24"/>
          <w:szCs w:val="24"/>
        </w:rPr>
        <w:t>i</w:t>
      </w:r>
      <w:proofErr w:type="spellEnd"/>
      <w:proofErr w:type="gramEnd"/>
      <w:r>
        <w:rPr>
          <w:rFonts w:ascii="Arial Narrow" w:hAnsi="Arial Narrow"/>
          <w:sz w:val="24"/>
          <w:szCs w:val="24"/>
        </w:rPr>
        <w:t xml:space="preserve">),(ii) &amp; (iii) There is no forecast on the increase of Bed &amp; Breakfast establishments in the country. The department’s initiatives in the form of enterprise development support as well as capital and other incentives </w:t>
      </w:r>
      <w:proofErr w:type="gramStart"/>
      <w:r>
        <w:rPr>
          <w:rFonts w:ascii="Arial Narrow" w:hAnsi="Arial Narrow"/>
          <w:sz w:val="24"/>
          <w:szCs w:val="24"/>
        </w:rPr>
        <w:t>are aimed</w:t>
      </w:r>
      <w:proofErr w:type="gramEnd"/>
      <w:r>
        <w:rPr>
          <w:rFonts w:ascii="Arial Narrow" w:hAnsi="Arial Narrow"/>
          <w:sz w:val="24"/>
          <w:szCs w:val="24"/>
        </w:rPr>
        <w:t xml:space="preserve"> at growing existing and start-ups businesses with the aim to increase participation of black enterprises in the tourism sector. However, as government, our responsibility is to create a conducive environment and appropriate support mechanisms to enable entrepreneurs to succeed.</w:t>
      </w:r>
    </w:p>
    <w:p w14:paraId="0667ADBA" w14:textId="77777777" w:rsidR="00E43A1C" w:rsidRDefault="00E43A1C" w:rsidP="00E43A1C">
      <w:pPr>
        <w:spacing w:line="360" w:lineRule="auto"/>
        <w:ind w:left="709" w:hanging="709"/>
        <w:jc w:val="both"/>
        <w:rPr>
          <w:rFonts w:ascii="Arial Narrow" w:hAnsi="Arial Narrow"/>
          <w:sz w:val="24"/>
          <w:szCs w:val="24"/>
        </w:rPr>
      </w:pPr>
    </w:p>
    <w:p w14:paraId="52807CC1" w14:textId="77777777" w:rsidR="00E43A1C" w:rsidRDefault="00E43A1C" w:rsidP="00E43A1C">
      <w:pPr>
        <w:pStyle w:val="ListParagraph"/>
        <w:numPr>
          <w:ilvl w:val="0"/>
          <w:numId w:val="2"/>
        </w:numPr>
        <w:spacing w:line="360" w:lineRule="auto"/>
        <w:ind w:left="709" w:hanging="709"/>
        <w:jc w:val="both"/>
        <w:rPr>
          <w:rFonts w:ascii="Arial Narrow" w:hAnsi="Arial Narrow"/>
          <w:sz w:val="24"/>
          <w:szCs w:val="24"/>
        </w:rPr>
      </w:pPr>
      <w:r>
        <w:rPr>
          <w:rFonts w:ascii="Arial Narrow" w:hAnsi="Arial Narrow"/>
          <w:color w:val="000000" w:themeColor="text1"/>
          <w:sz w:val="24"/>
          <w:szCs w:val="24"/>
        </w:rPr>
        <w:t xml:space="preserve">What amounts has her department </w:t>
      </w:r>
      <w:r>
        <w:rPr>
          <w:rFonts w:ascii="Arial Narrow" w:hAnsi="Arial Narrow"/>
          <w:color w:val="000000" w:themeColor="text1"/>
          <w:sz w:val="24"/>
          <w:szCs w:val="24"/>
          <w:lang w:val="af-ZA"/>
        </w:rPr>
        <w:t>allocated</w:t>
      </w:r>
      <w:r>
        <w:rPr>
          <w:rFonts w:ascii="Arial Narrow" w:hAnsi="Arial Narrow"/>
          <w:color w:val="000000" w:themeColor="text1"/>
          <w:sz w:val="24"/>
          <w:szCs w:val="24"/>
        </w:rPr>
        <w:t xml:space="preserve"> in the 2017-18 to 2019-20 medium term expenditure framework </w:t>
      </w:r>
      <w:r>
        <w:rPr>
          <w:rFonts w:ascii="Arial Narrow" w:hAnsi="Arial Narrow"/>
          <w:sz w:val="24"/>
          <w:szCs w:val="24"/>
        </w:rPr>
        <w:t>to accelerate transformation in this segment of the industry?</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p>
    <w:p w14:paraId="263EDD32" w14:textId="77777777" w:rsidR="00E43A1C" w:rsidRDefault="00E43A1C" w:rsidP="00E43A1C">
      <w:pPr>
        <w:pStyle w:val="ListParagraph"/>
        <w:spacing w:line="360" w:lineRule="auto"/>
        <w:ind w:left="709" w:hanging="709"/>
        <w:jc w:val="both"/>
        <w:rPr>
          <w:rFonts w:ascii="Arial Narrow" w:hAnsi="Arial Narrow"/>
          <w:color w:val="000000" w:themeColor="text1"/>
          <w:sz w:val="24"/>
          <w:szCs w:val="24"/>
        </w:rPr>
      </w:pPr>
      <w:r>
        <w:rPr>
          <w:rFonts w:ascii="Arial Narrow" w:hAnsi="Arial Narrow"/>
          <w:color w:val="000000" w:themeColor="text1"/>
          <w:sz w:val="24"/>
          <w:szCs w:val="24"/>
        </w:rPr>
        <w:tab/>
        <w:t xml:space="preserve">Small enterprise development and sector transformation are central to most of the department’s programmes. </w:t>
      </w:r>
      <w:r>
        <w:rPr>
          <w:rFonts w:ascii="Arial Narrow" w:hAnsi="Arial Narrow"/>
          <w:color w:val="FF0000"/>
          <w:sz w:val="24"/>
          <w:szCs w:val="24"/>
        </w:rPr>
        <w:t xml:space="preserve"> </w:t>
      </w:r>
      <w:r>
        <w:rPr>
          <w:rFonts w:ascii="Arial Narrow" w:hAnsi="Arial Narrow"/>
          <w:color w:val="000000" w:themeColor="text1"/>
          <w:sz w:val="24"/>
          <w:szCs w:val="24"/>
        </w:rPr>
        <w:t>The following budget allocations have been made to specific programmes that focus on enterprise development, market access support, capital investment (i.e. Tourism Transformation Fund) and energy efficiency retrofitting (i.e. Green Tourism Incentive Programme) over the 2017-18 to 2019-20 medium term expenditure framework. These programmes would contribute to sector transformation.</w:t>
      </w:r>
    </w:p>
    <w:p w14:paraId="54B87BEA" w14:textId="77777777" w:rsidR="00E43A1C" w:rsidRDefault="00E43A1C" w:rsidP="00E43A1C">
      <w:pPr>
        <w:pStyle w:val="ListParagraph"/>
        <w:spacing w:line="360" w:lineRule="auto"/>
        <w:ind w:left="709" w:hanging="709"/>
        <w:jc w:val="both"/>
        <w:rPr>
          <w:rFonts w:ascii="Arial Narrow" w:hAnsi="Arial Narrow"/>
          <w:color w:val="FF0000"/>
          <w:sz w:val="24"/>
          <w:szCs w:val="24"/>
        </w:rPr>
      </w:pPr>
    </w:p>
    <w:tbl>
      <w:tblPr>
        <w:tblStyle w:val="TableGrid"/>
        <w:tblW w:w="0" w:type="auto"/>
        <w:tblInd w:w="704" w:type="dxa"/>
        <w:tblLook w:val="04A0" w:firstRow="1" w:lastRow="0" w:firstColumn="1" w:lastColumn="0" w:noHBand="0" w:noVBand="1"/>
      </w:tblPr>
      <w:tblGrid>
        <w:gridCol w:w="3794"/>
        <w:gridCol w:w="1836"/>
        <w:gridCol w:w="1678"/>
        <w:gridCol w:w="1610"/>
      </w:tblGrid>
      <w:tr w:rsidR="00E43A1C" w14:paraId="1AD51441" w14:textId="77777777" w:rsidTr="005E719F">
        <w:tc>
          <w:tcPr>
            <w:tcW w:w="393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76950D" w14:textId="77777777" w:rsidR="00E43A1C" w:rsidRDefault="00E43A1C" w:rsidP="005E719F">
            <w:pPr>
              <w:ind w:left="709" w:hanging="709"/>
              <w:jc w:val="center"/>
              <w:rPr>
                <w:rFonts w:ascii="Arial Narrow" w:hAnsi="Arial Narrow"/>
                <w:b/>
                <w:color w:val="000000" w:themeColor="text1"/>
                <w:sz w:val="24"/>
                <w:szCs w:val="24"/>
              </w:rPr>
            </w:pPr>
            <w:proofErr w:type="spellStart"/>
            <w:r>
              <w:rPr>
                <w:rFonts w:ascii="Arial Narrow" w:hAnsi="Arial Narrow"/>
                <w:b/>
                <w:color w:val="000000" w:themeColor="text1"/>
                <w:sz w:val="24"/>
                <w:szCs w:val="24"/>
              </w:rPr>
              <w:t>Programme</w:t>
            </w:r>
            <w:proofErr w:type="spellEnd"/>
          </w:p>
        </w:tc>
        <w:tc>
          <w:tcPr>
            <w:tcW w:w="516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440F3C9" w14:textId="77777777" w:rsidR="00E43A1C" w:rsidRDefault="00E43A1C" w:rsidP="005E719F">
            <w:pPr>
              <w:ind w:left="709" w:hanging="709"/>
              <w:jc w:val="center"/>
              <w:rPr>
                <w:rFonts w:ascii="Arial Narrow" w:hAnsi="Arial Narrow"/>
                <w:b/>
                <w:color w:val="000000" w:themeColor="text1"/>
                <w:sz w:val="24"/>
                <w:szCs w:val="24"/>
              </w:rPr>
            </w:pPr>
            <w:r>
              <w:rPr>
                <w:rFonts w:ascii="Arial Narrow" w:hAnsi="Arial Narrow"/>
                <w:b/>
                <w:color w:val="000000" w:themeColor="text1"/>
                <w:sz w:val="24"/>
                <w:szCs w:val="24"/>
              </w:rPr>
              <w:t>Estimated budget allocation (‘000) over medium term expenditure framework (MTEF) period</w:t>
            </w:r>
          </w:p>
        </w:tc>
      </w:tr>
      <w:tr w:rsidR="00E43A1C" w14:paraId="68FFF204" w14:textId="77777777" w:rsidTr="005E719F">
        <w:trPr>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76B7DC" w14:textId="77777777" w:rsidR="00E43A1C" w:rsidRDefault="00E43A1C" w:rsidP="005E719F">
            <w:pPr>
              <w:rPr>
                <w:rFonts w:ascii="Arial Narrow" w:eastAsia="Times New Roman" w:hAnsi="Arial Narrow" w:cs="Times New Roman"/>
                <w:b/>
                <w:color w:val="000000" w:themeColor="text1"/>
                <w:sz w:val="24"/>
                <w:szCs w:val="24"/>
                <w:lang w:val="en-GB"/>
              </w:rPr>
            </w:pPr>
          </w:p>
        </w:tc>
        <w:tc>
          <w:tcPr>
            <w:tcW w:w="1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478603F" w14:textId="77777777" w:rsidR="00E43A1C" w:rsidRDefault="00E43A1C" w:rsidP="005E719F">
            <w:pPr>
              <w:ind w:left="709" w:hanging="709"/>
              <w:jc w:val="center"/>
              <w:rPr>
                <w:rFonts w:ascii="Arial Narrow" w:hAnsi="Arial Narrow"/>
                <w:b/>
                <w:color w:val="000000" w:themeColor="text1"/>
                <w:sz w:val="24"/>
                <w:szCs w:val="24"/>
              </w:rPr>
            </w:pPr>
            <w:r>
              <w:rPr>
                <w:rFonts w:ascii="Arial Narrow" w:hAnsi="Arial Narrow"/>
                <w:b/>
                <w:color w:val="000000" w:themeColor="text1"/>
                <w:sz w:val="24"/>
                <w:szCs w:val="24"/>
              </w:rPr>
              <w:t>2017/2018</w:t>
            </w:r>
          </w:p>
        </w:tc>
        <w:tc>
          <w:tcPr>
            <w:tcW w:w="16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91104F6" w14:textId="77777777" w:rsidR="00E43A1C" w:rsidRDefault="00E43A1C" w:rsidP="005E719F">
            <w:pPr>
              <w:ind w:left="709" w:hanging="709"/>
              <w:jc w:val="center"/>
              <w:rPr>
                <w:rFonts w:ascii="Arial Narrow" w:hAnsi="Arial Narrow"/>
                <w:b/>
                <w:color w:val="000000" w:themeColor="text1"/>
                <w:sz w:val="24"/>
                <w:szCs w:val="24"/>
              </w:rPr>
            </w:pPr>
            <w:r>
              <w:rPr>
                <w:rFonts w:ascii="Arial Narrow" w:hAnsi="Arial Narrow"/>
                <w:b/>
                <w:color w:val="000000" w:themeColor="text1"/>
                <w:sz w:val="24"/>
                <w:szCs w:val="24"/>
              </w:rPr>
              <w:t>2018/2019</w:t>
            </w:r>
          </w:p>
        </w:tc>
        <w:tc>
          <w:tcPr>
            <w:tcW w:w="1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CF8346C" w14:textId="77777777" w:rsidR="00E43A1C" w:rsidRDefault="00E43A1C" w:rsidP="005E719F">
            <w:pPr>
              <w:ind w:left="709" w:hanging="709"/>
              <w:jc w:val="center"/>
              <w:rPr>
                <w:rFonts w:ascii="Arial Narrow" w:hAnsi="Arial Narrow"/>
                <w:b/>
                <w:color w:val="000000" w:themeColor="text1"/>
                <w:sz w:val="24"/>
                <w:szCs w:val="24"/>
              </w:rPr>
            </w:pPr>
            <w:r>
              <w:rPr>
                <w:rFonts w:ascii="Arial Narrow" w:hAnsi="Arial Narrow"/>
                <w:b/>
                <w:color w:val="000000" w:themeColor="text1"/>
                <w:sz w:val="24"/>
                <w:szCs w:val="24"/>
              </w:rPr>
              <w:t>2019/2020</w:t>
            </w:r>
          </w:p>
        </w:tc>
      </w:tr>
      <w:tr w:rsidR="00E43A1C" w14:paraId="24ABA37F" w14:textId="77777777" w:rsidTr="005E719F">
        <w:tc>
          <w:tcPr>
            <w:tcW w:w="3931" w:type="dxa"/>
            <w:tcBorders>
              <w:top w:val="single" w:sz="4" w:space="0" w:color="auto"/>
              <w:left w:val="single" w:sz="4" w:space="0" w:color="auto"/>
              <w:bottom w:val="single" w:sz="4" w:space="0" w:color="auto"/>
              <w:right w:val="single" w:sz="4" w:space="0" w:color="auto"/>
            </w:tcBorders>
            <w:hideMark/>
          </w:tcPr>
          <w:p w14:paraId="3DF47B0A" w14:textId="77777777" w:rsidR="00E43A1C" w:rsidRDefault="00E43A1C" w:rsidP="005E719F">
            <w:pPr>
              <w:spacing w:before="120"/>
              <w:ind w:left="709" w:hanging="709"/>
              <w:rPr>
                <w:rFonts w:ascii="Arial Narrow" w:hAnsi="Arial Narrow"/>
                <w:color w:val="000000" w:themeColor="text1"/>
              </w:rPr>
            </w:pPr>
            <w:r>
              <w:rPr>
                <w:rFonts w:ascii="Arial Narrow" w:hAnsi="Arial Narrow"/>
                <w:color w:val="000000" w:themeColor="text1"/>
              </w:rPr>
              <w:t>Enterprise Development</w:t>
            </w:r>
          </w:p>
        </w:tc>
        <w:tc>
          <w:tcPr>
            <w:tcW w:w="1850" w:type="dxa"/>
            <w:tcBorders>
              <w:top w:val="single" w:sz="4" w:space="0" w:color="auto"/>
              <w:left w:val="single" w:sz="4" w:space="0" w:color="auto"/>
              <w:bottom w:val="single" w:sz="4" w:space="0" w:color="auto"/>
              <w:right w:val="single" w:sz="4" w:space="0" w:color="auto"/>
            </w:tcBorders>
            <w:hideMark/>
          </w:tcPr>
          <w:p w14:paraId="67210493" w14:textId="77777777" w:rsidR="00E43A1C" w:rsidRDefault="00E43A1C" w:rsidP="005E719F">
            <w:pPr>
              <w:spacing w:before="120"/>
              <w:ind w:left="709" w:hanging="709"/>
              <w:jc w:val="center"/>
              <w:rPr>
                <w:rFonts w:ascii="Arial Narrow" w:hAnsi="Arial Narrow"/>
                <w:color w:val="000000" w:themeColor="text1"/>
              </w:rPr>
            </w:pPr>
            <w:r>
              <w:rPr>
                <w:rFonts w:ascii="Arial Narrow" w:hAnsi="Arial Narrow"/>
                <w:color w:val="000000" w:themeColor="text1"/>
              </w:rPr>
              <w:t>17  882</w:t>
            </w:r>
          </w:p>
        </w:tc>
        <w:tc>
          <w:tcPr>
            <w:tcW w:w="1683" w:type="dxa"/>
            <w:tcBorders>
              <w:top w:val="single" w:sz="4" w:space="0" w:color="auto"/>
              <w:left w:val="single" w:sz="4" w:space="0" w:color="auto"/>
              <w:bottom w:val="single" w:sz="4" w:space="0" w:color="auto"/>
              <w:right w:val="single" w:sz="4" w:space="0" w:color="auto"/>
            </w:tcBorders>
            <w:hideMark/>
          </w:tcPr>
          <w:p w14:paraId="78B9625A" w14:textId="77777777" w:rsidR="00E43A1C" w:rsidRDefault="00E43A1C" w:rsidP="005E719F">
            <w:pPr>
              <w:spacing w:before="120"/>
              <w:ind w:left="709" w:hanging="709"/>
              <w:jc w:val="center"/>
              <w:rPr>
                <w:rFonts w:ascii="Arial Narrow" w:hAnsi="Arial Narrow"/>
                <w:color w:val="000000" w:themeColor="text1"/>
              </w:rPr>
            </w:pPr>
            <w:r>
              <w:rPr>
                <w:rFonts w:ascii="Arial Narrow" w:hAnsi="Arial Narrow"/>
                <w:color w:val="000000" w:themeColor="text1"/>
              </w:rPr>
              <w:t>16 420</w:t>
            </w:r>
          </w:p>
        </w:tc>
        <w:tc>
          <w:tcPr>
            <w:tcW w:w="1630" w:type="dxa"/>
            <w:tcBorders>
              <w:top w:val="single" w:sz="4" w:space="0" w:color="auto"/>
              <w:left w:val="single" w:sz="4" w:space="0" w:color="auto"/>
              <w:bottom w:val="single" w:sz="4" w:space="0" w:color="auto"/>
              <w:right w:val="single" w:sz="4" w:space="0" w:color="auto"/>
            </w:tcBorders>
            <w:hideMark/>
          </w:tcPr>
          <w:p w14:paraId="7AFF068F" w14:textId="77777777" w:rsidR="00E43A1C" w:rsidRDefault="00E43A1C" w:rsidP="005E719F">
            <w:pPr>
              <w:spacing w:before="120"/>
              <w:ind w:left="709" w:hanging="709"/>
              <w:jc w:val="center"/>
              <w:rPr>
                <w:rFonts w:ascii="Arial Narrow" w:hAnsi="Arial Narrow"/>
                <w:color w:val="000000" w:themeColor="text1"/>
              </w:rPr>
            </w:pPr>
            <w:r>
              <w:rPr>
                <w:rFonts w:ascii="Arial Narrow" w:hAnsi="Arial Narrow"/>
                <w:color w:val="000000" w:themeColor="text1"/>
              </w:rPr>
              <w:t>14  361</w:t>
            </w:r>
          </w:p>
        </w:tc>
      </w:tr>
      <w:tr w:rsidR="00E43A1C" w14:paraId="1E309D50" w14:textId="77777777" w:rsidTr="005E719F">
        <w:tc>
          <w:tcPr>
            <w:tcW w:w="3931" w:type="dxa"/>
            <w:tcBorders>
              <w:top w:val="single" w:sz="4" w:space="0" w:color="auto"/>
              <w:left w:val="single" w:sz="4" w:space="0" w:color="auto"/>
              <w:bottom w:val="single" w:sz="4" w:space="0" w:color="auto"/>
              <w:right w:val="single" w:sz="4" w:space="0" w:color="auto"/>
            </w:tcBorders>
            <w:hideMark/>
          </w:tcPr>
          <w:p w14:paraId="67AC093D" w14:textId="77777777" w:rsidR="00E43A1C" w:rsidRDefault="00E43A1C" w:rsidP="005E719F">
            <w:pPr>
              <w:spacing w:before="120"/>
              <w:ind w:left="709" w:hanging="709"/>
              <w:rPr>
                <w:rFonts w:ascii="Arial Narrow" w:hAnsi="Arial Narrow"/>
                <w:color w:val="000000" w:themeColor="text1"/>
              </w:rPr>
            </w:pPr>
            <w:r>
              <w:rPr>
                <w:rFonts w:ascii="Arial Narrow" w:hAnsi="Arial Narrow"/>
                <w:color w:val="000000" w:themeColor="text1"/>
              </w:rPr>
              <w:t>Market Access Support (international)</w:t>
            </w:r>
          </w:p>
        </w:tc>
        <w:tc>
          <w:tcPr>
            <w:tcW w:w="1850" w:type="dxa"/>
            <w:tcBorders>
              <w:top w:val="single" w:sz="4" w:space="0" w:color="auto"/>
              <w:left w:val="single" w:sz="4" w:space="0" w:color="auto"/>
              <w:bottom w:val="single" w:sz="4" w:space="0" w:color="auto"/>
              <w:right w:val="single" w:sz="4" w:space="0" w:color="auto"/>
            </w:tcBorders>
            <w:hideMark/>
          </w:tcPr>
          <w:p w14:paraId="4DEB5BA6" w14:textId="77777777" w:rsidR="00E43A1C" w:rsidRDefault="00E43A1C" w:rsidP="005E719F">
            <w:pPr>
              <w:spacing w:before="120"/>
              <w:ind w:left="709" w:hanging="709"/>
              <w:jc w:val="center"/>
              <w:rPr>
                <w:rFonts w:ascii="Arial Narrow" w:hAnsi="Arial Narrow"/>
                <w:color w:val="000000" w:themeColor="text1"/>
              </w:rPr>
            </w:pPr>
            <w:r>
              <w:rPr>
                <w:rFonts w:ascii="Arial Narrow" w:hAnsi="Arial Narrow"/>
                <w:color w:val="000000" w:themeColor="text1"/>
              </w:rPr>
              <w:t xml:space="preserve"> 13  000*</w:t>
            </w:r>
          </w:p>
        </w:tc>
        <w:tc>
          <w:tcPr>
            <w:tcW w:w="1683" w:type="dxa"/>
            <w:tcBorders>
              <w:top w:val="single" w:sz="4" w:space="0" w:color="auto"/>
              <w:left w:val="single" w:sz="4" w:space="0" w:color="auto"/>
              <w:bottom w:val="single" w:sz="4" w:space="0" w:color="auto"/>
              <w:right w:val="single" w:sz="4" w:space="0" w:color="auto"/>
            </w:tcBorders>
            <w:hideMark/>
          </w:tcPr>
          <w:p w14:paraId="5927DE1F" w14:textId="77777777" w:rsidR="00E43A1C" w:rsidRDefault="00E43A1C" w:rsidP="005E719F">
            <w:pPr>
              <w:spacing w:before="120"/>
              <w:ind w:left="709" w:hanging="709"/>
              <w:jc w:val="center"/>
              <w:rPr>
                <w:rFonts w:ascii="Arial Narrow" w:hAnsi="Arial Narrow"/>
                <w:color w:val="000000" w:themeColor="text1"/>
              </w:rPr>
            </w:pPr>
            <w:r>
              <w:rPr>
                <w:rFonts w:ascii="Arial Narrow" w:hAnsi="Arial Narrow"/>
                <w:color w:val="000000" w:themeColor="text1"/>
              </w:rPr>
              <w:t xml:space="preserve">  15 318*</w:t>
            </w:r>
          </w:p>
        </w:tc>
        <w:tc>
          <w:tcPr>
            <w:tcW w:w="1630" w:type="dxa"/>
            <w:tcBorders>
              <w:top w:val="single" w:sz="4" w:space="0" w:color="auto"/>
              <w:left w:val="single" w:sz="4" w:space="0" w:color="auto"/>
              <w:bottom w:val="single" w:sz="4" w:space="0" w:color="auto"/>
              <w:right w:val="single" w:sz="4" w:space="0" w:color="auto"/>
            </w:tcBorders>
            <w:hideMark/>
          </w:tcPr>
          <w:p w14:paraId="69813DE6" w14:textId="77777777" w:rsidR="00E43A1C" w:rsidRDefault="00E43A1C" w:rsidP="005E719F">
            <w:pPr>
              <w:spacing w:before="120"/>
              <w:ind w:left="709" w:hanging="709"/>
              <w:jc w:val="center"/>
              <w:rPr>
                <w:rFonts w:ascii="Arial Narrow" w:hAnsi="Arial Narrow"/>
                <w:color w:val="000000" w:themeColor="text1"/>
              </w:rPr>
            </w:pPr>
            <w:r>
              <w:rPr>
                <w:rFonts w:ascii="Arial Narrow" w:hAnsi="Arial Narrow"/>
                <w:color w:val="000000" w:themeColor="text1"/>
              </w:rPr>
              <w:t>13  125*</w:t>
            </w:r>
          </w:p>
        </w:tc>
      </w:tr>
      <w:tr w:rsidR="00E43A1C" w14:paraId="09EB3AFD" w14:textId="77777777" w:rsidTr="005E719F">
        <w:tc>
          <w:tcPr>
            <w:tcW w:w="3931" w:type="dxa"/>
            <w:tcBorders>
              <w:top w:val="single" w:sz="4" w:space="0" w:color="auto"/>
              <w:left w:val="single" w:sz="4" w:space="0" w:color="auto"/>
              <w:bottom w:val="single" w:sz="4" w:space="0" w:color="auto"/>
              <w:right w:val="single" w:sz="4" w:space="0" w:color="auto"/>
            </w:tcBorders>
            <w:hideMark/>
          </w:tcPr>
          <w:p w14:paraId="4A0FCA19" w14:textId="77777777" w:rsidR="00E43A1C" w:rsidRDefault="00E43A1C" w:rsidP="005E719F">
            <w:pPr>
              <w:spacing w:before="120"/>
              <w:ind w:left="709" w:hanging="709"/>
              <w:rPr>
                <w:rFonts w:ascii="Arial Narrow" w:hAnsi="Arial Narrow"/>
                <w:color w:val="000000" w:themeColor="text1"/>
              </w:rPr>
            </w:pPr>
            <w:r>
              <w:rPr>
                <w:rFonts w:ascii="Arial Narrow" w:hAnsi="Arial Narrow"/>
                <w:color w:val="000000" w:themeColor="text1"/>
              </w:rPr>
              <w:t>Market Access Support (Hidden Gems)</w:t>
            </w:r>
          </w:p>
        </w:tc>
        <w:tc>
          <w:tcPr>
            <w:tcW w:w="1850" w:type="dxa"/>
            <w:tcBorders>
              <w:top w:val="single" w:sz="4" w:space="0" w:color="auto"/>
              <w:left w:val="single" w:sz="4" w:space="0" w:color="auto"/>
              <w:bottom w:val="single" w:sz="4" w:space="0" w:color="auto"/>
              <w:right w:val="single" w:sz="4" w:space="0" w:color="auto"/>
            </w:tcBorders>
            <w:hideMark/>
          </w:tcPr>
          <w:p w14:paraId="5AC8F839" w14:textId="77777777" w:rsidR="00E43A1C" w:rsidRDefault="00E43A1C" w:rsidP="005E719F">
            <w:pPr>
              <w:spacing w:before="120"/>
              <w:ind w:left="709" w:hanging="709"/>
              <w:jc w:val="center"/>
              <w:rPr>
                <w:rFonts w:ascii="Arial Narrow" w:hAnsi="Arial Narrow"/>
                <w:color w:val="000000" w:themeColor="text1"/>
              </w:rPr>
            </w:pPr>
            <w:r>
              <w:rPr>
                <w:rFonts w:ascii="Arial Narrow" w:hAnsi="Arial Narrow"/>
                <w:color w:val="000000" w:themeColor="text1"/>
              </w:rPr>
              <w:t xml:space="preserve"> 13  000*</w:t>
            </w:r>
          </w:p>
        </w:tc>
        <w:tc>
          <w:tcPr>
            <w:tcW w:w="1683" w:type="dxa"/>
            <w:tcBorders>
              <w:top w:val="single" w:sz="4" w:space="0" w:color="auto"/>
              <w:left w:val="single" w:sz="4" w:space="0" w:color="auto"/>
              <w:bottom w:val="single" w:sz="4" w:space="0" w:color="auto"/>
              <w:right w:val="single" w:sz="4" w:space="0" w:color="auto"/>
            </w:tcBorders>
            <w:hideMark/>
          </w:tcPr>
          <w:p w14:paraId="6AE7860F" w14:textId="77777777" w:rsidR="00E43A1C" w:rsidRDefault="00E43A1C" w:rsidP="005E719F">
            <w:pPr>
              <w:spacing w:before="120"/>
              <w:ind w:left="709" w:hanging="709"/>
              <w:jc w:val="center"/>
              <w:rPr>
                <w:rFonts w:ascii="Arial Narrow" w:hAnsi="Arial Narrow"/>
                <w:color w:val="000000" w:themeColor="text1"/>
              </w:rPr>
            </w:pPr>
            <w:r>
              <w:rPr>
                <w:rFonts w:ascii="Arial Narrow" w:hAnsi="Arial Narrow"/>
                <w:color w:val="000000" w:themeColor="text1"/>
              </w:rPr>
              <w:t xml:space="preserve">  15 318*</w:t>
            </w:r>
          </w:p>
        </w:tc>
        <w:tc>
          <w:tcPr>
            <w:tcW w:w="1630" w:type="dxa"/>
            <w:tcBorders>
              <w:top w:val="single" w:sz="4" w:space="0" w:color="auto"/>
              <w:left w:val="single" w:sz="4" w:space="0" w:color="auto"/>
              <w:bottom w:val="single" w:sz="4" w:space="0" w:color="auto"/>
              <w:right w:val="single" w:sz="4" w:space="0" w:color="auto"/>
            </w:tcBorders>
            <w:hideMark/>
          </w:tcPr>
          <w:p w14:paraId="4F0EE81B" w14:textId="77777777" w:rsidR="00E43A1C" w:rsidRDefault="00E43A1C" w:rsidP="005E719F">
            <w:pPr>
              <w:spacing w:before="120"/>
              <w:ind w:left="709" w:hanging="709"/>
              <w:jc w:val="center"/>
              <w:rPr>
                <w:rFonts w:ascii="Arial Narrow" w:hAnsi="Arial Narrow"/>
                <w:color w:val="000000" w:themeColor="text1"/>
              </w:rPr>
            </w:pPr>
            <w:r>
              <w:rPr>
                <w:rFonts w:ascii="Arial Narrow" w:hAnsi="Arial Narrow"/>
                <w:color w:val="000000" w:themeColor="text1"/>
              </w:rPr>
              <w:t>13  125*</w:t>
            </w:r>
          </w:p>
        </w:tc>
      </w:tr>
      <w:tr w:rsidR="00E43A1C" w14:paraId="4589A51B" w14:textId="77777777" w:rsidTr="005E719F">
        <w:tc>
          <w:tcPr>
            <w:tcW w:w="3931" w:type="dxa"/>
            <w:tcBorders>
              <w:top w:val="single" w:sz="4" w:space="0" w:color="auto"/>
              <w:left w:val="single" w:sz="4" w:space="0" w:color="auto"/>
              <w:bottom w:val="single" w:sz="4" w:space="0" w:color="auto"/>
              <w:right w:val="single" w:sz="4" w:space="0" w:color="auto"/>
            </w:tcBorders>
            <w:hideMark/>
          </w:tcPr>
          <w:p w14:paraId="2042B3F5" w14:textId="77777777" w:rsidR="00E43A1C" w:rsidRDefault="00E43A1C" w:rsidP="005E719F">
            <w:pPr>
              <w:spacing w:before="120"/>
              <w:ind w:left="709" w:hanging="709"/>
              <w:rPr>
                <w:rFonts w:ascii="Arial Narrow" w:hAnsi="Arial Narrow"/>
                <w:color w:val="000000" w:themeColor="text1"/>
              </w:rPr>
            </w:pPr>
            <w:r>
              <w:rPr>
                <w:rFonts w:ascii="Arial Narrow" w:hAnsi="Arial Narrow"/>
                <w:color w:val="000000" w:themeColor="text1"/>
              </w:rPr>
              <w:t>Tourism Transformation Fund (TFF) - in collaboration with NEF.</w:t>
            </w:r>
          </w:p>
        </w:tc>
        <w:tc>
          <w:tcPr>
            <w:tcW w:w="1850" w:type="dxa"/>
            <w:tcBorders>
              <w:top w:val="single" w:sz="4" w:space="0" w:color="auto"/>
              <w:left w:val="single" w:sz="4" w:space="0" w:color="auto"/>
              <w:bottom w:val="single" w:sz="4" w:space="0" w:color="auto"/>
              <w:right w:val="single" w:sz="4" w:space="0" w:color="auto"/>
            </w:tcBorders>
            <w:hideMark/>
          </w:tcPr>
          <w:p w14:paraId="39FE92C0" w14:textId="77777777" w:rsidR="00E43A1C" w:rsidRDefault="00E43A1C" w:rsidP="005E719F">
            <w:pPr>
              <w:spacing w:before="120"/>
              <w:ind w:left="709" w:hanging="709"/>
              <w:jc w:val="center"/>
              <w:rPr>
                <w:rFonts w:ascii="Arial Narrow" w:hAnsi="Arial Narrow"/>
                <w:color w:val="000000" w:themeColor="text1"/>
              </w:rPr>
            </w:pPr>
            <w:r>
              <w:rPr>
                <w:rFonts w:ascii="Arial Narrow" w:hAnsi="Arial Narrow"/>
                <w:color w:val="000000" w:themeColor="text1"/>
              </w:rPr>
              <w:t xml:space="preserve">  40  000**</w:t>
            </w:r>
          </w:p>
        </w:tc>
        <w:tc>
          <w:tcPr>
            <w:tcW w:w="1683" w:type="dxa"/>
            <w:tcBorders>
              <w:top w:val="single" w:sz="4" w:space="0" w:color="auto"/>
              <w:left w:val="single" w:sz="4" w:space="0" w:color="auto"/>
              <w:bottom w:val="single" w:sz="4" w:space="0" w:color="auto"/>
              <w:right w:val="single" w:sz="4" w:space="0" w:color="auto"/>
            </w:tcBorders>
            <w:hideMark/>
          </w:tcPr>
          <w:p w14:paraId="765093EF" w14:textId="77777777" w:rsidR="00E43A1C" w:rsidRDefault="00E43A1C" w:rsidP="005E719F">
            <w:pPr>
              <w:spacing w:before="120"/>
              <w:ind w:left="709" w:hanging="709"/>
              <w:jc w:val="center"/>
              <w:rPr>
                <w:rFonts w:ascii="Arial Narrow" w:hAnsi="Arial Narrow"/>
                <w:color w:val="000000" w:themeColor="text1"/>
              </w:rPr>
            </w:pPr>
            <w:r>
              <w:rPr>
                <w:rFonts w:ascii="Arial Narrow" w:hAnsi="Arial Narrow"/>
                <w:color w:val="000000" w:themeColor="text1"/>
              </w:rPr>
              <w:t xml:space="preserve">    40 000**</w:t>
            </w:r>
          </w:p>
        </w:tc>
        <w:tc>
          <w:tcPr>
            <w:tcW w:w="1630" w:type="dxa"/>
            <w:tcBorders>
              <w:top w:val="single" w:sz="4" w:space="0" w:color="auto"/>
              <w:left w:val="single" w:sz="4" w:space="0" w:color="auto"/>
              <w:bottom w:val="single" w:sz="4" w:space="0" w:color="auto"/>
              <w:right w:val="single" w:sz="4" w:space="0" w:color="auto"/>
            </w:tcBorders>
            <w:hideMark/>
          </w:tcPr>
          <w:p w14:paraId="0C481CE8" w14:textId="77777777" w:rsidR="00E43A1C" w:rsidRDefault="00E43A1C" w:rsidP="005E719F">
            <w:pPr>
              <w:spacing w:before="120"/>
              <w:ind w:left="709" w:hanging="709"/>
              <w:jc w:val="center"/>
              <w:rPr>
                <w:rFonts w:ascii="Arial Narrow" w:hAnsi="Arial Narrow"/>
                <w:color w:val="000000" w:themeColor="text1"/>
              </w:rPr>
            </w:pPr>
            <w:r>
              <w:rPr>
                <w:rFonts w:ascii="Arial Narrow" w:hAnsi="Arial Narrow"/>
                <w:color w:val="000000" w:themeColor="text1"/>
              </w:rPr>
              <w:t xml:space="preserve"> 40  000**</w:t>
            </w:r>
          </w:p>
        </w:tc>
      </w:tr>
      <w:tr w:rsidR="00E43A1C" w14:paraId="7917BBEB" w14:textId="77777777" w:rsidTr="005E719F">
        <w:tc>
          <w:tcPr>
            <w:tcW w:w="3931" w:type="dxa"/>
            <w:tcBorders>
              <w:top w:val="single" w:sz="4" w:space="0" w:color="auto"/>
              <w:left w:val="single" w:sz="4" w:space="0" w:color="auto"/>
              <w:bottom w:val="single" w:sz="4" w:space="0" w:color="auto"/>
              <w:right w:val="single" w:sz="4" w:space="0" w:color="auto"/>
            </w:tcBorders>
            <w:hideMark/>
          </w:tcPr>
          <w:p w14:paraId="4C8FD8D2" w14:textId="77777777" w:rsidR="00E43A1C" w:rsidRDefault="00E43A1C" w:rsidP="005E719F">
            <w:pPr>
              <w:spacing w:before="120"/>
              <w:ind w:left="709" w:hanging="709"/>
              <w:rPr>
                <w:rFonts w:ascii="Arial Narrow" w:hAnsi="Arial Narrow"/>
                <w:color w:val="000000" w:themeColor="text1"/>
              </w:rPr>
            </w:pPr>
            <w:r>
              <w:rPr>
                <w:rFonts w:ascii="Arial Narrow" w:hAnsi="Arial Narrow"/>
                <w:color w:val="000000" w:themeColor="text1"/>
              </w:rPr>
              <w:t xml:space="preserve">Green Tourism Incentive </w:t>
            </w:r>
            <w:proofErr w:type="spellStart"/>
            <w:r>
              <w:rPr>
                <w:rFonts w:ascii="Arial Narrow" w:hAnsi="Arial Narrow"/>
                <w:color w:val="000000" w:themeColor="text1"/>
              </w:rPr>
              <w:t>Programme</w:t>
            </w:r>
            <w:proofErr w:type="spellEnd"/>
            <w:r>
              <w:rPr>
                <w:rFonts w:ascii="Arial Narrow" w:hAnsi="Arial Narrow"/>
                <w:color w:val="000000" w:themeColor="text1"/>
              </w:rPr>
              <w:t xml:space="preserve"> (GTIP) - in collaboration with IDC)</w:t>
            </w:r>
          </w:p>
        </w:tc>
        <w:tc>
          <w:tcPr>
            <w:tcW w:w="1850" w:type="dxa"/>
            <w:tcBorders>
              <w:top w:val="single" w:sz="4" w:space="0" w:color="auto"/>
              <w:left w:val="single" w:sz="4" w:space="0" w:color="auto"/>
              <w:bottom w:val="single" w:sz="4" w:space="0" w:color="auto"/>
              <w:right w:val="single" w:sz="4" w:space="0" w:color="auto"/>
            </w:tcBorders>
            <w:hideMark/>
          </w:tcPr>
          <w:p w14:paraId="457DCC3A" w14:textId="77777777" w:rsidR="00E43A1C" w:rsidRDefault="00E43A1C" w:rsidP="005E719F">
            <w:pPr>
              <w:spacing w:before="120"/>
              <w:ind w:left="709" w:hanging="709"/>
              <w:jc w:val="center"/>
              <w:rPr>
                <w:rFonts w:ascii="Arial Narrow" w:hAnsi="Arial Narrow"/>
                <w:color w:val="000000" w:themeColor="text1"/>
              </w:rPr>
            </w:pPr>
            <w:r>
              <w:rPr>
                <w:rFonts w:ascii="Arial Narrow" w:hAnsi="Arial Narrow"/>
                <w:color w:val="000000" w:themeColor="text1"/>
              </w:rPr>
              <w:t xml:space="preserve"> 30 000**</w:t>
            </w:r>
          </w:p>
        </w:tc>
        <w:tc>
          <w:tcPr>
            <w:tcW w:w="1683" w:type="dxa"/>
            <w:tcBorders>
              <w:top w:val="single" w:sz="4" w:space="0" w:color="auto"/>
              <w:left w:val="single" w:sz="4" w:space="0" w:color="auto"/>
              <w:bottom w:val="single" w:sz="4" w:space="0" w:color="auto"/>
              <w:right w:val="single" w:sz="4" w:space="0" w:color="auto"/>
            </w:tcBorders>
            <w:hideMark/>
          </w:tcPr>
          <w:p w14:paraId="0610A20B" w14:textId="77777777" w:rsidR="00E43A1C" w:rsidRDefault="00E43A1C" w:rsidP="005E719F">
            <w:pPr>
              <w:spacing w:before="120"/>
              <w:ind w:left="709" w:hanging="709"/>
              <w:jc w:val="center"/>
              <w:rPr>
                <w:rFonts w:ascii="Arial Narrow" w:hAnsi="Arial Narrow"/>
                <w:color w:val="000000" w:themeColor="text1"/>
              </w:rPr>
            </w:pPr>
            <w:r>
              <w:rPr>
                <w:rFonts w:ascii="Arial Narrow" w:hAnsi="Arial Narrow"/>
                <w:color w:val="000000" w:themeColor="text1"/>
              </w:rPr>
              <w:t xml:space="preserve">    45 000**</w:t>
            </w:r>
          </w:p>
        </w:tc>
        <w:tc>
          <w:tcPr>
            <w:tcW w:w="1630" w:type="dxa"/>
            <w:tcBorders>
              <w:top w:val="single" w:sz="4" w:space="0" w:color="auto"/>
              <w:left w:val="single" w:sz="4" w:space="0" w:color="auto"/>
              <w:bottom w:val="single" w:sz="4" w:space="0" w:color="auto"/>
              <w:right w:val="single" w:sz="4" w:space="0" w:color="auto"/>
            </w:tcBorders>
            <w:hideMark/>
          </w:tcPr>
          <w:p w14:paraId="472532B9" w14:textId="77777777" w:rsidR="00E43A1C" w:rsidRDefault="00E43A1C" w:rsidP="005E719F">
            <w:pPr>
              <w:spacing w:before="120"/>
              <w:ind w:left="709" w:hanging="709"/>
              <w:jc w:val="center"/>
              <w:rPr>
                <w:rFonts w:ascii="Arial Narrow" w:hAnsi="Arial Narrow"/>
                <w:color w:val="000000" w:themeColor="text1"/>
              </w:rPr>
            </w:pPr>
            <w:r>
              <w:rPr>
                <w:rFonts w:ascii="Arial Narrow" w:hAnsi="Arial Narrow"/>
                <w:color w:val="000000" w:themeColor="text1"/>
              </w:rPr>
              <w:t>67 500**</w:t>
            </w:r>
          </w:p>
        </w:tc>
      </w:tr>
    </w:tbl>
    <w:p w14:paraId="1E9128F9" w14:textId="77777777" w:rsidR="00E43A1C" w:rsidRDefault="00E43A1C" w:rsidP="00E43A1C">
      <w:pPr>
        <w:pStyle w:val="ListParagraph"/>
        <w:ind w:left="709" w:hanging="709"/>
        <w:jc w:val="both"/>
        <w:rPr>
          <w:rFonts w:ascii="Arial Narrow" w:hAnsi="Arial Narrow"/>
          <w:b/>
          <w:color w:val="000000" w:themeColor="text1"/>
        </w:rPr>
      </w:pPr>
    </w:p>
    <w:p w14:paraId="41DDA303" w14:textId="77777777" w:rsidR="00E43A1C" w:rsidRDefault="00E43A1C" w:rsidP="00E43A1C">
      <w:pPr>
        <w:pStyle w:val="ListParagraph"/>
        <w:ind w:left="1418" w:hanging="709"/>
        <w:jc w:val="both"/>
        <w:rPr>
          <w:rFonts w:ascii="Arial Narrow" w:hAnsi="Arial Narrow"/>
          <w:i/>
          <w:color w:val="000000" w:themeColor="text1"/>
        </w:rPr>
      </w:pPr>
      <w:r>
        <w:rPr>
          <w:rFonts w:ascii="Arial Narrow" w:hAnsi="Arial Narrow"/>
          <w:b/>
          <w:color w:val="000000" w:themeColor="text1"/>
        </w:rPr>
        <w:t>*</w:t>
      </w:r>
      <w:r>
        <w:rPr>
          <w:rFonts w:ascii="Arial Narrow" w:hAnsi="Arial Narrow"/>
          <w:color w:val="000000" w:themeColor="text1"/>
        </w:rPr>
        <w:t xml:space="preserve">   </w:t>
      </w:r>
      <w:r>
        <w:rPr>
          <w:rFonts w:ascii="Arial Narrow" w:hAnsi="Arial Narrow"/>
          <w:i/>
          <w:color w:val="000000" w:themeColor="text1"/>
        </w:rPr>
        <w:t>Allocation estimate in line with Estimates of National Expenditure</w:t>
      </w:r>
    </w:p>
    <w:p w14:paraId="6EC379A9" w14:textId="77777777" w:rsidR="00E43A1C" w:rsidRDefault="00E43A1C" w:rsidP="00E43A1C">
      <w:pPr>
        <w:pStyle w:val="ListParagraph"/>
        <w:ind w:left="1418" w:hanging="709"/>
        <w:jc w:val="both"/>
        <w:rPr>
          <w:rFonts w:ascii="Arial Narrow" w:hAnsi="Arial Narrow"/>
          <w:i/>
          <w:color w:val="000000" w:themeColor="text1"/>
        </w:rPr>
      </w:pPr>
      <w:r>
        <w:rPr>
          <w:rFonts w:ascii="Arial Narrow" w:hAnsi="Arial Narrow"/>
          <w:b/>
          <w:i/>
          <w:color w:val="000000" w:themeColor="text1"/>
        </w:rPr>
        <w:t>**</w:t>
      </w:r>
      <w:r>
        <w:rPr>
          <w:rFonts w:ascii="Arial Narrow" w:hAnsi="Arial Narrow"/>
          <w:i/>
          <w:color w:val="000000" w:themeColor="text1"/>
        </w:rPr>
        <w:t xml:space="preserve"> Provisional allocation in line with memoranda of agreement with the relevant development finance institution –</w:t>
      </w:r>
    </w:p>
    <w:p w14:paraId="5C1F44D9" w14:textId="77777777" w:rsidR="00E43A1C" w:rsidRDefault="00E43A1C" w:rsidP="00E43A1C">
      <w:pPr>
        <w:pStyle w:val="ListParagraph"/>
        <w:ind w:left="1418" w:hanging="709"/>
        <w:jc w:val="both"/>
        <w:rPr>
          <w:rFonts w:ascii="Arial Narrow" w:hAnsi="Arial Narrow"/>
          <w:i/>
          <w:color w:val="000000" w:themeColor="text1"/>
        </w:rPr>
      </w:pPr>
      <w:r>
        <w:rPr>
          <w:rFonts w:ascii="Arial Narrow" w:hAnsi="Arial Narrow"/>
          <w:i/>
          <w:color w:val="000000" w:themeColor="text1"/>
        </w:rPr>
        <w:t xml:space="preserve"> </w:t>
      </w:r>
      <w:proofErr w:type="gramStart"/>
      <w:r>
        <w:rPr>
          <w:rFonts w:ascii="Arial Narrow" w:hAnsi="Arial Narrow"/>
          <w:i/>
          <w:color w:val="000000" w:themeColor="text1"/>
        </w:rPr>
        <w:t>amounts</w:t>
      </w:r>
      <w:proofErr w:type="gramEnd"/>
      <w:r>
        <w:rPr>
          <w:rFonts w:ascii="Arial Narrow" w:hAnsi="Arial Narrow"/>
          <w:i/>
          <w:color w:val="000000" w:themeColor="text1"/>
        </w:rPr>
        <w:t xml:space="preserve"> may increase or decrease dependant on programme uptake and availability of funds</w:t>
      </w:r>
    </w:p>
    <w:p w14:paraId="36A12DCC" w14:textId="77777777" w:rsidR="00E43A1C" w:rsidRDefault="00E43A1C" w:rsidP="00E43A1C">
      <w:pPr>
        <w:pStyle w:val="ListParagraph"/>
        <w:spacing w:line="360" w:lineRule="auto"/>
        <w:ind w:left="709" w:hanging="709"/>
        <w:jc w:val="both"/>
        <w:rPr>
          <w:rFonts w:ascii="Arial Narrow" w:hAnsi="Arial Narrow"/>
          <w:color w:val="FF0000"/>
          <w:sz w:val="24"/>
          <w:szCs w:val="24"/>
        </w:rPr>
      </w:pPr>
    </w:p>
    <w:p w14:paraId="6066B357" w14:textId="77777777" w:rsidR="00E43A1C" w:rsidRDefault="00E43A1C" w:rsidP="00E43A1C">
      <w:pPr>
        <w:pStyle w:val="ListParagraph"/>
        <w:spacing w:line="360" w:lineRule="auto"/>
        <w:ind w:left="709" w:hanging="709"/>
        <w:jc w:val="both"/>
        <w:rPr>
          <w:rFonts w:ascii="Arial Narrow" w:hAnsi="Arial Narrow"/>
          <w:color w:val="000000" w:themeColor="text1"/>
          <w:sz w:val="24"/>
          <w:szCs w:val="24"/>
        </w:rPr>
      </w:pPr>
      <w:r>
        <w:rPr>
          <w:rFonts w:ascii="Arial Narrow" w:hAnsi="Arial Narrow"/>
          <w:color w:val="000000" w:themeColor="text1"/>
          <w:sz w:val="24"/>
          <w:szCs w:val="24"/>
        </w:rPr>
        <w:lastRenderedPageBreak/>
        <w:tab/>
        <w:t xml:space="preserve">The eligibility and qualifying criteria included in the programme guidelines for the market access support and the energy efficiency retrofitting (i.e. GTIP) programmes gives preference to, and offer increased benefits to small and transformed enterprises. The incubator initiatives under the enterprise development and capital investment (i.e. TTF) support programmes specifically focus on black owned enterprises. </w:t>
      </w:r>
    </w:p>
    <w:p w14:paraId="5EFAEE57" w14:textId="77777777" w:rsidR="00E43A1C" w:rsidRDefault="00E43A1C" w:rsidP="00E43A1C">
      <w:pPr>
        <w:pStyle w:val="ListParagraph"/>
        <w:spacing w:line="360" w:lineRule="auto"/>
        <w:ind w:left="709" w:hanging="709"/>
        <w:jc w:val="both"/>
        <w:rPr>
          <w:rFonts w:ascii="Arial Narrow" w:hAnsi="Arial Narrow"/>
          <w:color w:val="000000" w:themeColor="text1"/>
          <w:sz w:val="24"/>
          <w:szCs w:val="24"/>
        </w:rPr>
      </w:pPr>
    </w:p>
    <w:p w14:paraId="5B96625C" w14:textId="77777777" w:rsidR="00E43A1C" w:rsidRDefault="00E43A1C" w:rsidP="00E43A1C">
      <w:pPr>
        <w:pStyle w:val="ListParagraph"/>
        <w:spacing w:line="360" w:lineRule="auto"/>
        <w:ind w:left="709" w:hanging="709"/>
        <w:jc w:val="both"/>
        <w:rPr>
          <w:rFonts w:ascii="Arial Narrow" w:hAnsi="Arial Narrow"/>
          <w:color w:val="000000" w:themeColor="text1"/>
          <w:sz w:val="24"/>
          <w:szCs w:val="24"/>
        </w:rPr>
      </w:pPr>
      <w:r>
        <w:rPr>
          <w:rFonts w:ascii="Arial Narrow" w:hAnsi="Arial Narrow"/>
          <w:color w:val="000000" w:themeColor="text1"/>
          <w:sz w:val="24"/>
          <w:szCs w:val="24"/>
        </w:rPr>
        <w:tab/>
        <w:t xml:space="preserve">It is further important to note that the TTF that </w:t>
      </w:r>
      <w:proofErr w:type="gramStart"/>
      <w:r>
        <w:rPr>
          <w:rFonts w:ascii="Arial Narrow" w:hAnsi="Arial Narrow"/>
          <w:color w:val="000000" w:themeColor="text1"/>
          <w:sz w:val="24"/>
          <w:szCs w:val="24"/>
        </w:rPr>
        <w:t>will be administered</w:t>
      </w:r>
      <w:proofErr w:type="gramEnd"/>
      <w:r>
        <w:rPr>
          <w:rFonts w:ascii="Arial Narrow" w:hAnsi="Arial Narrow"/>
          <w:color w:val="000000" w:themeColor="text1"/>
          <w:sz w:val="24"/>
          <w:szCs w:val="24"/>
        </w:rPr>
        <w:t xml:space="preserve"> by the National Empowerment Fund (NEF) is a dedicated support mechanism aimed at unlocking investment by black investors in the tourism sector. The department’s contribution of R120 million over the MTEF period will serve as a grant component. This </w:t>
      </w:r>
      <w:proofErr w:type="gramStart"/>
      <w:r>
        <w:rPr>
          <w:rFonts w:ascii="Arial Narrow" w:hAnsi="Arial Narrow"/>
          <w:color w:val="000000" w:themeColor="text1"/>
          <w:sz w:val="24"/>
          <w:szCs w:val="24"/>
        </w:rPr>
        <w:t>will be complemented</w:t>
      </w:r>
      <w:proofErr w:type="gramEnd"/>
      <w:r>
        <w:rPr>
          <w:rFonts w:ascii="Arial Narrow" w:hAnsi="Arial Narrow"/>
          <w:color w:val="000000" w:themeColor="text1"/>
          <w:sz w:val="24"/>
          <w:szCs w:val="24"/>
        </w:rPr>
        <w:t xml:space="preserve"> by equal contributions of R120 million in debt finance and R120 million in equity contributions from the NEF over the same period. Through the collaboration with NEF, the total value of the Tourism Transformation Fund will therefore be R360 million over the MTEF period. </w:t>
      </w:r>
    </w:p>
    <w:p w14:paraId="33484CB2" w14:textId="77777777" w:rsidR="00E43A1C" w:rsidRDefault="00E43A1C" w:rsidP="00E43A1C">
      <w:pPr>
        <w:spacing w:line="360" w:lineRule="auto"/>
        <w:ind w:left="709" w:hanging="709"/>
        <w:jc w:val="both"/>
        <w:rPr>
          <w:rFonts w:ascii="Arial Narrow" w:hAnsi="Arial Narrow"/>
          <w:color w:val="000000" w:themeColor="text1"/>
          <w:sz w:val="24"/>
          <w:szCs w:val="24"/>
        </w:rPr>
      </w:pPr>
    </w:p>
    <w:p w14:paraId="77B32A5E" w14:textId="77777777" w:rsidR="00E43A1C" w:rsidRDefault="00E43A1C" w:rsidP="00E43A1C">
      <w:pPr>
        <w:spacing w:line="360" w:lineRule="auto"/>
        <w:ind w:left="709" w:hanging="709"/>
        <w:jc w:val="both"/>
        <w:rPr>
          <w:rFonts w:ascii="Arial Narrow" w:hAnsi="Arial Narrow"/>
          <w:color w:val="000000" w:themeColor="text1"/>
          <w:sz w:val="24"/>
          <w:szCs w:val="24"/>
        </w:rPr>
      </w:pPr>
    </w:p>
    <w:p w14:paraId="2F6D52F5" w14:textId="77777777" w:rsidR="00E43A1C" w:rsidRDefault="00E43A1C" w:rsidP="00E43A1C">
      <w:pPr>
        <w:spacing w:line="360" w:lineRule="auto"/>
        <w:ind w:left="709" w:hanging="709"/>
        <w:jc w:val="both"/>
        <w:rPr>
          <w:rFonts w:ascii="Arial Narrow" w:hAnsi="Arial Narrow"/>
          <w:color w:val="000000" w:themeColor="text1"/>
          <w:sz w:val="24"/>
          <w:szCs w:val="24"/>
        </w:rPr>
      </w:pPr>
    </w:p>
    <w:p w14:paraId="10144FC2" w14:textId="77777777" w:rsidR="00E43A1C" w:rsidRPr="007E587B" w:rsidRDefault="00E43A1C" w:rsidP="00E43A1C">
      <w:pPr>
        <w:pBdr>
          <w:top w:val="nil"/>
          <w:left w:val="nil"/>
          <w:bottom w:val="nil"/>
          <w:right w:val="nil"/>
          <w:between w:val="nil"/>
          <w:bar w:val="nil"/>
        </w:pBdr>
        <w:spacing w:after="0" w:line="240" w:lineRule="auto"/>
        <w:jc w:val="both"/>
        <w:rPr>
          <w:rFonts w:ascii="Arial" w:eastAsia="Arial Unicode MS" w:hAnsi="Arial Unicode MS" w:cs="Arial Unicode MS"/>
          <w:b/>
          <w:bCs/>
          <w:color w:val="000000"/>
          <w:u w:color="000000"/>
          <w:bdr w:val="nil"/>
          <w:lang w:val="en-GB" w:eastAsia="en-GB"/>
        </w:rPr>
      </w:pPr>
    </w:p>
    <w:p w14:paraId="76447547" w14:textId="77777777" w:rsidR="000F1B1A" w:rsidRDefault="000F1B1A"/>
    <w:sectPr w:rsidR="000F1B1A" w:rsidSect="002E00C0">
      <w:footerReference w:type="default" r:id="rId8"/>
      <w:footerReference w:type="first" r:id="rId9"/>
      <w:pgSz w:w="11900" w:h="16840"/>
      <w:pgMar w:top="454" w:right="1134" w:bottom="510"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478F2C" w14:textId="77777777" w:rsidR="00E319CF" w:rsidRDefault="00E319CF">
      <w:pPr>
        <w:spacing w:after="0" w:line="240" w:lineRule="auto"/>
      </w:pPr>
      <w:r>
        <w:separator/>
      </w:r>
    </w:p>
  </w:endnote>
  <w:endnote w:type="continuationSeparator" w:id="0">
    <w:p w14:paraId="2F1E3756" w14:textId="77777777" w:rsidR="00E319CF" w:rsidRDefault="00E31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9DDCA" w14:textId="77777777" w:rsidR="00C0184E" w:rsidRPr="00C0184E" w:rsidRDefault="00E43A1C" w:rsidP="00C0184E">
    <w:pPr>
      <w:pStyle w:val="Footer"/>
      <w:jc w:val="center"/>
      <w:rPr>
        <w:rFonts w:ascii="Arial" w:hAnsi="Arial" w:cs="Arial"/>
        <w:sz w:val="20"/>
        <w:szCs w:val="20"/>
      </w:rPr>
    </w:pPr>
    <w:r w:rsidRPr="00C0184E">
      <w:rPr>
        <w:rFonts w:ascii="Arial" w:hAnsi="Arial" w:cs="Arial"/>
        <w:sz w:val="20"/>
        <w:szCs w:val="20"/>
      </w:rPr>
      <w:t>Page 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E254D" w14:textId="77777777" w:rsidR="00C0184E" w:rsidRDefault="00767FB4">
    <w:pPr>
      <w:pStyle w:val="Footer"/>
      <w:jc w:val="right"/>
    </w:pPr>
  </w:p>
  <w:p w14:paraId="0B89D185" w14:textId="77777777" w:rsidR="001656DE" w:rsidRDefault="00767FB4">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85BE4E" w14:textId="77777777" w:rsidR="00E319CF" w:rsidRDefault="00E319CF">
      <w:pPr>
        <w:spacing w:after="0" w:line="240" w:lineRule="auto"/>
      </w:pPr>
      <w:r>
        <w:separator/>
      </w:r>
    </w:p>
  </w:footnote>
  <w:footnote w:type="continuationSeparator" w:id="0">
    <w:p w14:paraId="7524A0AE" w14:textId="77777777" w:rsidR="00E319CF" w:rsidRDefault="00E319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E11E2A"/>
    <w:multiLevelType w:val="hybridMultilevel"/>
    <w:tmpl w:val="5694E5EC"/>
    <w:lvl w:ilvl="0" w:tplc="B1A0E320">
      <w:start w:val="2"/>
      <w:numFmt w:val="lowerLetter"/>
      <w:lvlText w:val="(%1)"/>
      <w:lvlJc w:val="left"/>
      <w:pPr>
        <w:ind w:left="720" w:hanging="360"/>
      </w:pPr>
      <w:rPr>
        <w:color w:val="000000" w:themeColor="text1"/>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 w15:restartNumberingAfterBreak="0">
    <w:nsid w:val="61B34E2A"/>
    <w:multiLevelType w:val="hybridMultilevel"/>
    <w:tmpl w:val="E94829E8"/>
    <w:lvl w:ilvl="0" w:tplc="CCC895A2">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A1C"/>
    <w:rsid w:val="000F1B1A"/>
    <w:rsid w:val="003A3058"/>
    <w:rsid w:val="00767FB4"/>
    <w:rsid w:val="00E319CF"/>
    <w:rsid w:val="00E43A1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5B846"/>
  <w15:chartTrackingRefBased/>
  <w15:docId w15:val="{54479EC7-61BB-437B-8334-540E7C207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A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E43A1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43A1C"/>
  </w:style>
  <w:style w:type="paragraph" w:customStyle="1" w:styleId="HeaderFooter">
    <w:name w:val="Header &amp; Footer"/>
    <w:rsid w:val="00E43A1C"/>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GB" w:eastAsia="en-GB"/>
    </w:rPr>
  </w:style>
  <w:style w:type="paragraph" w:styleId="ListParagraph">
    <w:name w:val="List Paragraph"/>
    <w:basedOn w:val="Normal"/>
    <w:uiPriority w:val="34"/>
    <w:qFormat/>
    <w:rsid w:val="00E43A1C"/>
    <w:pPr>
      <w:spacing w:after="0" w:line="240" w:lineRule="auto"/>
      <w:ind w:left="720"/>
      <w:contextualSpacing/>
    </w:pPr>
    <w:rPr>
      <w:rFonts w:ascii="Times New Roman" w:eastAsia="Times New Roman" w:hAnsi="Times New Roman" w:cs="Times New Roman"/>
      <w:sz w:val="20"/>
      <w:szCs w:val="20"/>
      <w:lang w:val="en-GB"/>
    </w:rPr>
  </w:style>
  <w:style w:type="table" w:styleId="TableGrid">
    <w:name w:val="Table Grid"/>
    <w:basedOn w:val="TableNormal"/>
    <w:uiPriority w:val="39"/>
    <w:rsid w:val="00E43A1C"/>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744</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MTitus-NB</dc:creator>
  <cp:keywords/>
  <dc:description/>
  <cp:lastModifiedBy>Sehlabela Chuene</cp:lastModifiedBy>
  <cp:revision>2</cp:revision>
  <dcterms:created xsi:type="dcterms:W3CDTF">2017-07-07T12:01:00Z</dcterms:created>
  <dcterms:modified xsi:type="dcterms:W3CDTF">2017-07-07T12:01:00Z</dcterms:modified>
</cp:coreProperties>
</file>