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DE5A45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100FB2">
        <w:rPr>
          <w:rFonts w:ascii="Arial" w:hAnsi="Arial" w:cs="Arial"/>
          <w:b/>
          <w:bCs/>
        </w:rPr>
        <w:t>1385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ED39C0">
        <w:rPr>
          <w:rFonts w:ascii="Arial" w:hAnsi="Arial" w:cs="Arial"/>
          <w:b/>
          <w:bCs/>
          <w:u w:val="single"/>
        </w:rPr>
        <w:t>26</w:t>
      </w:r>
      <w:r w:rsidR="00D85689">
        <w:rPr>
          <w:rFonts w:ascii="Arial" w:hAnsi="Arial" w:cs="Arial"/>
          <w:b/>
          <w:bCs/>
          <w:u w:val="single"/>
        </w:rPr>
        <w:t>/05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ED39C0">
        <w:rPr>
          <w:rFonts w:ascii="Arial" w:hAnsi="Arial" w:cs="Arial"/>
          <w:b/>
          <w:bCs/>
          <w:u w:val="single"/>
        </w:rPr>
        <w:t>18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100FB2" w:rsidRPr="0083681E" w:rsidRDefault="00100FB2" w:rsidP="0083681E">
      <w:pPr>
        <w:spacing w:line="360" w:lineRule="auto"/>
        <w:ind w:left="816" w:hanging="816"/>
        <w:jc w:val="both"/>
        <w:rPr>
          <w:rFonts w:ascii="Arial" w:hAnsi="Arial" w:cs="Arial"/>
          <w:b/>
          <w:lang w:val="en-ZA"/>
        </w:rPr>
      </w:pPr>
      <w:r w:rsidRPr="0083681E">
        <w:rPr>
          <w:rFonts w:ascii="Arial" w:hAnsi="Arial" w:cs="Arial"/>
          <w:b/>
          <w:lang w:val="en-ZA"/>
        </w:rPr>
        <w:t>Mr A P van der Westhuizen (DA) to ask the Minister of Higher Education and Training:</w:t>
      </w:r>
    </w:p>
    <w:p w:rsidR="008135B9" w:rsidRPr="0083681E" w:rsidRDefault="00100FB2" w:rsidP="0083681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  <w:r w:rsidRPr="0083681E">
        <w:rPr>
          <w:rFonts w:ascii="Arial" w:hAnsi="Arial" w:cs="Arial"/>
          <w:lang w:val="en-ZA"/>
        </w:rPr>
        <w:t xml:space="preserve">What is the detailed breakdown of expenditure incurred by the Education, Training and Development Practices Sector Education Authority, grouped under the heading consultancy fees, in the audited financial </w:t>
      </w:r>
      <w:r w:rsidRPr="0083681E">
        <w:rPr>
          <w:rFonts w:ascii="Arial" w:hAnsi="Arial" w:cs="Arial"/>
          <w:lang w:val="af-ZA"/>
        </w:rPr>
        <w:t>statements</w:t>
      </w:r>
      <w:r w:rsidRPr="0083681E">
        <w:rPr>
          <w:rFonts w:ascii="Arial" w:hAnsi="Arial" w:cs="Arial"/>
          <w:lang w:val="en-ZA"/>
        </w:rPr>
        <w:t xml:space="preserve"> in the (a) 2013-14, (b) 2014-15, (c) 2015-16 and (d) 2016-17 financial years?</w:t>
      </w:r>
      <w:r w:rsidRPr="0083681E">
        <w:rPr>
          <w:rFonts w:ascii="Arial" w:hAnsi="Arial" w:cs="Arial"/>
          <w:lang w:val="en-ZA"/>
        </w:rPr>
        <w:tab/>
      </w:r>
      <w:r w:rsidRPr="0083681E">
        <w:rPr>
          <w:rFonts w:ascii="Arial" w:hAnsi="Arial" w:cs="Arial"/>
          <w:lang w:val="en-ZA"/>
        </w:rPr>
        <w:tab/>
      </w:r>
      <w:r w:rsidRPr="0083681E">
        <w:rPr>
          <w:rFonts w:ascii="Arial" w:hAnsi="Arial" w:cs="Arial"/>
          <w:lang w:val="en-ZA"/>
        </w:rPr>
        <w:tab/>
      </w:r>
    </w:p>
    <w:p w:rsidR="00100FB2" w:rsidRPr="0083681E" w:rsidRDefault="00100FB2" w:rsidP="0083681E">
      <w:pPr>
        <w:spacing w:line="360" w:lineRule="auto"/>
        <w:ind w:left="7291" w:firstLine="629"/>
        <w:jc w:val="right"/>
        <w:outlineLvl w:val="0"/>
        <w:rPr>
          <w:rFonts w:ascii="Arial" w:hAnsi="Arial" w:cs="Arial"/>
          <w:b/>
          <w:sz w:val="20"/>
          <w:lang w:val="en-ZA"/>
        </w:rPr>
      </w:pPr>
      <w:r w:rsidRPr="0083681E">
        <w:rPr>
          <w:rFonts w:ascii="Arial" w:hAnsi="Arial" w:cs="Arial"/>
          <w:b/>
          <w:sz w:val="20"/>
          <w:lang w:val="en-ZA"/>
        </w:rPr>
        <w:t>NW1527E</w:t>
      </w:r>
    </w:p>
    <w:p w:rsidR="00A2288C" w:rsidRPr="0083681E" w:rsidRDefault="00A2288C" w:rsidP="0083681E">
      <w:pPr>
        <w:spacing w:line="360" w:lineRule="auto"/>
        <w:ind w:left="7920"/>
        <w:jc w:val="both"/>
        <w:rPr>
          <w:rFonts w:ascii="Arial" w:hAnsi="Arial" w:cs="Arial"/>
          <w:b/>
          <w:lang w:val="en-ZA"/>
        </w:rPr>
      </w:pPr>
    </w:p>
    <w:p w:rsidR="000C558D" w:rsidRPr="0083681E" w:rsidRDefault="000C558D" w:rsidP="0083681E">
      <w:pPr>
        <w:tabs>
          <w:tab w:val="left" w:pos="432"/>
          <w:tab w:val="left" w:pos="720"/>
        </w:tabs>
        <w:spacing w:line="360" w:lineRule="auto"/>
        <w:ind w:left="1440" w:hanging="720"/>
        <w:jc w:val="both"/>
        <w:rPr>
          <w:rFonts w:ascii="Arial" w:eastAsia="Times New Roman" w:hAnsi="Arial" w:cs="Arial"/>
          <w:b/>
        </w:rPr>
      </w:pPr>
    </w:p>
    <w:p w:rsidR="00D543F9" w:rsidRPr="0083681E" w:rsidRDefault="00D543F9" w:rsidP="0083681E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8135B9" w:rsidRPr="0083681E" w:rsidRDefault="008135B9" w:rsidP="0083681E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7B1EEC" w:rsidRPr="0083681E" w:rsidRDefault="007B1EEC" w:rsidP="0083681E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83681E" w:rsidRDefault="0083681E" w:rsidP="0083681E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DE5A45" w:rsidRDefault="00DE5A45" w:rsidP="009673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DE5A45" w:rsidRDefault="00DE5A45" w:rsidP="009673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DE5A45" w:rsidRDefault="00DE5A45" w:rsidP="009673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DE5A45" w:rsidRDefault="00DE5A45" w:rsidP="009673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DE5A45" w:rsidRDefault="00DE5A45" w:rsidP="009673B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8A4F4A" w:rsidRDefault="00B12389" w:rsidP="009673B1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83681E">
        <w:rPr>
          <w:rFonts w:ascii="Arial" w:hAnsi="Arial" w:cs="Arial"/>
          <w:b/>
        </w:rPr>
        <w:lastRenderedPageBreak/>
        <w:t>R</w:t>
      </w:r>
      <w:r w:rsidR="00FC1A3C" w:rsidRPr="0083681E">
        <w:rPr>
          <w:rFonts w:ascii="Arial" w:hAnsi="Arial" w:cs="Arial"/>
          <w:b/>
        </w:rPr>
        <w:t>EPLY:</w:t>
      </w:r>
    </w:p>
    <w:p w:rsidR="008A4F4A" w:rsidRPr="00756EFB" w:rsidRDefault="008A4F4A" w:rsidP="009673B1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756EFB">
        <w:rPr>
          <w:rFonts w:ascii="Arial" w:hAnsi="Arial" w:cs="Arial"/>
        </w:rPr>
        <w:t>The detail</w:t>
      </w:r>
      <w:r w:rsidR="00756EFB">
        <w:rPr>
          <w:rFonts w:ascii="Arial" w:hAnsi="Arial" w:cs="Arial"/>
        </w:rPr>
        <w:t>s</w:t>
      </w:r>
      <w:r w:rsidRPr="00756EFB">
        <w:rPr>
          <w:rFonts w:ascii="Arial" w:hAnsi="Arial" w:cs="Arial"/>
        </w:rPr>
        <w:t xml:space="preserve"> </w:t>
      </w:r>
      <w:r w:rsidR="007F4A0F">
        <w:rPr>
          <w:rFonts w:ascii="Arial" w:hAnsi="Arial" w:cs="Arial"/>
        </w:rPr>
        <w:t xml:space="preserve">for questions (a) to (d) </w:t>
      </w:r>
      <w:r w:rsidR="00756EFB">
        <w:rPr>
          <w:rFonts w:ascii="Arial" w:hAnsi="Arial" w:cs="Arial"/>
        </w:rPr>
        <w:t xml:space="preserve">are </w:t>
      </w:r>
      <w:r w:rsidR="0083681E" w:rsidRPr="00756EFB">
        <w:rPr>
          <w:rFonts w:ascii="Arial" w:hAnsi="Arial" w:cs="Arial"/>
        </w:rPr>
        <w:t>attached in Annexure A</w:t>
      </w:r>
      <w:r w:rsidR="008E3DBB" w:rsidRPr="00756EFB">
        <w:rPr>
          <w:rFonts w:ascii="Arial" w:hAnsi="Arial" w:cs="Arial"/>
        </w:rPr>
        <w:t>.</w:t>
      </w:r>
    </w:p>
    <w:p w:rsidR="00E103E5" w:rsidRPr="0083681E" w:rsidRDefault="0083681E" w:rsidP="009673B1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>The r</w:t>
      </w:r>
      <w:r w:rsidR="007B1EEC" w:rsidRPr="0083681E">
        <w:rPr>
          <w:rFonts w:ascii="Arial" w:hAnsi="Arial" w:cs="Arial"/>
        </w:rPr>
        <w:t>easons for</w:t>
      </w:r>
      <w:r w:rsidR="008A4F4A" w:rsidRPr="0083681E">
        <w:rPr>
          <w:rFonts w:ascii="Arial" w:hAnsi="Arial" w:cs="Arial"/>
        </w:rPr>
        <w:t xml:space="preserve"> the </w:t>
      </w:r>
      <w:r w:rsidRPr="0083681E">
        <w:rPr>
          <w:rFonts w:ascii="Arial" w:hAnsi="Arial" w:cs="Arial"/>
          <w:lang w:val="en-ZA"/>
        </w:rPr>
        <w:t>Education, Training and Development Practices Sector Education Authority</w:t>
      </w:r>
      <w:r w:rsidRPr="00836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A4F4A" w:rsidRPr="0083681E">
        <w:rPr>
          <w:rFonts w:ascii="Arial" w:hAnsi="Arial" w:cs="Arial"/>
        </w:rPr>
        <w:t>ETDP</w:t>
      </w:r>
      <w:r>
        <w:rPr>
          <w:rFonts w:ascii="Arial" w:hAnsi="Arial" w:cs="Arial"/>
        </w:rPr>
        <w:t xml:space="preserve"> </w:t>
      </w:r>
      <w:r w:rsidR="008A4F4A" w:rsidRPr="0083681E">
        <w:rPr>
          <w:rFonts w:ascii="Arial" w:hAnsi="Arial" w:cs="Arial"/>
        </w:rPr>
        <w:t>SETA</w:t>
      </w:r>
      <w:r>
        <w:rPr>
          <w:rFonts w:ascii="Arial" w:hAnsi="Arial" w:cs="Arial"/>
        </w:rPr>
        <w:t>)</w:t>
      </w:r>
      <w:r w:rsidRPr="0083681E">
        <w:rPr>
          <w:rFonts w:ascii="Arial" w:hAnsi="Arial" w:cs="Arial"/>
        </w:rPr>
        <w:t xml:space="preserve"> u</w:t>
      </w:r>
      <w:r w:rsidR="00756EFB">
        <w:rPr>
          <w:rFonts w:ascii="Arial" w:hAnsi="Arial" w:cs="Arial"/>
        </w:rPr>
        <w:t xml:space="preserve">tilisation of </w:t>
      </w:r>
      <w:r w:rsidRPr="0083681E">
        <w:rPr>
          <w:rFonts w:ascii="Arial" w:hAnsi="Arial" w:cs="Arial"/>
        </w:rPr>
        <w:t>consultants are as follows</w:t>
      </w:r>
      <w:r w:rsidR="008A4F4A" w:rsidRPr="0083681E">
        <w:rPr>
          <w:rFonts w:ascii="Arial" w:hAnsi="Arial" w:cs="Arial"/>
        </w:rPr>
        <w:t>:</w:t>
      </w:r>
    </w:p>
    <w:p w:rsidR="008A4F4A" w:rsidRPr="0083681E" w:rsidRDefault="0083681E" w:rsidP="009673B1">
      <w:pPr>
        <w:numPr>
          <w:ilvl w:val="0"/>
          <w:numId w:val="45"/>
        </w:numPr>
        <w:spacing w:after="0" w:line="360" w:lineRule="auto"/>
        <w:ind w:left="453" w:hanging="272"/>
        <w:jc w:val="both"/>
        <w:rPr>
          <w:rFonts w:ascii="Arial" w:hAnsi="Arial" w:cs="Arial"/>
          <w:b/>
          <w:iCs/>
          <w:lang w:val="en-ZA"/>
        </w:rPr>
      </w:pPr>
      <w:r w:rsidRPr="0083681E">
        <w:rPr>
          <w:rFonts w:ascii="Arial" w:hAnsi="Arial" w:cs="Arial"/>
          <w:b/>
          <w:iCs/>
        </w:rPr>
        <w:t xml:space="preserve">Education and Training Quality Assurance </w:t>
      </w:r>
      <w:r>
        <w:rPr>
          <w:rFonts w:ascii="Arial" w:hAnsi="Arial" w:cs="Arial"/>
          <w:b/>
          <w:iCs/>
        </w:rPr>
        <w:t>(</w:t>
      </w:r>
      <w:r w:rsidR="008A4F4A" w:rsidRPr="0083681E">
        <w:rPr>
          <w:rFonts w:ascii="Arial" w:hAnsi="Arial" w:cs="Arial"/>
          <w:b/>
          <w:iCs/>
        </w:rPr>
        <w:t>ETQA</w:t>
      </w:r>
      <w:r>
        <w:rPr>
          <w:rFonts w:ascii="Arial" w:hAnsi="Arial" w:cs="Arial"/>
          <w:b/>
          <w:iCs/>
        </w:rPr>
        <w:t>)</w:t>
      </w:r>
    </w:p>
    <w:p w:rsidR="008A4F4A" w:rsidRPr="0083681E" w:rsidRDefault="008A4F4A" w:rsidP="009673B1">
      <w:pPr>
        <w:spacing w:line="360" w:lineRule="auto"/>
        <w:ind w:left="450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 xml:space="preserve">In terms of the </w:t>
      </w:r>
      <w:r w:rsidR="0083681E">
        <w:rPr>
          <w:rFonts w:ascii="Arial" w:hAnsi="Arial" w:cs="Arial"/>
        </w:rPr>
        <w:t>Quality Council for Trades and Occupations (</w:t>
      </w:r>
      <w:r w:rsidRPr="0083681E">
        <w:rPr>
          <w:rFonts w:ascii="Arial" w:hAnsi="Arial" w:cs="Arial"/>
        </w:rPr>
        <w:t>QCTO</w:t>
      </w:r>
      <w:r w:rsidR="0083681E">
        <w:rPr>
          <w:rFonts w:ascii="Arial" w:hAnsi="Arial" w:cs="Arial"/>
        </w:rPr>
        <w:t>) delegation</w:t>
      </w:r>
      <w:r w:rsidR="009673B1">
        <w:rPr>
          <w:rFonts w:ascii="Arial" w:hAnsi="Arial" w:cs="Arial"/>
        </w:rPr>
        <w:t>s</w:t>
      </w:r>
      <w:r w:rsidR="0083681E">
        <w:rPr>
          <w:rFonts w:ascii="Arial" w:hAnsi="Arial" w:cs="Arial"/>
        </w:rPr>
        <w:t>, the ETDP SETA is required</w:t>
      </w:r>
      <w:r w:rsidRPr="0083681E">
        <w:rPr>
          <w:rFonts w:ascii="Arial" w:hAnsi="Arial" w:cs="Arial"/>
        </w:rPr>
        <w:t xml:space="preserve"> to use the services of verifiers with specific subject knowledge. The volume of verifications that need to be conducted far exceed</w:t>
      </w:r>
      <w:r w:rsidR="00756EFB">
        <w:rPr>
          <w:rFonts w:ascii="Arial" w:hAnsi="Arial" w:cs="Arial"/>
        </w:rPr>
        <w:t>s</w:t>
      </w:r>
      <w:r w:rsidRPr="0083681E">
        <w:rPr>
          <w:rFonts w:ascii="Arial" w:hAnsi="Arial" w:cs="Arial"/>
        </w:rPr>
        <w:t xml:space="preserve"> t</w:t>
      </w:r>
      <w:r w:rsidR="007B1EEC" w:rsidRPr="0083681E">
        <w:rPr>
          <w:rFonts w:ascii="Arial" w:hAnsi="Arial" w:cs="Arial"/>
        </w:rPr>
        <w:t>he internal ETDP SETA</w:t>
      </w:r>
      <w:r w:rsidR="009673B1">
        <w:rPr>
          <w:rFonts w:ascii="Arial" w:hAnsi="Arial" w:cs="Arial"/>
        </w:rPr>
        <w:t>’s</w:t>
      </w:r>
      <w:r w:rsidR="007B1EEC" w:rsidRPr="0083681E">
        <w:rPr>
          <w:rFonts w:ascii="Arial" w:hAnsi="Arial" w:cs="Arial"/>
        </w:rPr>
        <w:t xml:space="preserve"> capacity.</w:t>
      </w:r>
    </w:p>
    <w:p w:rsidR="008A4F4A" w:rsidRPr="0083681E" w:rsidRDefault="008A4F4A" w:rsidP="009673B1">
      <w:pPr>
        <w:numPr>
          <w:ilvl w:val="0"/>
          <w:numId w:val="45"/>
        </w:numPr>
        <w:spacing w:after="0" w:line="360" w:lineRule="auto"/>
        <w:ind w:left="453" w:hanging="272"/>
        <w:jc w:val="both"/>
        <w:rPr>
          <w:rFonts w:ascii="Arial" w:hAnsi="Arial" w:cs="Arial"/>
          <w:b/>
          <w:iCs/>
        </w:rPr>
      </w:pPr>
      <w:r w:rsidRPr="0083681E">
        <w:rPr>
          <w:rFonts w:ascii="Arial" w:hAnsi="Arial" w:cs="Arial"/>
          <w:b/>
          <w:iCs/>
        </w:rPr>
        <w:t>Research Chairs</w:t>
      </w:r>
    </w:p>
    <w:p w:rsidR="008A4F4A" w:rsidRPr="0083681E" w:rsidRDefault="009673B1" w:rsidP="009673B1">
      <w:p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ETDP </w:t>
      </w:r>
      <w:r w:rsidRPr="0083681E">
        <w:rPr>
          <w:rFonts w:ascii="Arial" w:hAnsi="Arial" w:cs="Arial"/>
        </w:rPr>
        <w:t>SETA</w:t>
      </w:r>
      <w:r>
        <w:rPr>
          <w:rFonts w:ascii="Arial" w:hAnsi="Arial" w:cs="Arial"/>
        </w:rPr>
        <w:t xml:space="preserve"> utilises</w:t>
      </w:r>
      <w:r w:rsidR="008A4F4A" w:rsidRPr="0083681E">
        <w:rPr>
          <w:rFonts w:ascii="Arial" w:hAnsi="Arial" w:cs="Arial"/>
        </w:rPr>
        <w:t xml:space="preserve"> the services of universities </w:t>
      </w:r>
      <w:r w:rsidR="00756EFB">
        <w:rPr>
          <w:rFonts w:ascii="Arial" w:hAnsi="Arial" w:cs="Arial"/>
        </w:rPr>
        <w:t xml:space="preserve">and research </w:t>
      </w:r>
      <w:r>
        <w:rPr>
          <w:rFonts w:ascii="Arial" w:hAnsi="Arial" w:cs="Arial"/>
        </w:rPr>
        <w:t>specialists,</w:t>
      </w:r>
      <w:r w:rsidR="00756EFB">
        <w:rPr>
          <w:rFonts w:ascii="Arial" w:hAnsi="Arial" w:cs="Arial"/>
        </w:rPr>
        <w:t xml:space="preserve"> as</w:t>
      </w:r>
      <w:r w:rsidR="008A4F4A" w:rsidRPr="00836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</w:t>
      </w:r>
      <w:r w:rsidR="008A4F4A" w:rsidRPr="0083681E">
        <w:rPr>
          <w:rFonts w:ascii="Arial" w:hAnsi="Arial" w:cs="Arial"/>
        </w:rPr>
        <w:t xml:space="preserve"> is not a specialised research institution. The establishment of research chairs assists </w:t>
      </w:r>
      <w:r>
        <w:rPr>
          <w:rFonts w:ascii="Arial" w:hAnsi="Arial" w:cs="Arial"/>
        </w:rPr>
        <w:t xml:space="preserve">ETDP </w:t>
      </w:r>
      <w:r w:rsidRPr="0083681E">
        <w:rPr>
          <w:rFonts w:ascii="Arial" w:hAnsi="Arial" w:cs="Arial"/>
        </w:rPr>
        <w:t xml:space="preserve">SETA </w:t>
      </w:r>
      <w:r w:rsidR="008A4F4A" w:rsidRPr="0083681E">
        <w:rPr>
          <w:rFonts w:ascii="Arial" w:hAnsi="Arial" w:cs="Arial"/>
        </w:rPr>
        <w:t>to increase its research capacity</w:t>
      </w:r>
      <w:r>
        <w:rPr>
          <w:rFonts w:ascii="Arial" w:hAnsi="Arial" w:cs="Arial"/>
        </w:rPr>
        <w:t xml:space="preserve"> and </w:t>
      </w:r>
      <w:r w:rsidR="008A4F4A" w:rsidRPr="0083681E">
        <w:rPr>
          <w:rFonts w:ascii="Arial" w:hAnsi="Arial" w:cs="Arial"/>
        </w:rPr>
        <w:t>transfer research ski</w:t>
      </w:r>
      <w:r w:rsidR="007B1EEC" w:rsidRPr="0083681E">
        <w:rPr>
          <w:rFonts w:ascii="Arial" w:hAnsi="Arial" w:cs="Arial"/>
        </w:rPr>
        <w:t xml:space="preserve">lls to </w:t>
      </w:r>
      <w:r>
        <w:rPr>
          <w:rFonts w:ascii="Arial" w:hAnsi="Arial" w:cs="Arial"/>
        </w:rPr>
        <w:t>its</w:t>
      </w:r>
      <w:r w:rsidR="007B1EEC" w:rsidRPr="0083681E">
        <w:rPr>
          <w:rFonts w:ascii="Arial" w:hAnsi="Arial" w:cs="Arial"/>
        </w:rPr>
        <w:t xml:space="preserve"> </w:t>
      </w:r>
      <w:r w:rsidR="0083681E">
        <w:rPr>
          <w:rFonts w:ascii="Arial" w:hAnsi="Arial" w:cs="Arial"/>
        </w:rPr>
        <w:t>s</w:t>
      </w:r>
      <w:r w:rsidR="007B1EEC" w:rsidRPr="0083681E">
        <w:rPr>
          <w:rFonts w:ascii="Arial" w:hAnsi="Arial" w:cs="Arial"/>
        </w:rPr>
        <w:t>taff.</w:t>
      </w:r>
    </w:p>
    <w:p w:rsidR="008A4F4A" w:rsidRPr="0083681E" w:rsidRDefault="008A4F4A" w:rsidP="009673B1">
      <w:pPr>
        <w:numPr>
          <w:ilvl w:val="0"/>
          <w:numId w:val="45"/>
        </w:numPr>
        <w:spacing w:after="0" w:line="360" w:lineRule="auto"/>
        <w:ind w:left="453" w:hanging="272"/>
        <w:jc w:val="both"/>
        <w:rPr>
          <w:rFonts w:ascii="Arial" w:hAnsi="Arial" w:cs="Arial"/>
          <w:b/>
        </w:rPr>
      </w:pPr>
      <w:r w:rsidRPr="0083681E">
        <w:rPr>
          <w:rFonts w:ascii="Arial" w:hAnsi="Arial" w:cs="Arial"/>
          <w:b/>
        </w:rPr>
        <w:t>Accounting Secondment</w:t>
      </w:r>
    </w:p>
    <w:p w:rsidR="008A4F4A" w:rsidRPr="0083681E" w:rsidRDefault="008E3DBB" w:rsidP="009673B1">
      <w:pPr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Difficulties were experienced </w:t>
      </w:r>
      <w:r w:rsidRPr="0083681E">
        <w:rPr>
          <w:rFonts w:ascii="Arial" w:hAnsi="Arial" w:cs="Arial"/>
        </w:rPr>
        <w:t xml:space="preserve">to recruit permanent </w:t>
      </w:r>
      <w:r w:rsidR="009673B1" w:rsidRPr="0083681E">
        <w:rPr>
          <w:rFonts w:ascii="Arial" w:hAnsi="Arial" w:cs="Arial"/>
        </w:rPr>
        <w:t>skills,</w:t>
      </w:r>
      <w:r w:rsidRPr="00836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A4F4A" w:rsidRPr="0083681E">
        <w:rPr>
          <w:rFonts w:ascii="Arial" w:hAnsi="Arial" w:cs="Arial"/>
        </w:rPr>
        <w:t xml:space="preserve">s </w:t>
      </w:r>
      <w:r w:rsidR="009673B1">
        <w:rPr>
          <w:rFonts w:ascii="Arial" w:hAnsi="Arial" w:cs="Arial"/>
        </w:rPr>
        <w:t>its</w:t>
      </w:r>
      <w:r w:rsidR="008A4F4A" w:rsidRPr="0083681E">
        <w:rPr>
          <w:rFonts w:ascii="Arial" w:hAnsi="Arial" w:cs="Arial"/>
        </w:rPr>
        <w:t xml:space="preserve"> lifespan was unknown due </w:t>
      </w:r>
      <w:r w:rsidR="0083681E">
        <w:rPr>
          <w:rFonts w:ascii="Arial" w:hAnsi="Arial" w:cs="Arial"/>
        </w:rPr>
        <w:t xml:space="preserve">to </w:t>
      </w:r>
      <w:r w:rsidR="009673B1">
        <w:rPr>
          <w:rFonts w:ascii="Arial" w:hAnsi="Arial" w:cs="Arial"/>
        </w:rPr>
        <w:t>the uncertainty of its</w:t>
      </w:r>
      <w:r>
        <w:rPr>
          <w:rFonts w:ascii="Arial" w:hAnsi="Arial" w:cs="Arial"/>
        </w:rPr>
        <w:t xml:space="preserve"> extension</w:t>
      </w:r>
      <w:r w:rsidR="008A4F4A" w:rsidRPr="0083681E">
        <w:rPr>
          <w:rFonts w:ascii="Arial" w:hAnsi="Arial" w:cs="Arial"/>
        </w:rPr>
        <w:t>. The cost of the secondment</w:t>
      </w:r>
      <w:r w:rsidR="009673B1">
        <w:rPr>
          <w:rFonts w:ascii="Arial" w:hAnsi="Arial" w:cs="Arial"/>
        </w:rPr>
        <w:t>s were</w:t>
      </w:r>
      <w:r w:rsidR="008A4F4A" w:rsidRPr="00836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more cost effective </w:t>
      </w:r>
      <w:r w:rsidR="008A4F4A" w:rsidRPr="0083681E">
        <w:rPr>
          <w:rFonts w:ascii="Arial" w:hAnsi="Arial" w:cs="Arial"/>
        </w:rPr>
        <w:t xml:space="preserve">than employing the same number of staff. </w:t>
      </w:r>
    </w:p>
    <w:p w:rsidR="00E103E5" w:rsidRPr="0083681E" w:rsidRDefault="00E103E5" w:rsidP="0083681E">
      <w:pPr>
        <w:spacing w:line="360" w:lineRule="auto"/>
        <w:jc w:val="both"/>
        <w:rPr>
          <w:rFonts w:ascii="Arial" w:hAnsi="Arial" w:cs="Arial"/>
          <w:b/>
        </w:rPr>
      </w:pPr>
    </w:p>
    <w:p w:rsidR="00C654A2" w:rsidRPr="0083681E" w:rsidRDefault="008E3DBB" w:rsidP="00836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83681E">
        <w:rPr>
          <w:rFonts w:ascii="Arial" w:hAnsi="Arial" w:cs="Arial"/>
        </w:rPr>
        <w:t>COMPILER/CONTACT PERSONS:</w:t>
      </w:r>
      <w:r w:rsidR="00BE2705" w:rsidRPr="0083681E">
        <w:rPr>
          <w:rFonts w:ascii="Arial" w:hAnsi="Arial" w:cs="Arial"/>
        </w:rPr>
        <w:t xml:space="preserve"> </w:t>
      </w:r>
    </w:p>
    <w:p w:rsidR="00C3677B" w:rsidRPr="0083681E" w:rsidRDefault="00CC27E4" w:rsidP="0083681E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>EXT:</w:t>
      </w:r>
      <w:r w:rsidR="00BE2705" w:rsidRPr="0083681E">
        <w:rPr>
          <w:rFonts w:ascii="Arial" w:hAnsi="Arial" w:cs="Arial"/>
        </w:rPr>
        <w:t xml:space="preserve"> </w:t>
      </w: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</w:p>
    <w:p w:rsidR="003E455E" w:rsidRPr="0083681E" w:rsidRDefault="003E455E" w:rsidP="0083681E">
      <w:pPr>
        <w:spacing w:line="360" w:lineRule="auto"/>
        <w:jc w:val="both"/>
        <w:rPr>
          <w:rFonts w:ascii="Arial" w:hAnsi="Arial" w:cs="Arial"/>
        </w:rPr>
      </w:pPr>
    </w:p>
    <w:p w:rsidR="00A0228E" w:rsidRPr="0083681E" w:rsidRDefault="00A0228E" w:rsidP="0083681E">
      <w:pPr>
        <w:spacing w:line="360" w:lineRule="auto"/>
        <w:jc w:val="both"/>
        <w:rPr>
          <w:rFonts w:ascii="Arial" w:hAnsi="Arial" w:cs="Arial"/>
        </w:rPr>
      </w:pP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>DIRECTOR –</w:t>
      </w:r>
      <w:r w:rsidR="00DE6F6F" w:rsidRPr="0083681E">
        <w:rPr>
          <w:rFonts w:ascii="Arial" w:hAnsi="Arial" w:cs="Arial"/>
        </w:rPr>
        <w:t xml:space="preserve"> </w:t>
      </w:r>
      <w:r w:rsidRPr="0083681E">
        <w:rPr>
          <w:rFonts w:ascii="Arial" w:hAnsi="Arial" w:cs="Arial"/>
        </w:rPr>
        <w:t>GENERAL</w:t>
      </w: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>STATUS:</w:t>
      </w: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>DATE:</w:t>
      </w:r>
    </w:p>
    <w:p w:rsidR="003E455E" w:rsidRPr="0083681E" w:rsidRDefault="003E455E" w:rsidP="0083681E">
      <w:pPr>
        <w:spacing w:line="360" w:lineRule="auto"/>
        <w:jc w:val="both"/>
        <w:rPr>
          <w:rFonts w:ascii="Arial" w:hAnsi="Arial" w:cs="Arial"/>
        </w:rPr>
      </w:pP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 xml:space="preserve">QUESTION </w:t>
      </w:r>
      <w:r w:rsidR="00100FB2" w:rsidRPr="0083681E">
        <w:rPr>
          <w:rFonts w:ascii="Arial" w:hAnsi="Arial" w:cs="Arial"/>
        </w:rPr>
        <w:t>1385</w:t>
      </w:r>
      <w:r w:rsidR="005C6ED1" w:rsidRPr="0083681E">
        <w:rPr>
          <w:rFonts w:ascii="Arial" w:hAnsi="Arial" w:cs="Arial"/>
        </w:rPr>
        <w:t xml:space="preserve"> </w:t>
      </w:r>
      <w:r w:rsidRPr="0083681E">
        <w:rPr>
          <w:rFonts w:ascii="Arial" w:hAnsi="Arial" w:cs="Arial"/>
        </w:rPr>
        <w:t xml:space="preserve">APPROVED/NOT APPROVED/AMENDED </w:t>
      </w: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</w:p>
    <w:p w:rsidR="00245A6B" w:rsidRPr="0083681E" w:rsidRDefault="00245A6B" w:rsidP="0083681E">
      <w:pPr>
        <w:spacing w:line="360" w:lineRule="auto"/>
        <w:jc w:val="both"/>
        <w:rPr>
          <w:rFonts w:ascii="Arial" w:hAnsi="Arial" w:cs="Arial"/>
        </w:rPr>
      </w:pPr>
    </w:p>
    <w:p w:rsidR="00A0228E" w:rsidRPr="0083681E" w:rsidRDefault="00A0228E" w:rsidP="0083681E">
      <w:pPr>
        <w:spacing w:line="360" w:lineRule="auto"/>
        <w:jc w:val="both"/>
        <w:rPr>
          <w:rFonts w:ascii="Arial" w:hAnsi="Arial" w:cs="Arial"/>
        </w:rPr>
      </w:pP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>Dr B</w:t>
      </w:r>
      <w:r w:rsidR="007B1EEC" w:rsidRPr="0083681E">
        <w:rPr>
          <w:rFonts w:ascii="Arial" w:hAnsi="Arial" w:cs="Arial"/>
        </w:rPr>
        <w:t>E</w:t>
      </w:r>
      <w:r w:rsidRPr="0083681E">
        <w:rPr>
          <w:rFonts w:ascii="Arial" w:hAnsi="Arial" w:cs="Arial"/>
        </w:rPr>
        <w:t xml:space="preserve"> NZIMANDE, MP</w:t>
      </w: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>MINISTER OF HIGHER EDUCATION AND TRAINING</w:t>
      </w: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>STATUS:</w:t>
      </w:r>
    </w:p>
    <w:p w:rsidR="00C3677B" w:rsidRPr="0083681E" w:rsidRDefault="00C3677B" w:rsidP="0083681E">
      <w:pPr>
        <w:spacing w:line="360" w:lineRule="auto"/>
        <w:jc w:val="both"/>
        <w:rPr>
          <w:rFonts w:ascii="Arial" w:hAnsi="Arial" w:cs="Arial"/>
        </w:rPr>
      </w:pPr>
      <w:r w:rsidRPr="0083681E">
        <w:rPr>
          <w:rFonts w:ascii="Arial" w:hAnsi="Arial" w:cs="Arial"/>
        </w:rPr>
        <w:t>DATE:</w:t>
      </w:r>
    </w:p>
    <w:sectPr w:rsidR="00C3677B" w:rsidRPr="0083681E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7151"/>
    <w:multiLevelType w:val="hybridMultilevel"/>
    <w:tmpl w:val="EE78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9082C"/>
    <w:multiLevelType w:val="hybridMultilevel"/>
    <w:tmpl w:val="7B18D5C6"/>
    <w:lvl w:ilvl="0" w:tplc="B5DE8A52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6"/>
  </w:num>
  <w:num w:numId="4">
    <w:abstractNumId w:val="8"/>
  </w:num>
  <w:num w:numId="5">
    <w:abstractNumId w:val="39"/>
  </w:num>
  <w:num w:numId="6">
    <w:abstractNumId w:val="28"/>
  </w:num>
  <w:num w:numId="7">
    <w:abstractNumId w:val="38"/>
  </w:num>
  <w:num w:numId="8">
    <w:abstractNumId w:val="5"/>
  </w:num>
  <w:num w:numId="9">
    <w:abstractNumId w:val="34"/>
  </w:num>
  <w:num w:numId="10">
    <w:abstractNumId w:val="24"/>
  </w:num>
  <w:num w:numId="11">
    <w:abstractNumId w:val="37"/>
  </w:num>
  <w:num w:numId="12">
    <w:abstractNumId w:val="12"/>
  </w:num>
  <w:num w:numId="13">
    <w:abstractNumId w:val="43"/>
  </w:num>
  <w:num w:numId="14">
    <w:abstractNumId w:val="18"/>
  </w:num>
  <w:num w:numId="15">
    <w:abstractNumId w:val="6"/>
  </w:num>
  <w:num w:numId="16">
    <w:abstractNumId w:val="29"/>
  </w:num>
  <w:num w:numId="17">
    <w:abstractNumId w:val="14"/>
  </w:num>
  <w:num w:numId="18">
    <w:abstractNumId w:val="32"/>
  </w:num>
  <w:num w:numId="19">
    <w:abstractNumId w:val="30"/>
  </w:num>
  <w:num w:numId="20">
    <w:abstractNumId w:val="7"/>
  </w:num>
  <w:num w:numId="21">
    <w:abstractNumId w:val="19"/>
  </w:num>
  <w:num w:numId="22">
    <w:abstractNumId w:val="44"/>
  </w:num>
  <w:num w:numId="23">
    <w:abstractNumId w:val="33"/>
  </w:num>
  <w:num w:numId="24">
    <w:abstractNumId w:val="42"/>
  </w:num>
  <w:num w:numId="25">
    <w:abstractNumId w:val="40"/>
  </w:num>
  <w:num w:numId="26">
    <w:abstractNumId w:val="1"/>
  </w:num>
  <w:num w:numId="27">
    <w:abstractNumId w:val="15"/>
  </w:num>
  <w:num w:numId="28">
    <w:abstractNumId w:val="2"/>
  </w:num>
  <w:num w:numId="29">
    <w:abstractNumId w:val="35"/>
  </w:num>
  <w:num w:numId="30">
    <w:abstractNumId w:val="17"/>
  </w:num>
  <w:num w:numId="31">
    <w:abstractNumId w:val="0"/>
  </w:num>
  <w:num w:numId="32">
    <w:abstractNumId w:val="41"/>
  </w:num>
  <w:num w:numId="33">
    <w:abstractNumId w:val="16"/>
  </w:num>
  <w:num w:numId="34">
    <w:abstractNumId w:val="9"/>
  </w:num>
  <w:num w:numId="35">
    <w:abstractNumId w:val="10"/>
  </w:num>
  <w:num w:numId="36">
    <w:abstractNumId w:val="11"/>
  </w:num>
  <w:num w:numId="37">
    <w:abstractNumId w:val="27"/>
  </w:num>
  <w:num w:numId="38">
    <w:abstractNumId w:val="21"/>
  </w:num>
  <w:num w:numId="39">
    <w:abstractNumId w:val="26"/>
  </w:num>
  <w:num w:numId="40">
    <w:abstractNumId w:val="25"/>
  </w:num>
  <w:num w:numId="41">
    <w:abstractNumId w:val="23"/>
  </w:num>
  <w:num w:numId="42">
    <w:abstractNumId w:val="3"/>
  </w:num>
  <w:num w:numId="43">
    <w:abstractNumId w:val="4"/>
  </w:num>
  <w:num w:numId="44">
    <w:abstractNumId w:val="2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305F6"/>
    <w:rsid w:val="00032AB5"/>
    <w:rsid w:val="00036029"/>
    <w:rsid w:val="00041F99"/>
    <w:rsid w:val="0004639E"/>
    <w:rsid w:val="000505EA"/>
    <w:rsid w:val="000579B9"/>
    <w:rsid w:val="00060888"/>
    <w:rsid w:val="00063A3A"/>
    <w:rsid w:val="00075314"/>
    <w:rsid w:val="00087811"/>
    <w:rsid w:val="00096A3C"/>
    <w:rsid w:val="000A02C9"/>
    <w:rsid w:val="000A0D33"/>
    <w:rsid w:val="000B7F3D"/>
    <w:rsid w:val="000C558D"/>
    <w:rsid w:val="000E58BD"/>
    <w:rsid w:val="000F2117"/>
    <w:rsid w:val="000F7AC3"/>
    <w:rsid w:val="00100FB2"/>
    <w:rsid w:val="00102241"/>
    <w:rsid w:val="0010402E"/>
    <w:rsid w:val="0010795D"/>
    <w:rsid w:val="001124D5"/>
    <w:rsid w:val="00125282"/>
    <w:rsid w:val="001256E4"/>
    <w:rsid w:val="00135E62"/>
    <w:rsid w:val="0014191A"/>
    <w:rsid w:val="00141CFF"/>
    <w:rsid w:val="001447C9"/>
    <w:rsid w:val="00147BA4"/>
    <w:rsid w:val="001527E6"/>
    <w:rsid w:val="0015436C"/>
    <w:rsid w:val="0017440B"/>
    <w:rsid w:val="00176498"/>
    <w:rsid w:val="00185818"/>
    <w:rsid w:val="00191755"/>
    <w:rsid w:val="00194585"/>
    <w:rsid w:val="001A01DC"/>
    <w:rsid w:val="001A1252"/>
    <w:rsid w:val="001A277A"/>
    <w:rsid w:val="001A69D0"/>
    <w:rsid w:val="001B1FBE"/>
    <w:rsid w:val="001B50A3"/>
    <w:rsid w:val="001C0469"/>
    <w:rsid w:val="001C33B5"/>
    <w:rsid w:val="001C6A3B"/>
    <w:rsid w:val="001D7C6A"/>
    <w:rsid w:val="001E36DF"/>
    <w:rsid w:val="001F4B7D"/>
    <w:rsid w:val="001F7966"/>
    <w:rsid w:val="00203DEF"/>
    <w:rsid w:val="0020779F"/>
    <w:rsid w:val="00215455"/>
    <w:rsid w:val="0021665A"/>
    <w:rsid w:val="00217678"/>
    <w:rsid w:val="0022116B"/>
    <w:rsid w:val="002264C4"/>
    <w:rsid w:val="00227702"/>
    <w:rsid w:val="00245A6B"/>
    <w:rsid w:val="002474F7"/>
    <w:rsid w:val="002476A9"/>
    <w:rsid w:val="00256281"/>
    <w:rsid w:val="00264295"/>
    <w:rsid w:val="00265A26"/>
    <w:rsid w:val="00265A88"/>
    <w:rsid w:val="002670F8"/>
    <w:rsid w:val="00270825"/>
    <w:rsid w:val="00284BC9"/>
    <w:rsid w:val="00285961"/>
    <w:rsid w:val="0029445D"/>
    <w:rsid w:val="002A17B0"/>
    <w:rsid w:val="002A2F73"/>
    <w:rsid w:val="002A7C45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840"/>
    <w:rsid w:val="00313A4B"/>
    <w:rsid w:val="00315B13"/>
    <w:rsid w:val="003179C4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612EE"/>
    <w:rsid w:val="00361776"/>
    <w:rsid w:val="00374E4A"/>
    <w:rsid w:val="0037732E"/>
    <w:rsid w:val="003963E3"/>
    <w:rsid w:val="003A40A1"/>
    <w:rsid w:val="003A684F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F104C"/>
    <w:rsid w:val="003F735C"/>
    <w:rsid w:val="00402E61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72ED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F37DA"/>
    <w:rsid w:val="00504B93"/>
    <w:rsid w:val="00506E45"/>
    <w:rsid w:val="005127E5"/>
    <w:rsid w:val="005223B8"/>
    <w:rsid w:val="005237E8"/>
    <w:rsid w:val="0053292C"/>
    <w:rsid w:val="00544C9F"/>
    <w:rsid w:val="00552E00"/>
    <w:rsid w:val="005577D9"/>
    <w:rsid w:val="00561493"/>
    <w:rsid w:val="00571740"/>
    <w:rsid w:val="00571C3F"/>
    <w:rsid w:val="00574DBC"/>
    <w:rsid w:val="00585D0E"/>
    <w:rsid w:val="00586840"/>
    <w:rsid w:val="005A2660"/>
    <w:rsid w:val="005A272D"/>
    <w:rsid w:val="005A39D6"/>
    <w:rsid w:val="005B4004"/>
    <w:rsid w:val="005B696E"/>
    <w:rsid w:val="005C0BA4"/>
    <w:rsid w:val="005C2051"/>
    <w:rsid w:val="005C2467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5B61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5646D"/>
    <w:rsid w:val="00756EFB"/>
    <w:rsid w:val="00763A07"/>
    <w:rsid w:val="00765683"/>
    <w:rsid w:val="00766ABE"/>
    <w:rsid w:val="00766ADD"/>
    <w:rsid w:val="00770DA0"/>
    <w:rsid w:val="007775FD"/>
    <w:rsid w:val="007810CD"/>
    <w:rsid w:val="00790DD6"/>
    <w:rsid w:val="00790EDC"/>
    <w:rsid w:val="007A29F4"/>
    <w:rsid w:val="007B1EEC"/>
    <w:rsid w:val="007B4860"/>
    <w:rsid w:val="007B75BC"/>
    <w:rsid w:val="007C09F4"/>
    <w:rsid w:val="007C7109"/>
    <w:rsid w:val="007D7318"/>
    <w:rsid w:val="007E26C5"/>
    <w:rsid w:val="007E559D"/>
    <w:rsid w:val="007E667A"/>
    <w:rsid w:val="007F142C"/>
    <w:rsid w:val="007F2ADC"/>
    <w:rsid w:val="007F2D57"/>
    <w:rsid w:val="007F4A0F"/>
    <w:rsid w:val="007F7092"/>
    <w:rsid w:val="00807715"/>
    <w:rsid w:val="00810FD4"/>
    <w:rsid w:val="00812391"/>
    <w:rsid w:val="008135B9"/>
    <w:rsid w:val="00814FBE"/>
    <w:rsid w:val="00835A81"/>
    <w:rsid w:val="0083681E"/>
    <w:rsid w:val="00844BF0"/>
    <w:rsid w:val="008455F2"/>
    <w:rsid w:val="008458E4"/>
    <w:rsid w:val="00855044"/>
    <w:rsid w:val="00857AAF"/>
    <w:rsid w:val="0086037B"/>
    <w:rsid w:val="00874346"/>
    <w:rsid w:val="0088522F"/>
    <w:rsid w:val="00885BE0"/>
    <w:rsid w:val="008950F7"/>
    <w:rsid w:val="00897B2C"/>
    <w:rsid w:val="008A02D8"/>
    <w:rsid w:val="008A0CFC"/>
    <w:rsid w:val="008A4F4A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E3DBB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029B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673B1"/>
    <w:rsid w:val="00974C04"/>
    <w:rsid w:val="009754EB"/>
    <w:rsid w:val="0097701D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288C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859B7"/>
    <w:rsid w:val="00A909F3"/>
    <w:rsid w:val="00A9633F"/>
    <w:rsid w:val="00A969C9"/>
    <w:rsid w:val="00AA246C"/>
    <w:rsid w:val="00AA3944"/>
    <w:rsid w:val="00AB01C3"/>
    <w:rsid w:val="00AB0621"/>
    <w:rsid w:val="00AC5B0F"/>
    <w:rsid w:val="00AD7365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7B17"/>
    <w:rsid w:val="00B32FD8"/>
    <w:rsid w:val="00B4178D"/>
    <w:rsid w:val="00B42D63"/>
    <w:rsid w:val="00B43DD3"/>
    <w:rsid w:val="00B659EA"/>
    <w:rsid w:val="00B757E2"/>
    <w:rsid w:val="00B8067B"/>
    <w:rsid w:val="00B8505E"/>
    <w:rsid w:val="00B9731E"/>
    <w:rsid w:val="00BB2B7E"/>
    <w:rsid w:val="00BC272D"/>
    <w:rsid w:val="00BC6170"/>
    <w:rsid w:val="00BD032F"/>
    <w:rsid w:val="00BD057C"/>
    <w:rsid w:val="00BD5A93"/>
    <w:rsid w:val="00BE1AAF"/>
    <w:rsid w:val="00BE2524"/>
    <w:rsid w:val="00BE2705"/>
    <w:rsid w:val="00C07223"/>
    <w:rsid w:val="00C20C70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36C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367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0796F"/>
    <w:rsid w:val="00D104BB"/>
    <w:rsid w:val="00D114C4"/>
    <w:rsid w:val="00D16436"/>
    <w:rsid w:val="00D167B0"/>
    <w:rsid w:val="00D23BBE"/>
    <w:rsid w:val="00D27EF0"/>
    <w:rsid w:val="00D322D6"/>
    <w:rsid w:val="00D376A7"/>
    <w:rsid w:val="00D51BED"/>
    <w:rsid w:val="00D53656"/>
    <w:rsid w:val="00D543F9"/>
    <w:rsid w:val="00D60616"/>
    <w:rsid w:val="00D62110"/>
    <w:rsid w:val="00D63390"/>
    <w:rsid w:val="00D6369F"/>
    <w:rsid w:val="00D65A88"/>
    <w:rsid w:val="00D65D79"/>
    <w:rsid w:val="00D847C6"/>
    <w:rsid w:val="00D85689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5A45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50360"/>
    <w:rsid w:val="00E550F0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C0BF2"/>
    <w:rsid w:val="00EC6E65"/>
    <w:rsid w:val="00ED0C0E"/>
    <w:rsid w:val="00ED39C0"/>
    <w:rsid w:val="00ED45E7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3B36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42CF-1AFB-42B1-A891-6A796390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2017-06-12T10:45:00Z</dcterms:created>
  <dcterms:modified xsi:type="dcterms:W3CDTF">2017-06-12T10:45:00Z</dcterms:modified>
</cp:coreProperties>
</file>