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BE0E3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BE0E35" w:rsidP="00BE0E3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E0E35" w:rsidRDefault="00BE0E35" w:rsidP="00BE0E3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8626A">
        <w:rPr>
          <w:rFonts w:ascii="Arial" w:eastAsia="Calibri" w:hAnsi="Arial" w:cs="Arial"/>
          <w:b/>
          <w:bCs/>
          <w:lang w:val="en-GB"/>
        </w:rPr>
        <w:t>1</w:t>
      </w:r>
      <w:r w:rsidR="00D832B2">
        <w:rPr>
          <w:rFonts w:ascii="Arial" w:eastAsia="Calibri" w:hAnsi="Arial" w:cs="Arial"/>
          <w:b/>
          <w:bCs/>
          <w:lang w:val="en-GB"/>
        </w:rPr>
        <w:t>37</w:t>
      </w:r>
      <w:r w:rsidR="00A57BB2">
        <w:rPr>
          <w:rFonts w:ascii="Arial" w:eastAsia="Calibri" w:hAnsi="Arial" w:cs="Arial"/>
          <w:b/>
          <w:bCs/>
          <w:lang w:val="en-GB"/>
        </w:rPr>
        <w:t>1</w:t>
      </w:r>
    </w:p>
    <w:p w:rsidR="002E7253" w:rsidRPr="00BE0E35" w:rsidRDefault="002E7253" w:rsidP="00BE0E3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E0E35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D8626A" w:rsidRPr="00BE0E35">
        <w:rPr>
          <w:rFonts w:ascii="Arial" w:eastAsia="Calibri" w:hAnsi="Arial" w:cs="Arial"/>
          <w:b/>
          <w:bCs/>
          <w:lang w:val="en-GB"/>
        </w:rPr>
        <w:t>1</w:t>
      </w:r>
      <w:r w:rsidR="00D832B2" w:rsidRPr="00BE0E35">
        <w:rPr>
          <w:rFonts w:ascii="Arial" w:eastAsia="Calibri" w:hAnsi="Arial" w:cs="Arial"/>
          <w:b/>
          <w:bCs/>
          <w:lang w:val="en-GB"/>
        </w:rPr>
        <w:t>9</w:t>
      </w:r>
      <w:r w:rsidR="00BE0E35" w:rsidRPr="00BE0E35">
        <w:rPr>
          <w:rFonts w:ascii="Arial" w:eastAsia="Calibri" w:hAnsi="Arial" w:cs="Arial"/>
          <w:b/>
          <w:bCs/>
          <w:lang w:val="en-GB"/>
        </w:rPr>
        <w:t xml:space="preserve"> MAY </w:t>
      </w:r>
      <w:r w:rsidRPr="00BE0E35">
        <w:rPr>
          <w:rFonts w:ascii="Arial" w:eastAsia="Calibri" w:hAnsi="Arial" w:cs="Arial"/>
          <w:b/>
          <w:bCs/>
          <w:lang w:val="en-GB"/>
        </w:rPr>
        <w:t>201</w:t>
      </w:r>
      <w:r w:rsidR="008C0966" w:rsidRPr="00BE0E35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BE0E35" w:rsidRDefault="00791471" w:rsidP="00BE0E35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BE0E35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BE0E35">
        <w:rPr>
          <w:rFonts w:ascii="Arial" w:eastAsia="Calibri" w:hAnsi="Arial" w:cs="Arial"/>
          <w:b/>
          <w:bCs/>
          <w:lang w:val="en-GB"/>
        </w:rPr>
        <w:t>0</w:t>
      </w:r>
      <w:r w:rsidR="00D8626A" w:rsidRPr="00BE0E35">
        <w:rPr>
          <w:rFonts w:ascii="Arial" w:eastAsia="Calibri" w:hAnsi="Arial" w:cs="Arial"/>
          <w:b/>
          <w:bCs/>
          <w:lang w:val="en-GB"/>
        </w:rPr>
        <w:t>2</w:t>
      </w:r>
      <w:r w:rsidRPr="00BE0E35">
        <w:rPr>
          <w:rFonts w:ascii="Arial" w:eastAsia="Calibri" w:hAnsi="Arial" w:cs="Arial"/>
          <w:b/>
          <w:bCs/>
          <w:lang w:val="en-GB"/>
        </w:rPr>
        <w:t xml:space="preserve"> </w:t>
      </w:r>
      <w:r w:rsidR="00D832B2" w:rsidRPr="00BE0E35">
        <w:rPr>
          <w:rFonts w:ascii="Arial" w:eastAsia="Calibri" w:hAnsi="Arial" w:cs="Arial"/>
          <w:b/>
          <w:bCs/>
          <w:lang w:val="en-GB"/>
        </w:rPr>
        <w:t>JUNE</w:t>
      </w:r>
      <w:r w:rsidR="009F2D5C" w:rsidRPr="00BE0E35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BE0E35">
        <w:rPr>
          <w:rFonts w:ascii="Arial" w:eastAsia="Calibri" w:hAnsi="Arial" w:cs="Arial"/>
          <w:b/>
          <w:bCs/>
          <w:lang w:val="en-GB"/>
        </w:rPr>
        <w:t>201</w:t>
      </w:r>
      <w:r w:rsidR="008C0966" w:rsidRPr="00BE0E35">
        <w:rPr>
          <w:rFonts w:ascii="Arial" w:eastAsia="Calibri" w:hAnsi="Arial" w:cs="Arial"/>
          <w:b/>
          <w:bCs/>
          <w:lang w:val="en-GB"/>
        </w:rPr>
        <w:t>7</w:t>
      </w:r>
    </w:p>
    <w:p w:rsidR="009D173F" w:rsidRPr="009D173F" w:rsidRDefault="009D173F" w:rsidP="009D173F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9D173F">
        <w:rPr>
          <w:rFonts w:ascii="Arial" w:hAnsi="Arial" w:cs="Arial"/>
          <w:b/>
          <w:bCs/>
          <w:lang w:val="en-ZA"/>
        </w:rPr>
        <w:t>Adv G Breytenbach (DA) to ask the Minister of Justice and Correctional Services:</w:t>
      </w:r>
    </w:p>
    <w:p w:rsidR="0077110B" w:rsidRPr="0077110B" w:rsidRDefault="0077110B" w:rsidP="00A57BB2">
      <w:pPr>
        <w:numPr>
          <w:ilvl w:val="0"/>
          <w:numId w:val="29"/>
        </w:numPr>
        <w:spacing w:before="120" w:after="120" w:line="360" w:lineRule="auto"/>
        <w:ind w:left="351" w:hanging="357"/>
        <w:jc w:val="both"/>
        <w:rPr>
          <w:rFonts w:ascii="Arial" w:hAnsi="Arial" w:cs="Arial"/>
          <w:lang w:val="en-ZA"/>
        </w:rPr>
      </w:pPr>
      <w:r w:rsidRPr="0077110B">
        <w:rPr>
          <w:rFonts w:ascii="Arial" w:hAnsi="Arial" w:cs="Arial"/>
          <w:lang w:val="en-ZA"/>
        </w:rPr>
        <w:t>Whether his department is in the process of revising (a) the Regulation of Interception of Communications and Provision of Communication-Related Information Act, Act 70 of 2002 and (b) any other interception legislation; if not, what is the position in each case; if so, what progress has been made in each case;</w:t>
      </w:r>
    </w:p>
    <w:p w:rsidR="00A57BB2" w:rsidRDefault="0077110B" w:rsidP="00A57BB2">
      <w:pPr>
        <w:numPr>
          <w:ilvl w:val="0"/>
          <w:numId w:val="29"/>
        </w:numPr>
        <w:spacing w:before="120" w:after="120" w:line="360" w:lineRule="auto"/>
        <w:ind w:left="351" w:hanging="357"/>
        <w:jc w:val="both"/>
        <w:rPr>
          <w:rFonts w:ascii="Arial" w:hAnsi="Arial" w:cs="Arial"/>
          <w:lang w:val="en-ZA"/>
        </w:rPr>
      </w:pPr>
      <w:r w:rsidRPr="0077110B">
        <w:rPr>
          <w:rFonts w:ascii="Arial" w:hAnsi="Arial" w:cs="Arial"/>
          <w:lang w:val="en-ZA"/>
        </w:rPr>
        <w:t>whether each process is inclusive of a revision of section 205 of the Criminal Procedure Act, Act 51 of 1977, as amended; if not, in each case, why not; if so, what are the re</w:t>
      </w:r>
      <w:r w:rsidR="00A57BB2">
        <w:rPr>
          <w:rFonts w:ascii="Arial" w:hAnsi="Arial" w:cs="Arial"/>
          <w:lang w:val="en-ZA"/>
        </w:rPr>
        <w:t>levant details in each case?</w:t>
      </w:r>
    </w:p>
    <w:p w:rsidR="0077110B" w:rsidRPr="0077110B" w:rsidRDefault="0077110B" w:rsidP="00A57BB2">
      <w:pPr>
        <w:spacing w:line="360" w:lineRule="auto"/>
        <w:ind w:left="357"/>
        <w:jc w:val="right"/>
        <w:rPr>
          <w:rFonts w:ascii="Arial" w:hAnsi="Arial" w:cs="Arial"/>
          <w:b/>
        </w:rPr>
      </w:pPr>
      <w:r w:rsidRPr="0077110B">
        <w:rPr>
          <w:rFonts w:ascii="Arial" w:hAnsi="Arial" w:cs="Arial"/>
          <w:b/>
        </w:rPr>
        <w:t>NW1513E</w:t>
      </w:r>
    </w:p>
    <w:p w:rsidR="00983C6B" w:rsidRDefault="00983C6B" w:rsidP="00681B0C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A27641" w:rsidRPr="008C0966" w:rsidRDefault="00A27641" w:rsidP="00681B0C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A27641" w:rsidRDefault="007D5966" w:rsidP="00663261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7D5966">
        <w:rPr>
          <w:rFonts w:ascii="Arial" w:hAnsi="Arial" w:cs="Arial"/>
        </w:rPr>
        <w:t>(a)</w:t>
      </w:r>
      <w:r w:rsidRPr="007D5966">
        <w:rPr>
          <w:rFonts w:ascii="Arial" w:hAnsi="Arial" w:cs="Arial"/>
        </w:rPr>
        <w:tab/>
        <w:t>Yes.</w:t>
      </w:r>
    </w:p>
    <w:p w:rsidR="00835AE7" w:rsidRDefault="007D5966" w:rsidP="00835AE7">
      <w:pPr>
        <w:spacing w:line="360" w:lineRule="auto"/>
        <w:ind w:left="360"/>
        <w:jc w:val="both"/>
        <w:rPr>
          <w:rFonts w:ascii="Arial" w:hAnsi="Arial" w:cs="Arial"/>
        </w:rPr>
      </w:pPr>
      <w:r w:rsidRPr="00A27641">
        <w:rPr>
          <w:rFonts w:ascii="Arial" w:hAnsi="Arial" w:cs="Arial"/>
        </w:rPr>
        <w:t>(b)</w:t>
      </w:r>
      <w:r w:rsidRPr="00A27641">
        <w:rPr>
          <w:rFonts w:ascii="Arial" w:hAnsi="Arial" w:cs="Arial"/>
        </w:rPr>
        <w:tab/>
        <w:t xml:space="preserve">The Regulation of Interception of Communications and Provision of </w:t>
      </w:r>
    </w:p>
    <w:p w:rsidR="00ED7E52" w:rsidRPr="00A27641" w:rsidRDefault="007D5966" w:rsidP="00835AE7">
      <w:pPr>
        <w:spacing w:line="360" w:lineRule="auto"/>
        <w:ind w:left="720"/>
        <w:jc w:val="both"/>
        <w:rPr>
          <w:rFonts w:ascii="Arial" w:hAnsi="Arial" w:cs="Arial"/>
        </w:rPr>
      </w:pPr>
      <w:r w:rsidRPr="00A27641">
        <w:rPr>
          <w:rFonts w:ascii="Arial" w:hAnsi="Arial" w:cs="Arial"/>
        </w:rPr>
        <w:t>Communicatio</w:t>
      </w:r>
      <w:r w:rsidR="00681B0C" w:rsidRPr="00A27641">
        <w:rPr>
          <w:rFonts w:ascii="Arial" w:hAnsi="Arial" w:cs="Arial"/>
        </w:rPr>
        <w:t>n</w:t>
      </w:r>
      <w:r w:rsidRPr="00A27641">
        <w:rPr>
          <w:rFonts w:ascii="Arial" w:hAnsi="Arial" w:cs="Arial"/>
        </w:rPr>
        <w:t>–related Information Act</w:t>
      </w:r>
      <w:r w:rsidR="00A27641">
        <w:rPr>
          <w:rFonts w:ascii="Arial" w:hAnsi="Arial" w:cs="Arial"/>
        </w:rPr>
        <w:t xml:space="preserve"> (RICA)</w:t>
      </w:r>
      <w:r w:rsidRPr="00A27641">
        <w:rPr>
          <w:rFonts w:ascii="Arial" w:hAnsi="Arial" w:cs="Arial"/>
        </w:rPr>
        <w:t xml:space="preserve">, 2002 (Act </w:t>
      </w:r>
      <w:r w:rsidR="00A27641">
        <w:rPr>
          <w:rFonts w:ascii="Arial" w:hAnsi="Arial" w:cs="Arial"/>
        </w:rPr>
        <w:t xml:space="preserve">No. </w:t>
      </w:r>
      <w:r w:rsidRPr="00A27641">
        <w:rPr>
          <w:rFonts w:ascii="Arial" w:hAnsi="Arial" w:cs="Arial"/>
        </w:rPr>
        <w:t xml:space="preserve">70 of 2002) </w:t>
      </w:r>
      <w:r w:rsidR="00681B0C" w:rsidRPr="00A27641">
        <w:rPr>
          <w:rFonts w:ascii="Arial" w:hAnsi="Arial" w:cs="Arial"/>
        </w:rPr>
        <w:t xml:space="preserve">has been </w:t>
      </w:r>
      <w:r w:rsidR="00ED7E52" w:rsidRPr="00A27641">
        <w:rPr>
          <w:rFonts w:ascii="Arial" w:hAnsi="Arial" w:cs="Arial"/>
        </w:rPr>
        <w:t>earmarked for revision and appropriate amendments.</w:t>
      </w:r>
      <w:r w:rsidR="00A27641">
        <w:rPr>
          <w:rFonts w:ascii="Arial" w:hAnsi="Arial" w:cs="Arial"/>
        </w:rPr>
        <w:t xml:space="preserve"> </w:t>
      </w:r>
      <w:r w:rsidR="00681B0C" w:rsidRPr="00A27641">
        <w:rPr>
          <w:rFonts w:ascii="Arial" w:hAnsi="Arial" w:cs="Arial"/>
        </w:rPr>
        <w:t xml:space="preserve">This is as a result of a number of requests for amendments that have </w:t>
      </w:r>
      <w:r w:rsidR="00ED7E52" w:rsidRPr="00A27641">
        <w:rPr>
          <w:rFonts w:ascii="Arial" w:hAnsi="Arial" w:cs="Arial"/>
        </w:rPr>
        <w:t xml:space="preserve">been </w:t>
      </w:r>
      <w:r w:rsidR="00681B0C" w:rsidRPr="00A27641">
        <w:rPr>
          <w:rFonts w:ascii="Arial" w:hAnsi="Arial" w:cs="Arial"/>
        </w:rPr>
        <w:t>received</w:t>
      </w:r>
      <w:r w:rsidR="00663261" w:rsidRPr="00A27641">
        <w:rPr>
          <w:rFonts w:ascii="Arial" w:hAnsi="Arial" w:cs="Arial"/>
        </w:rPr>
        <w:t xml:space="preserve"> </w:t>
      </w:r>
      <w:r w:rsidR="00ED7E52" w:rsidRPr="00A27641">
        <w:rPr>
          <w:rFonts w:ascii="Arial" w:hAnsi="Arial" w:cs="Arial"/>
        </w:rPr>
        <w:t xml:space="preserve">from various quarters </w:t>
      </w:r>
      <w:r w:rsidR="001A48A1" w:rsidRPr="00A27641">
        <w:rPr>
          <w:rFonts w:ascii="Arial" w:hAnsi="Arial" w:cs="Arial"/>
        </w:rPr>
        <w:t xml:space="preserve">and </w:t>
      </w:r>
      <w:r w:rsidR="00ED7E52" w:rsidRPr="00A27641">
        <w:rPr>
          <w:rFonts w:ascii="Arial" w:hAnsi="Arial" w:cs="Arial"/>
        </w:rPr>
        <w:t xml:space="preserve">also as a result of </w:t>
      </w:r>
      <w:r w:rsidR="00663261" w:rsidRPr="00A27641">
        <w:rPr>
          <w:rFonts w:ascii="Arial" w:hAnsi="Arial" w:cs="Arial"/>
        </w:rPr>
        <w:t xml:space="preserve">concerns regarding </w:t>
      </w:r>
      <w:r w:rsidR="00A27641">
        <w:rPr>
          <w:rFonts w:ascii="Arial" w:hAnsi="Arial" w:cs="Arial"/>
        </w:rPr>
        <w:t xml:space="preserve">the implementation of the RICA </w:t>
      </w:r>
      <w:r w:rsidR="00663261" w:rsidRPr="00A27641">
        <w:rPr>
          <w:rFonts w:ascii="Arial" w:hAnsi="Arial" w:cs="Arial"/>
        </w:rPr>
        <w:t>which have been brought to th</w:t>
      </w:r>
      <w:r w:rsidR="00835AE7">
        <w:rPr>
          <w:rFonts w:ascii="Arial" w:hAnsi="Arial" w:cs="Arial"/>
        </w:rPr>
        <w:t xml:space="preserve">e attention of the Department. </w:t>
      </w:r>
      <w:r w:rsidR="00681B0C" w:rsidRPr="00A27641">
        <w:rPr>
          <w:rFonts w:ascii="Arial" w:hAnsi="Arial" w:cs="Arial"/>
        </w:rPr>
        <w:t>These requests relate, among others, to the</w:t>
      </w:r>
      <w:r w:rsidR="00ED7E52" w:rsidRPr="00A27641">
        <w:rPr>
          <w:rFonts w:ascii="Arial" w:hAnsi="Arial" w:cs="Arial"/>
        </w:rPr>
        <w:t xml:space="preserve"> following:</w:t>
      </w:r>
    </w:p>
    <w:p w:rsidR="00A27641" w:rsidRDefault="00ED7E52" w:rsidP="00A27641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81B0C" w:rsidRPr="00473120">
        <w:rPr>
          <w:rFonts w:ascii="Arial" w:hAnsi="Arial" w:cs="Arial"/>
        </w:rPr>
        <w:t xml:space="preserve"> need to enhance governance</w:t>
      </w:r>
      <w:r w:rsidR="00D77702">
        <w:rPr>
          <w:rFonts w:ascii="Arial" w:hAnsi="Arial" w:cs="Arial"/>
        </w:rPr>
        <w:t xml:space="preserve">, transparency </w:t>
      </w:r>
      <w:r w:rsidR="00681B0C" w:rsidRPr="00473120">
        <w:rPr>
          <w:rFonts w:ascii="Arial" w:hAnsi="Arial" w:cs="Arial"/>
        </w:rPr>
        <w:t xml:space="preserve">and accountability mechanisms </w:t>
      </w:r>
      <w:r>
        <w:rPr>
          <w:rFonts w:ascii="Arial" w:hAnsi="Arial" w:cs="Arial"/>
        </w:rPr>
        <w:t xml:space="preserve">in order </w:t>
      </w:r>
      <w:r w:rsidR="00681B0C" w:rsidRPr="00473120">
        <w:rPr>
          <w:rFonts w:ascii="Arial" w:hAnsi="Arial" w:cs="Arial"/>
        </w:rPr>
        <w:t>to oversee the interception of communications</w:t>
      </w:r>
      <w:r>
        <w:rPr>
          <w:rFonts w:ascii="Arial" w:hAnsi="Arial" w:cs="Arial"/>
        </w:rPr>
        <w:t>;</w:t>
      </w:r>
    </w:p>
    <w:p w:rsidR="00A27641" w:rsidRDefault="00ED7E52" w:rsidP="00A27641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27641">
        <w:rPr>
          <w:rFonts w:ascii="Arial" w:hAnsi="Arial" w:cs="Arial"/>
        </w:rPr>
        <w:t xml:space="preserve">the need to give further </w:t>
      </w:r>
      <w:r w:rsidR="00681B0C" w:rsidRPr="00A27641">
        <w:rPr>
          <w:rFonts w:ascii="Arial" w:hAnsi="Arial" w:cs="Arial"/>
        </w:rPr>
        <w:t>consideration to the compulsory registration of SIM-cards and the regulation thereof</w:t>
      </w:r>
      <w:r w:rsidRPr="00A27641">
        <w:rPr>
          <w:rFonts w:ascii="Arial" w:hAnsi="Arial" w:cs="Arial"/>
        </w:rPr>
        <w:t>;  and</w:t>
      </w:r>
    </w:p>
    <w:p w:rsidR="00ED7E52" w:rsidRPr="00A27641" w:rsidRDefault="00681B0C" w:rsidP="00A27641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A27641">
        <w:rPr>
          <w:rFonts w:ascii="Arial" w:hAnsi="Arial" w:cs="Arial"/>
        </w:rPr>
        <w:t xml:space="preserve">the broadening of RICA to cater for the combatting of cybercrime, making provision for other forms of electronic surveillance and regulating the use of remote access tools to investigate crime.  </w:t>
      </w:r>
    </w:p>
    <w:p w:rsidR="00681B0C" w:rsidRPr="00686C77" w:rsidRDefault="00681B0C" w:rsidP="00ED7E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Department is </w:t>
      </w:r>
      <w:r w:rsidR="00ED7E52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 xml:space="preserve">in </w:t>
      </w:r>
      <w:r w:rsidR="00ED7E52">
        <w:rPr>
          <w:rFonts w:ascii="Arial" w:hAnsi="Arial" w:cs="Arial"/>
        </w:rPr>
        <w:t>an investigative and initial</w:t>
      </w:r>
      <w:r>
        <w:rPr>
          <w:rFonts w:ascii="Arial" w:hAnsi="Arial" w:cs="Arial"/>
        </w:rPr>
        <w:t xml:space="preserve"> drafting </w:t>
      </w:r>
      <w:r w:rsidR="00ED7E52">
        <w:rPr>
          <w:rFonts w:ascii="Arial" w:hAnsi="Arial" w:cs="Arial"/>
        </w:rPr>
        <w:t>phase</w:t>
      </w:r>
      <w:r w:rsidR="00663261">
        <w:rPr>
          <w:rFonts w:ascii="Arial" w:hAnsi="Arial" w:cs="Arial"/>
        </w:rPr>
        <w:t>.  A draft Bill is</w:t>
      </w:r>
      <w:r w:rsidR="00D77702">
        <w:rPr>
          <w:rFonts w:ascii="Arial" w:hAnsi="Arial" w:cs="Arial"/>
        </w:rPr>
        <w:t xml:space="preserve"> </w:t>
      </w:r>
      <w:r w:rsidR="00663261">
        <w:rPr>
          <w:rFonts w:ascii="Arial" w:hAnsi="Arial" w:cs="Arial"/>
        </w:rPr>
        <w:t>not yet available</w:t>
      </w:r>
      <w:r w:rsidR="008E0053">
        <w:rPr>
          <w:rFonts w:ascii="Arial" w:hAnsi="Arial" w:cs="Arial"/>
        </w:rPr>
        <w:t xml:space="preserve">. </w:t>
      </w:r>
      <w:r w:rsidR="00ED7E52">
        <w:rPr>
          <w:rFonts w:ascii="Arial" w:hAnsi="Arial" w:cs="Arial"/>
        </w:rPr>
        <w:t>D</w:t>
      </w:r>
      <w:r w:rsidR="00663261">
        <w:rPr>
          <w:rFonts w:ascii="Arial" w:hAnsi="Arial" w:cs="Arial"/>
        </w:rPr>
        <w:t xml:space="preserve">iscussions with some of the law enforcement agencies regarding </w:t>
      </w:r>
      <w:r w:rsidR="00D77702">
        <w:rPr>
          <w:rFonts w:ascii="Arial" w:hAnsi="Arial" w:cs="Arial"/>
        </w:rPr>
        <w:t xml:space="preserve">certain proposed amendments </w:t>
      </w:r>
      <w:r w:rsidR="00B47D6F">
        <w:rPr>
          <w:rFonts w:ascii="Arial" w:hAnsi="Arial" w:cs="Arial"/>
        </w:rPr>
        <w:t>are</w:t>
      </w:r>
      <w:r w:rsidR="00ED7E52">
        <w:rPr>
          <w:rFonts w:ascii="Arial" w:hAnsi="Arial" w:cs="Arial"/>
        </w:rPr>
        <w:t xml:space="preserve"> under way</w:t>
      </w:r>
      <w:r w:rsidR="00F153FE">
        <w:rPr>
          <w:rFonts w:ascii="Arial" w:hAnsi="Arial" w:cs="Arial"/>
        </w:rPr>
        <w:t xml:space="preserve">. </w:t>
      </w:r>
      <w:r w:rsidR="00835AE7">
        <w:rPr>
          <w:rFonts w:ascii="Arial" w:hAnsi="Arial" w:cs="Arial"/>
        </w:rPr>
        <w:t>Public consultation will follow o</w:t>
      </w:r>
      <w:r w:rsidR="00663261">
        <w:rPr>
          <w:rFonts w:ascii="Arial" w:hAnsi="Arial" w:cs="Arial"/>
        </w:rPr>
        <w:t xml:space="preserve">nce the Department has </w:t>
      </w:r>
      <w:r w:rsidR="00D77702">
        <w:rPr>
          <w:rFonts w:ascii="Arial" w:hAnsi="Arial" w:cs="Arial"/>
        </w:rPr>
        <w:t xml:space="preserve">processed the </w:t>
      </w:r>
      <w:r w:rsidR="00663261">
        <w:rPr>
          <w:rFonts w:ascii="Arial" w:hAnsi="Arial" w:cs="Arial"/>
        </w:rPr>
        <w:t>draft Bill</w:t>
      </w:r>
      <w:r w:rsidR="00D77702">
        <w:rPr>
          <w:rFonts w:ascii="Arial" w:hAnsi="Arial" w:cs="Arial"/>
        </w:rPr>
        <w:t xml:space="preserve"> through the required internal processes</w:t>
      </w:r>
      <w:r w:rsidR="00663261">
        <w:rPr>
          <w:rFonts w:ascii="Arial" w:hAnsi="Arial" w:cs="Arial"/>
        </w:rPr>
        <w:t xml:space="preserve">.  </w:t>
      </w:r>
    </w:p>
    <w:p w:rsidR="00681B0C" w:rsidRDefault="00681B0C" w:rsidP="00681B0C">
      <w:pPr>
        <w:spacing w:line="360" w:lineRule="auto"/>
        <w:jc w:val="both"/>
        <w:rPr>
          <w:rFonts w:ascii="Arial" w:hAnsi="Arial" w:cs="Arial"/>
        </w:rPr>
      </w:pPr>
    </w:p>
    <w:p w:rsidR="008E0053" w:rsidRDefault="008E0053" w:rsidP="008E0053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="00FC4E4A">
        <w:rPr>
          <w:rFonts w:ascii="Arial" w:hAnsi="Arial" w:cs="Arial"/>
        </w:rPr>
        <w:t xml:space="preserve">Section </w:t>
      </w:r>
      <w:r w:rsidR="005657D8">
        <w:rPr>
          <w:rFonts w:ascii="Arial" w:hAnsi="Arial" w:cs="Arial"/>
        </w:rPr>
        <w:t>15 of the RICA deals with the a</w:t>
      </w:r>
      <w:r w:rsidR="005657D8" w:rsidRPr="005657D8">
        <w:rPr>
          <w:rFonts w:ascii="Arial" w:hAnsi="Arial" w:cs="Arial"/>
          <w:bCs/>
        </w:rPr>
        <w:t>vailability of</w:t>
      </w:r>
      <w:r w:rsidR="00EE60D2">
        <w:rPr>
          <w:rFonts w:ascii="Arial" w:hAnsi="Arial" w:cs="Arial"/>
          <w:bCs/>
        </w:rPr>
        <w:t xml:space="preserve"> other </w:t>
      </w:r>
      <w:r w:rsidR="005657D8">
        <w:rPr>
          <w:rFonts w:ascii="Arial" w:hAnsi="Arial" w:cs="Arial"/>
          <w:bCs/>
        </w:rPr>
        <w:t>p</w:t>
      </w:r>
      <w:r w:rsidR="005657D8" w:rsidRPr="005657D8">
        <w:rPr>
          <w:rFonts w:ascii="Arial" w:hAnsi="Arial" w:cs="Arial"/>
          <w:bCs/>
        </w:rPr>
        <w:t>rocedures for obtaining real-time or archived communication-related information</w:t>
      </w:r>
      <w:r w:rsidR="005657D8">
        <w:rPr>
          <w:rFonts w:ascii="Arial" w:hAnsi="Arial" w:cs="Arial"/>
          <w:bCs/>
        </w:rPr>
        <w:t>. In terms of this section</w:t>
      </w:r>
      <w:r w:rsidR="00EE60D2">
        <w:rPr>
          <w:rFonts w:ascii="Arial" w:hAnsi="Arial" w:cs="Arial"/>
          <w:bCs/>
        </w:rPr>
        <w:t>,</w:t>
      </w:r>
      <w:r w:rsidR="005657D8">
        <w:rPr>
          <w:rFonts w:ascii="Arial" w:hAnsi="Arial" w:cs="Arial"/>
          <w:bCs/>
        </w:rPr>
        <w:t xml:space="preserve"> </w:t>
      </w:r>
      <w:r w:rsidR="005657D8" w:rsidRPr="00FC4E4A">
        <w:rPr>
          <w:rFonts w:ascii="Arial" w:hAnsi="Arial" w:cs="Arial"/>
        </w:rPr>
        <w:t xml:space="preserve">the availability of the procedures in respect of the provision of real-time or archived communication-related information provided for in </w:t>
      </w:r>
      <w:hyperlink r:id="rId7" w:anchor="g0" w:history="1">
        <w:r w:rsidR="005657D8" w:rsidRPr="00EE60D2">
          <w:rPr>
            <w:rStyle w:val="Hyperlink"/>
            <w:rFonts w:ascii="Arial" w:hAnsi="Arial" w:cs="Arial"/>
            <w:color w:val="auto"/>
            <w:u w:val="none"/>
          </w:rPr>
          <w:t>sections 17</w:t>
        </w:r>
      </w:hyperlink>
      <w:r w:rsidR="005657D8" w:rsidRPr="00EE60D2">
        <w:rPr>
          <w:rFonts w:ascii="Arial" w:hAnsi="Arial" w:cs="Arial"/>
        </w:rPr>
        <w:t xml:space="preserve"> and </w:t>
      </w:r>
      <w:hyperlink r:id="rId8" w:anchor="g0" w:history="1">
        <w:r w:rsidR="005657D8" w:rsidRPr="00EE60D2">
          <w:rPr>
            <w:rStyle w:val="Hyperlink"/>
            <w:rFonts w:ascii="Arial" w:hAnsi="Arial" w:cs="Arial"/>
            <w:color w:val="auto"/>
            <w:u w:val="none"/>
          </w:rPr>
          <w:t>19</w:t>
        </w:r>
      </w:hyperlink>
      <w:r w:rsidR="005657D8" w:rsidRPr="00EE60D2">
        <w:rPr>
          <w:rFonts w:ascii="Arial" w:hAnsi="Arial" w:cs="Arial"/>
        </w:rPr>
        <w:t xml:space="preserve"> </w:t>
      </w:r>
      <w:r w:rsidR="00EE60D2">
        <w:rPr>
          <w:rFonts w:ascii="Arial" w:hAnsi="Arial" w:cs="Arial"/>
        </w:rPr>
        <w:t xml:space="preserve">of the RICA </w:t>
      </w:r>
      <w:r w:rsidR="009E709A">
        <w:rPr>
          <w:rFonts w:ascii="Arial" w:hAnsi="Arial" w:cs="Arial"/>
        </w:rPr>
        <w:t>(applications to the interception judge for</w:t>
      </w:r>
      <w:r w:rsidR="009E709A" w:rsidRPr="009E709A">
        <w:rPr>
          <w:rFonts w:ascii="Arial" w:hAnsi="Arial" w:cs="Arial"/>
        </w:rPr>
        <w:t xml:space="preserve"> </w:t>
      </w:r>
      <w:r w:rsidR="009E709A">
        <w:rPr>
          <w:rFonts w:ascii="Arial" w:hAnsi="Arial" w:cs="Arial"/>
        </w:rPr>
        <w:t xml:space="preserve">real-time communication-related and archived communication related-directions) </w:t>
      </w:r>
      <w:r w:rsidR="005657D8" w:rsidRPr="00EE60D2">
        <w:rPr>
          <w:rFonts w:ascii="Arial" w:hAnsi="Arial" w:cs="Arial"/>
        </w:rPr>
        <w:t>does</w:t>
      </w:r>
      <w:r w:rsidR="005657D8" w:rsidRPr="00FC4E4A">
        <w:rPr>
          <w:rFonts w:ascii="Arial" w:hAnsi="Arial" w:cs="Arial"/>
        </w:rPr>
        <w:t xml:space="preserve"> not preclude obtaining such information in respect of any person in accordance with a procedure prescribed in any other Act</w:t>
      </w:r>
      <w:r w:rsidR="00EE60D2">
        <w:rPr>
          <w:rFonts w:ascii="Arial" w:hAnsi="Arial" w:cs="Arial"/>
        </w:rPr>
        <w:t xml:space="preserve">. </w:t>
      </w:r>
      <w:r w:rsidR="009E709A">
        <w:rPr>
          <w:rFonts w:ascii="Arial" w:hAnsi="Arial" w:cs="Arial"/>
        </w:rPr>
        <w:t>H</w:t>
      </w:r>
      <w:r w:rsidR="009E5577">
        <w:rPr>
          <w:rFonts w:ascii="Arial" w:hAnsi="Arial" w:cs="Arial"/>
        </w:rPr>
        <w:t>o</w:t>
      </w:r>
      <w:r w:rsidR="009E709A">
        <w:rPr>
          <w:rFonts w:ascii="Arial" w:hAnsi="Arial" w:cs="Arial"/>
        </w:rPr>
        <w:t xml:space="preserve">wever, </w:t>
      </w:r>
      <w:r w:rsidR="009E5577">
        <w:rPr>
          <w:rFonts w:ascii="Arial" w:hAnsi="Arial" w:cs="Arial"/>
        </w:rPr>
        <w:t>in terms of section 15 of the RICA a</w:t>
      </w:r>
      <w:r w:rsidR="009E5577" w:rsidRPr="009E5577">
        <w:rPr>
          <w:rFonts w:ascii="Arial" w:hAnsi="Arial" w:cs="Arial"/>
        </w:rPr>
        <w:t>ny real-time or archived communication-related information which is obtained in terms of such other Act may not be obtained on an ongoing basis.</w:t>
      </w:r>
      <w:r w:rsidR="009E5577">
        <w:rPr>
          <w:rFonts w:ascii="Arial" w:hAnsi="Arial" w:cs="Arial"/>
        </w:rPr>
        <w:t xml:space="preserve">  </w:t>
      </w:r>
    </w:p>
    <w:p w:rsidR="008E0053" w:rsidRDefault="008E0053" w:rsidP="008E0053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FC4E4A" w:rsidRPr="008E0053" w:rsidRDefault="00EE60D2" w:rsidP="008E0053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8E0053">
        <w:rPr>
          <w:rFonts w:ascii="Arial" w:hAnsi="Arial" w:cs="Arial"/>
        </w:rPr>
        <w:t xml:space="preserve">In </w:t>
      </w:r>
      <w:r w:rsidR="005657D8" w:rsidRPr="008E0053">
        <w:rPr>
          <w:rFonts w:ascii="Arial" w:hAnsi="Arial" w:cs="Arial"/>
          <w:bCs/>
        </w:rPr>
        <w:t>this regard</w:t>
      </w:r>
      <w:r w:rsidR="005B19A0" w:rsidRPr="008E0053">
        <w:rPr>
          <w:rFonts w:ascii="Arial" w:hAnsi="Arial" w:cs="Arial"/>
          <w:bCs/>
        </w:rPr>
        <w:t>,</w:t>
      </w:r>
      <w:r w:rsidR="005657D8" w:rsidRPr="008E0053">
        <w:rPr>
          <w:rFonts w:ascii="Arial" w:hAnsi="Arial" w:cs="Arial"/>
          <w:bCs/>
        </w:rPr>
        <w:t xml:space="preserve"> section 205 of the</w:t>
      </w:r>
      <w:r w:rsidRPr="008E0053">
        <w:rPr>
          <w:rFonts w:ascii="Arial" w:hAnsi="Arial" w:cs="Arial"/>
          <w:bCs/>
        </w:rPr>
        <w:t xml:space="preserve"> Criminal Procedure Act</w:t>
      </w:r>
      <w:r w:rsidR="008E0053">
        <w:rPr>
          <w:rFonts w:ascii="Arial" w:hAnsi="Arial" w:cs="Arial"/>
          <w:bCs/>
        </w:rPr>
        <w:t xml:space="preserve"> </w:t>
      </w:r>
      <w:r w:rsidR="008E0053" w:rsidRPr="008E0053">
        <w:rPr>
          <w:rFonts w:ascii="Arial" w:hAnsi="Arial" w:cs="Arial"/>
          <w:bCs/>
        </w:rPr>
        <w:t>(CPA)</w:t>
      </w:r>
      <w:r w:rsidRPr="008E0053">
        <w:rPr>
          <w:rFonts w:ascii="Arial" w:hAnsi="Arial" w:cs="Arial"/>
          <w:bCs/>
        </w:rPr>
        <w:t xml:space="preserve">, 1977 (Act </w:t>
      </w:r>
      <w:r w:rsidR="008E0053">
        <w:rPr>
          <w:rFonts w:ascii="Arial" w:hAnsi="Arial" w:cs="Arial"/>
          <w:bCs/>
        </w:rPr>
        <w:t xml:space="preserve">No. </w:t>
      </w:r>
      <w:r w:rsidRPr="008E0053">
        <w:rPr>
          <w:rFonts w:ascii="Arial" w:hAnsi="Arial" w:cs="Arial"/>
          <w:bCs/>
        </w:rPr>
        <w:t>51 of 1977)</w:t>
      </w:r>
      <w:r w:rsidR="008E0053">
        <w:rPr>
          <w:rFonts w:ascii="Arial" w:hAnsi="Arial" w:cs="Arial"/>
          <w:bCs/>
        </w:rPr>
        <w:t xml:space="preserve"> </w:t>
      </w:r>
      <w:r w:rsidRPr="008E0053">
        <w:rPr>
          <w:rFonts w:ascii="Arial" w:hAnsi="Arial" w:cs="Arial"/>
          <w:bCs/>
        </w:rPr>
        <w:t>is relevant.</w:t>
      </w:r>
      <w:r w:rsidR="008E0053">
        <w:rPr>
          <w:rFonts w:ascii="Arial" w:hAnsi="Arial" w:cs="Arial"/>
          <w:bCs/>
        </w:rPr>
        <w:t xml:space="preserve"> </w:t>
      </w:r>
      <w:r w:rsidRPr="008E0053">
        <w:rPr>
          <w:rFonts w:ascii="Arial" w:hAnsi="Arial" w:cs="Arial"/>
          <w:bCs/>
        </w:rPr>
        <w:t xml:space="preserve">Section 205 of the CPA deals with the power of </w:t>
      </w:r>
      <w:r w:rsidR="00FC4E4A" w:rsidRPr="008E0053">
        <w:rPr>
          <w:rFonts w:ascii="Arial" w:hAnsi="Arial" w:cs="Arial"/>
        </w:rPr>
        <w:t xml:space="preserve">a </w:t>
      </w:r>
      <w:r w:rsidR="00ED7E52" w:rsidRPr="008E0053">
        <w:rPr>
          <w:rFonts w:ascii="Arial" w:hAnsi="Arial" w:cs="Arial"/>
        </w:rPr>
        <w:t>j</w:t>
      </w:r>
      <w:r w:rsidR="00FC4E4A" w:rsidRPr="008E0053">
        <w:rPr>
          <w:rFonts w:ascii="Arial" w:hAnsi="Arial" w:cs="Arial"/>
          <w:bCs/>
        </w:rPr>
        <w:t>udge, regional court magistrate or magistrate</w:t>
      </w:r>
      <w:r w:rsidR="005B19A0" w:rsidRPr="008E0053">
        <w:rPr>
          <w:rFonts w:ascii="Arial" w:hAnsi="Arial" w:cs="Arial"/>
          <w:bCs/>
        </w:rPr>
        <w:t xml:space="preserve">, </w:t>
      </w:r>
      <w:r w:rsidR="00FC4E4A" w:rsidRPr="008E0053">
        <w:rPr>
          <w:rFonts w:ascii="Arial" w:hAnsi="Arial" w:cs="Arial"/>
        </w:rPr>
        <w:t xml:space="preserve">upon the request of a Director of Public Prosecutions </w:t>
      </w:r>
      <w:r w:rsidR="005B19A0" w:rsidRPr="008E0053">
        <w:rPr>
          <w:rFonts w:ascii="Arial" w:hAnsi="Arial" w:cs="Arial"/>
        </w:rPr>
        <w:t xml:space="preserve">(DPP) </w:t>
      </w:r>
      <w:r w:rsidR="00FC4E4A" w:rsidRPr="008E0053">
        <w:rPr>
          <w:rFonts w:ascii="Arial" w:hAnsi="Arial" w:cs="Arial"/>
        </w:rPr>
        <w:t xml:space="preserve">or a public prosecutor authorized thereto by the DPP, </w:t>
      </w:r>
      <w:r w:rsidR="00ED7E52" w:rsidRPr="008E0053">
        <w:rPr>
          <w:rFonts w:ascii="Arial" w:hAnsi="Arial" w:cs="Arial"/>
        </w:rPr>
        <w:t xml:space="preserve">to </w:t>
      </w:r>
      <w:r w:rsidR="00FC4E4A" w:rsidRPr="008E0053">
        <w:rPr>
          <w:rFonts w:ascii="Arial" w:hAnsi="Arial" w:cs="Arial"/>
        </w:rPr>
        <w:t>require the attendance before a judge, regional court magistrate or magistrate, for examination by the D</w:t>
      </w:r>
      <w:r w:rsidR="00BF4202" w:rsidRPr="008E0053">
        <w:rPr>
          <w:rFonts w:ascii="Arial" w:hAnsi="Arial" w:cs="Arial"/>
        </w:rPr>
        <w:t xml:space="preserve">PP or </w:t>
      </w:r>
      <w:r w:rsidR="00FC4E4A" w:rsidRPr="008E0053">
        <w:rPr>
          <w:rFonts w:ascii="Arial" w:hAnsi="Arial" w:cs="Arial"/>
        </w:rPr>
        <w:t>the public prosecutor authorized thereto by the D</w:t>
      </w:r>
      <w:r w:rsidR="00BF4202" w:rsidRPr="008E0053">
        <w:rPr>
          <w:rFonts w:ascii="Arial" w:hAnsi="Arial" w:cs="Arial"/>
        </w:rPr>
        <w:t>PP</w:t>
      </w:r>
      <w:r w:rsidR="00FC4E4A" w:rsidRPr="008E0053">
        <w:rPr>
          <w:rFonts w:ascii="Arial" w:hAnsi="Arial" w:cs="Arial"/>
        </w:rPr>
        <w:t>, of any person who is likely to give material or relevant information as to any alleged offence, whether or not it is known by whom the offence was committed</w:t>
      </w:r>
      <w:r w:rsidR="008E0053">
        <w:rPr>
          <w:rFonts w:ascii="Arial" w:hAnsi="Arial" w:cs="Arial"/>
        </w:rPr>
        <w:t xml:space="preserve">. </w:t>
      </w:r>
      <w:r w:rsidR="00BF4202" w:rsidRPr="008E0053">
        <w:rPr>
          <w:rFonts w:ascii="Arial" w:hAnsi="Arial" w:cs="Arial"/>
        </w:rPr>
        <w:t xml:space="preserve">If </w:t>
      </w:r>
      <w:r w:rsidR="00FC4E4A" w:rsidRPr="008E0053">
        <w:rPr>
          <w:rFonts w:ascii="Arial" w:hAnsi="Arial" w:cs="Arial"/>
        </w:rPr>
        <w:t>such person furnishes that information to the satisfaction of the D</w:t>
      </w:r>
      <w:r w:rsidR="00BF4202" w:rsidRPr="008E0053">
        <w:rPr>
          <w:rFonts w:ascii="Arial" w:hAnsi="Arial" w:cs="Arial"/>
        </w:rPr>
        <w:t xml:space="preserve">PP </w:t>
      </w:r>
      <w:r w:rsidR="00FC4E4A" w:rsidRPr="008E0053">
        <w:rPr>
          <w:rFonts w:ascii="Arial" w:hAnsi="Arial" w:cs="Arial"/>
        </w:rPr>
        <w:t xml:space="preserve">or </w:t>
      </w:r>
      <w:r w:rsidR="00BF4202" w:rsidRPr="008E0053">
        <w:rPr>
          <w:rFonts w:ascii="Arial" w:hAnsi="Arial" w:cs="Arial"/>
        </w:rPr>
        <w:t xml:space="preserve">the </w:t>
      </w:r>
      <w:r w:rsidR="00FC4E4A" w:rsidRPr="008E0053">
        <w:rPr>
          <w:rFonts w:ascii="Arial" w:hAnsi="Arial" w:cs="Arial"/>
        </w:rPr>
        <w:t xml:space="preserve">public prosecutor concerned prior to the date on which he or she is required to appear before a judge, regional court magistrate or magistrate, he or she </w:t>
      </w:r>
      <w:r w:rsidR="00BF4202" w:rsidRPr="008E0053">
        <w:rPr>
          <w:rFonts w:ascii="Arial" w:hAnsi="Arial" w:cs="Arial"/>
        </w:rPr>
        <w:t xml:space="preserve">is </w:t>
      </w:r>
      <w:r w:rsidR="00FC4E4A" w:rsidRPr="008E0053">
        <w:rPr>
          <w:rFonts w:ascii="Arial" w:hAnsi="Arial" w:cs="Arial"/>
        </w:rPr>
        <w:t>under no further obligation to appear before a judge, regional court magistrate or magistrate.</w:t>
      </w:r>
      <w:r w:rsidR="00814894" w:rsidRPr="008E0053">
        <w:rPr>
          <w:rFonts w:ascii="Arial" w:hAnsi="Arial" w:cs="Arial"/>
        </w:rPr>
        <w:t xml:space="preserve">  </w:t>
      </w:r>
    </w:p>
    <w:p w:rsidR="001A48A1" w:rsidRDefault="001A48A1" w:rsidP="008E0053">
      <w:pPr>
        <w:pStyle w:val="lg-section"/>
        <w:spacing w:line="360" w:lineRule="auto"/>
        <w:ind w:left="360" w:firstLine="0"/>
      </w:pPr>
      <w:r>
        <w:rPr>
          <w:rFonts w:ascii="Arial" w:hAnsi="Arial" w:cs="Arial"/>
          <w:sz w:val="24"/>
          <w:szCs w:val="24"/>
        </w:rPr>
        <w:t xml:space="preserve">The Department is aware of concerns relating to the application of section 205 of the CPA in order to obtain </w:t>
      </w:r>
      <w:r w:rsidRPr="00FC4E4A">
        <w:rPr>
          <w:rFonts w:ascii="Arial" w:hAnsi="Arial" w:cs="Arial"/>
          <w:sz w:val="24"/>
          <w:szCs w:val="24"/>
        </w:rPr>
        <w:t>real-time or archived communication-related information</w:t>
      </w:r>
      <w:r>
        <w:rPr>
          <w:rFonts w:ascii="Arial" w:hAnsi="Arial" w:cs="Arial"/>
          <w:sz w:val="24"/>
          <w:szCs w:val="24"/>
        </w:rPr>
        <w:t xml:space="preserve">.  Since section 205 of the CPA can be used to obtain material and relevant information </w:t>
      </w:r>
      <w:r w:rsidR="00ED7E52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any alleged offence and not only information relating to communicati</w:t>
      </w:r>
      <w:r w:rsidR="008E0053">
        <w:rPr>
          <w:rFonts w:ascii="Arial" w:hAnsi="Arial" w:cs="Arial"/>
          <w:sz w:val="24"/>
          <w:szCs w:val="24"/>
        </w:rPr>
        <w:t xml:space="preserve">on as provided for in the RICA, </w:t>
      </w:r>
      <w:r>
        <w:rPr>
          <w:rFonts w:ascii="Arial" w:hAnsi="Arial" w:cs="Arial"/>
          <w:sz w:val="24"/>
          <w:szCs w:val="24"/>
        </w:rPr>
        <w:t xml:space="preserve">the </w:t>
      </w:r>
      <w:r w:rsidRPr="00FC4E4A">
        <w:rPr>
          <w:rFonts w:ascii="Arial" w:hAnsi="Arial" w:cs="Arial"/>
          <w:sz w:val="24"/>
          <w:szCs w:val="24"/>
        </w:rPr>
        <w:t xml:space="preserve">Department will consider amendments to </w:t>
      </w:r>
      <w:r>
        <w:rPr>
          <w:rFonts w:ascii="Arial" w:hAnsi="Arial" w:cs="Arial"/>
          <w:sz w:val="24"/>
          <w:szCs w:val="24"/>
        </w:rPr>
        <w:t>section 15 of the RICA together with</w:t>
      </w:r>
      <w:r w:rsidR="002E7165">
        <w:rPr>
          <w:rFonts w:ascii="Arial" w:hAnsi="Arial" w:cs="Arial"/>
          <w:sz w:val="24"/>
          <w:szCs w:val="24"/>
        </w:rPr>
        <w:t xml:space="preserve"> the amendments referred to in q</w:t>
      </w:r>
      <w:r>
        <w:rPr>
          <w:rFonts w:ascii="Arial" w:hAnsi="Arial" w:cs="Arial"/>
          <w:sz w:val="24"/>
          <w:szCs w:val="24"/>
        </w:rPr>
        <w:t>uestion 1 above.</w:t>
      </w:r>
    </w:p>
    <w:p w:rsidR="00FC4E4A" w:rsidRDefault="00FC4E4A" w:rsidP="00FC4E4A">
      <w:pPr>
        <w:pStyle w:val="NormalWeb"/>
        <w:spacing w:after="240"/>
      </w:pPr>
    </w:p>
    <w:p w:rsidR="00FC4E4A" w:rsidRDefault="00FC4E4A" w:rsidP="00681B0C">
      <w:pPr>
        <w:spacing w:line="360" w:lineRule="auto"/>
        <w:jc w:val="both"/>
        <w:rPr>
          <w:rFonts w:ascii="Arial" w:hAnsi="Arial" w:cs="Arial"/>
        </w:rPr>
      </w:pPr>
    </w:p>
    <w:p w:rsidR="007D5966" w:rsidRPr="007D5966" w:rsidRDefault="007D5966" w:rsidP="002F0095">
      <w:pPr>
        <w:jc w:val="both"/>
        <w:rPr>
          <w:rFonts w:ascii="Arial" w:hAnsi="Arial" w:cs="Arial"/>
        </w:rPr>
      </w:pPr>
    </w:p>
    <w:sectPr w:rsidR="007D5966" w:rsidRPr="007D5966" w:rsidSect="00A643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0D" w:rsidRDefault="00A0110D" w:rsidP="00913892">
      <w:r>
        <w:separator/>
      </w:r>
    </w:p>
  </w:endnote>
  <w:endnote w:type="continuationSeparator" w:id="0">
    <w:p w:rsidR="00A0110D" w:rsidRDefault="00A0110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0110D" w:rsidRPr="00A0110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0D" w:rsidRDefault="00A0110D" w:rsidP="00913892">
      <w:r>
        <w:separator/>
      </w:r>
    </w:p>
  </w:footnote>
  <w:footnote w:type="continuationSeparator" w:id="0">
    <w:p w:rsidR="00A0110D" w:rsidRDefault="00A0110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0893EA9"/>
    <w:multiLevelType w:val="hybridMultilevel"/>
    <w:tmpl w:val="DDACC2F6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800BCD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C11C8"/>
    <w:multiLevelType w:val="hybridMultilevel"/>
    <w:tmpl w:val="30B2A352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7354C5"/>
    <w:multiLevelType w:val="hybridMultilevel"/>
    <w:tmpl w:val="928C76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1"/>
  </w:num>
  <w:num w:numId="5">
    <w:abstractNumId w:val="26"/>
  </w:num>
  <w:num w:numId="6">
    <w:abstractNumId w:val="2"/>
  </w:num>
  <w:num w:numId="7">
    <w:abstractNumId w:val="30"/>
  </w:num>
  <w:num w:numId="8">
    <w:abstractNumId w:val="8"/>
  </w:num>
  <w:num w:numId="9">
    <w:abstractNumId w:val="1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6"/>
  </w:num>
  <w:num w:numId="15">
    <w:abstractNumId w:val="7"/>
  </w:num>
  <w:num w:numId="16">
    <w:abstractNumId w:val="14"/>
  </w:num>
  <w:num w:numId="17">
    <w:abstractNumId w:val="29"/>
  </w:num>
  <w:num w:numId="18">
    <w:abstractNumId w:val="20"/>
  </w:num>
  <w:num w:numId="19">
    <w:abstractNumId w:val="17"/>
  </w:num>
  <w:num w:numId="20">
    <w:abstractNumId w:val="28"/>
  </w:num>
  <w:num w:numId="21">
    <w:abstractNumId w:val="23"/>
  </w:num>
  <w:num w:numId="22">
    <w:abstractNumId w:val="24"/>
  </w:num>
  <w:num w:numId="23">
    <w:abstractNumId w:val="6"/>
  </w:num>
  <w:num w:numId="24">
    <w:abstractNumId w:val="25"/>
  </w:num>
  <w:num w:numId="25">
    <w:abstractNumId w:val="4"/>
  </w:num>
  <w:num w:numId="26">
    <w:abstractNumId w:val="5"/>
  </w:num>
  <w:num w:numId="27">
    <w:abstractNumId w:val="18"/>
  </w:num>
  <w:num w:numId="28">
    <w:abstractNumId w:val="31"/>
  </w:num>
  <w:num w:numId="29">
    <w:abstractNumId w:val="13"/>
  </w:num>
  <w:num w:numId="30">
    <w:abstractNumId w:val="9"/>
  </w:num>
  <w:num w:numId="31">
    <w:abstractNumId w:val="12"/>
  </w:num>
  <w:num w:numId="32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3040E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8A1"/>
    <w:rsid w:val="001A6D2A"/>
    <w:rsid w:val="001B00F0"/>
    <w:rsid w:val="001D4AF4"/>
    <w:rsid w:val="001E1BE7"/>
    <w:rsid w:val="001F445E"/>
    <w:rsid w:val="00203F6A"/>
    <w:rsid w:val="00213182"/>
    <w:rsid w:val="0021549B"/>
    <w:rsid w:val="002338A3"/>
    <w:rsid w:val="002857B6"/>
    <w:rsid w:val="00286311"/>
    <w:rsid w:val="002A0DB1"/>
    <w:rsid w:val="002A5615"/>
    <w:rsid w:val="002B2B31"/>
    <w:rsid w:val="002B6D18"/>
    <w:rsid w:val="002C719B"/>
    <w:rsid w:val="002D5BF7"/>
    <w:rsid w:val="002D7BBD"/>
    <w:rsid w:val="002E7165"/>
    <w:rsid w:val="002E7253"/>
    <w:rsid w:val="002F0095"/>
    <w:rsid w:val="002F74EA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2C30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B6B6B"/>
    <w:rsid w:val="004F6FEC"/>
    <w:rsid w:val="00500D2C"/>
    <w:rsid w:val="005071E9"/>
    <w:rsid w:val="00515B6A"/>
    <w:rsid w:val="005160F8"/>
    <w:rsid w:val="0054211D"/>
    <w:rsid w:val="0055283C"/>
    <w:rsid w:val="005657D8"/>
    <w:rsid w:val="00572F09"/>
    <w:rsid w:val="005835BC"/>
    <w:rsid w:val="005856A7"/>
    <w:rsid w:val="00585897"/>
    <w:rsid w:val="005B19A0"/>
    <w:rsid w:val="005E365A"/>
    <w:rsid w:val="00612214"/>
    <w:rsid w:val="00625CD7"/>
    <w:rsid w:val="00630932"/>
    <w:rsid w:val="00653FE5"/>
    <w:rsid w:val="00663261"/>
    <w:rsid w:val="00670788"/>
    <w:rsid w:val="0067545A"/>
    <w:rsid w:val="00681B0C"/>
    <w:rsid w:val="006959E4"/>
    <w:rsid w:val="006B0F80"/>
    <w:rsid w:val="006B4078"/>
    <w:rsid w:val="006B5DA6"/>
    <w:rsid w:val="006C0567"/>
    <w:rsid w:val="006D21F9"/>
    <w:rsid w:val="006D7E71"/>
    <w:rsid w:val="006F2454"/>
    <w:rsid w:val="006F63D7"/>
    <w:rsid w:val="00701B5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110B"/>
    <w:rsid w:val="00777A77"/>
    <w:rsid w:val="0078425B"/>
    <w:rsid w:val="00791471"/>
    <w:rsid w:val="007961D4"/>
    <w:rsid w:val="007C0AC3"/>
    <w:rsid w:val="007D5966"/>
    <w:rsid w:val="007D7574"/>
    <w:rsid w:val="007E7201"/>
    <w:rsid w:val="007F2B0B"/>
    <w:rsid w:val="00814894"/>
    <w:rsid w:val="00835AE7"/>
    <w:rsid w:val="00846897"/>
    <w:rsid w:val="00865132"/>
    <w:rsid w:val="0086778B"/>
    <w:rsid w:val="008769EF"/>
    <w:rsid w:val="00881381"/>
    <w:rsid w:val="00892846"/>
    <w:rsid w:val="008A1398"/>
    <w:rsid w:val="008A1837"/>
    <w:rsid w:val="008B7A8F"/>
    <w:rsid w:val="008C0966"/>
    <w:rsid w:val="008C1A56"/>
    <w:rsid w:val="008D0920"/>
    <w:rsid w:val="008D4373"/>
    <w:rsid w:val="008E005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755B"/>
    <w:rsid w:val="009B0CAB"/>
    <w:rsid w:val="009C5C3C"/>
    <w:rsid w:val="009D173F"/>
    <w:rsid w:val="009D4F78"/>
    <w:rsid w:val="009E0268"/>
    <w:rsid w:val="009E1C96"/>
    <w:rsid w:val="009E5577"/>
    <w:rsid w:val="009E709A"/>
    <w:rsid w:val="009F1B70"/>
    <w:rsid w:val="009F2D5C"/>
    <w:rsid w:val="00A0110D"/>
    <w:rsid w:val="00A27641"/>
    <w:rsid w:val="00A42301"/>
    <w:rsid w:val="00A4711C"/>
    <w:rsid w:val="00A57BB2"/>
    <w:rsid w:val="00A64328"/>
    <w:rsid w:val="00A6432A"/>
    <w:rsid w:val="00A66729"/>
    <w:rsid w:val="00A7136B"/>
    <w:rsid w:val="00A94031"/>
    <w:rsid w:val="00AA2AB0"/>
    <w:rsid w:val="00AA39AC"/>
    <w:rsid w:val="00AD7B7A"/>
    <w:rsid w:val="00AF5D91"/>
    <w:rsid w:val="00B13369"/>
    <w:rsid w:val="00B170EA"/>
    <w:rsid w:val="00B26AB3"/>
    <w:rsid w:val="00B33D23"/>
    <w:rsid w:val="00B40A2F"/>
    <w:rsid w:val="00B46E62"/>
    <w:rsid w:val="00B47D6F"/>
    <w:rsid w:val="00B52D34"/>
    <w:rsid w:val="00B553A6"/>
    <w:rsid w:val="00B63BCE"/>
    <w:rsid w:val="00B70E5F"/>
    <w:rsid w:val="00B8345D"/>
    <w:rsid w:val="00B958BA"/>
    <w:rsid w:val="00BA3361"/>
    <w:rsid w:val="00BA3A67"/>
    <w:rsid w:val="00BA61AF"/>
    <w:rsid w:val="00BB53A8"/>
    <w:rsid w:val="00BC7AFB"/>
    <w:rsid w:val="00BD465E"/>
    <w:rsid w:val="00BD6D36"/>
    <w:rsid w:val="00BE0E35"/>
    <w:rsid w:val="00BF0672"/>
    <w:rsid w:val="00BF0809"/>
    <w:rsid w:val="00BF4202"/>
    <w:rsid w:val="00BF738D"/>
    <w:rsid w:val="00C15423"/>
    <w:rsid w:val="00C31057"/>
    <w:rsid w:val="00C310B5"/>
    <w:rsid w:val="00C331B7"/>
    <w:rsid w:val="00C360AA"/>
    <w:rsid w:val="00C3772F"/>
    <w:rsid w:val="00C41A50"/>
    <w:rsid w:val="00C7577B"/>
    <w:rsid w:val="00C75ACC"/>
    <w:rsid w:val="00C770B6"/>
    <w:rsid w:val="00C8589D"/>
    <w:rsid w:val="00C90886"/>
    <w:rsid w:val="00C95F59"/>
    <w:rsid w:val="00CA135C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77702"/>
    <w:rsid w:val="00D80139"/>
    <w:rsid w:val="00D832B2"/>
    <w:rsid w:val="00D8626A"/>
    <w:rsid w:val="00D86E52"/>
    <w:rsid w:val="00D93903"/>
    <w:rsid w:val="00DA495F"/>
    <w:rsid w:val="00DB11B2"/>
    <w:rsid w:val="00DC255C"/>
    <w:rsid w:val="00DC592F"/>
    <w:rsid w:val="00DC7CDA"/>
    <w:rsid w:val="00DD36A5"/>
    <w:rsid w:val="00DE1284"/>
    <w:rsid w:val="00DF2638"/>
    <w:rsid w:val="00E1080E"/>
    <w:rsid w:val="00E17F42"/>
    <w:rsid w:val="00E44AFC"/>
    <w:rsid w:val="00E55AFD"/>
    <w:rsid w:val="00E7467C"/>
    <w:rsid w:val="00EA48D5"/>
    <w:rsid w:val="00EA4D5C"/>
    <w:rsid w:val="00EA53D2"/>
    <w:rsid w:val="00EA7A64"/>
    <w:rsid w:val="00EB54FA"/>
    <w:rsid w:val="00EC5379"/>
    <w:rsid w:val="00ED5CF6"/>
    <w:rsid w:val="00ED7E52"/>
    <w:rsid w:val="00EE1177"/>
    <w:rsid w:val="00EE60D2"/>
    <w:rsid w:val="00EF081C"/>
    <w:rsid w:val="00EF32C9"/>
    <w:rsid w:val="00F153FE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75E88"/>
    <w:rsid w:val="00F845F2"/>
    <w:rsid w:val="00F86709"/>
    <w:rsid w:val="00F91926"/>
    <w:rsid w:val="00F95D9E"/>
    <w:rsid w:val="00FA26A6"/>
    <w:rsid w:val="00FA4D8E"/>
    <w:rsid w:val="00FA74AE"/>
    <w:rsid w:val="00FC3D42"/>
    <w:rsid w:val="00FC4E4A"/>
    <w:rsid w:val="00FD32ED"/>
    <w:rsid w:val="00FE25AE"/>
    <w:rsid w:val="00FE64CB"/>
    <w:rsid w:val="00FF0C8B"/>
    <w:rsid w:val="00FF1920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B0C"/>
    <w:rPr>
      <w:rFonts w:ascii="Calibri" w:eastAsia="Calibri" w:hAnsi="Calibri"/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681B0C"/>
    <w:rPr>
      <w:lang w:val="en-ZA"/>
    </w:rPr>
  </w:style>
  <w:style w:type="character" w:styleId="FootnoteReference">
    <w:name w:val="footnote reference"/>
    <w:uiPriority w:val="99"/>
    <w:semiHidden/>
    <w:unhideWhenUsed/>
    <w:rsid w:val="00681B0C"/>
    <w:rPr>
      <w:vertAlign w:val="superscript"/>
    </w:rPr>
  </w:style>
  <w:style w:type="character" w:styleId="Hyperlink">
    <w:name w:val="Hyperlink"/>
    <w:uiPriority w:val="99"/>
    <w:semiHidden/>
    <w:unhideWhenUsed/>
    <w:rsid w:val="00FC4E4A"/>
    <w:rPr>
      <w:color w:val="008000"/>
      <w:u w:val="single"/>
    </w:rPr>
  </w:style>
  <w:style w:type="paragraph" w:customStyle="1" w:styleId="lg-para3">
    <w:name w:val="lg-para3"/>
    <w:basedOn w:val="Normal"/>
    <w:rsid w:val="00FC4E4A"/>
    <w:pPr>
      <w:spacing w:before="120"/>
      <w:ind w:firstLine="60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lg-section">
    <w:name w:val="lg-section"/>
    <w:basedOn w:val="Normal"/>
    <w:rsid w:val="00FC4E4A"/>
    <w:pPr>
      <w:spacing w:before="300"/>
      <w:ind w:firstLine="403"/>
      <w:jc w:val="both"/>
    </w:pPr>
    <w:rPr>
      <w:rFonts w:ascii="Verdana" w:hAnsi="Verdana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4E4A"/>
    <w:pPr>
      <w:spacing w:before="18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lg-annotation">
    <w:name w:val="lg-annotation"/>
    <w:basedOn w:val="Normal"/>
    <w:rsid w:val="00FC4E4A"/>
    <w:pPr>
      <w:spacing w:before="40"/>
      <w:ind w:left="567" w:right="567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ws-link">
    <w:name w:val="ws-link"/>
    <w:basedOn w:val="Normal"/>
    <w:rsid w:val="00FC4E4A"/>
    <w:pPr>
      <w:jc w:val="center"/>
    </w:pPr>
    <w:rPr>
      <w:rFonts w:ascii="Verdana" w:hAnsi="Verdana"/>
      <w:color w:val="000000"/>
      <w:sz w:val="18"/>
      <w:szCs w:val="18"/>
    </w:rPr>
  </w:style>
  <w:style w:type="character" w:customStyle="1" w:styleId="popup-link1">
    <w:name w:val="popup-link1"/>
    <w:rsid w:val="00FC4E4A"/>
    <w:rPr>
      <w:color w:val="660000"/>
      <w:u w:val="single"/>
    </w:rPr>
  </w:style>
  <w:style w:type="paragraph" w:customStyle="1" w:styleId="lg-arrangesect">
    <w:name w:val="lg-arrangesect"/>
    <w:basedOn w:val="Normal"/>
    <w:rsid w:val="009E709A"/>
    <w:rPr>
      <w:rFonts w:ascii="Verdana" w:hAnsi="Verdana"/>
      <w:color w:val="000000"/>
      <w:sz w:val="18"/>
      <w:szCs w:val="18"/>
    </w:rPr>
  </w:style>
  <w:style w:type="paragraph" w:customStyle="1" w:styleId="lg-linksection">
    <w:name w:val="lg-linksection"/>
    <w:basedOn w:val="Normal"/>
    <w:rsid w:val="009E709A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4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7D6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D6F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jcdnoc-ln1/nxt/gateway.dll/jilc/kilc/txsg/i1sg/j1sg/f8u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jcdnoc-ln1/nxt/gateway.dll/jilc/kilc/txsg/i1sg/j1sg/d8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http://dojcdnoc-ln1/nxt/gateway.dll/jilc/kilc/txsg/i1sg/j1sg/f8ui</vt:lpwstr>
      </vt:variant>
      <vt:variant>
        <vt:lpwstr>g0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http://dojcdnoc-ln1/nxt/gateway.dll/jilc/kilc/txsg/i1sg/j1sg/d8ui</vt:lpwstr>
      </vt:variant>
      <vt:variant>
        <vt:lpwstr>g0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2017-06-05T08:59:00Z</cp:lastPrinted>
  <dcterms:created xsi:type="dcterms:W3CDTF">2017-06-14T10:40:00Z</dcterms:created>
  <dcterms:modified xsi:type="dcterms:W3CDTF">2017-06-14T10:40:00Z</dcterms:modified>
</cp:coreProperties>
</file>