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1651E2" w:rsidRPr="0034705D">
        <w:rPr>
          <w:b/>
          <w:bCs/>
          <w:sz w:val="24"/>
          <w:u w:val="single"/>
        </w:rPr>
        <w:t xml:space="preserve">WRITTEN </w:t>
      </w:r>
      <w:r w:rsidRPr="0034705D">
        <w:rPr>
          <w:b/>
          <w:bCs/>
          <w:sz w:val="24"/>
          <w:u w:val="single"/>
        </w:rPr>
        <w:t>REPLY</w:t>
      </w:r>
    </w:p>
    <w:p w:rsidR="00E238C2" w:rsidRPr="0034705D" w:rsidRDefault="00E238C2">
      <w:pPr>
        <w:pStyle w:val="BodyText"/>
        <w:rPr>
          <w:b/>
          <w:bCs/>
          <w:sz w:val="24"/>
          <w:u w:val="single"/>
        </w:rPr>
      </w:pPr>
    </w:p>
    <w:p w:rsidR="00E238C2" w:rsidRPr="0034705D" w:rsidRDefault="005E1FBC">
      <w:pPr>
        <w:pStyle w:val="BodyText"/>
        <w:rPr>
          <w:b/>
          <w:bCs/>
          <w:sz w:val="24"/>
          <w:u w:val="single"/>
        </w:rPr>
      </w:pPr>
      <w:r w:rsidRPr="0034705D">
        <w:rPr>
          <w:b/>
          <w:bCs/>
          <w:sz w:val="24"/>
          <w:u w:val="single"/>
        </w:rPr>
        <w:t xml:space="preserve">QUESTION NO. </w:t>
      </w:r>
      <w:r w:rsidR="002A0E7D">
        <w:rPr>
          <w:b/>
          <w:bCs/>
          <w:sz w:val="24"/>
          <w:u w:val="single"/>
        </w:rPr>
        <w:t>1</w:t>
      </w:r>
      <w:r w:rsidR="004A25DE">
        <w:rPr>
          <w:b/>
          <w:bCs/>
          <w:sz w:val="24"/>
          <w:u w:val="single"/>
        </w:rPr>
        <w:t>2</w:t>
      </w:r>
      <w:r w:rsidR="00967924">
        <w:rPr>
          <w:b/>
          <w:bCs/>
          <w:sz w:val="24"/>
          <w:u w:val="single"/>
        </w:rPr>
        <w:t>2</w:t>
      </w:r>
      <w:r w:rsidR="00B23C6B">
        <w:rPr>
          <w:b/>
          <w:bCs/>
          <w:sz w:val="24"/>
          <w:u w:val="single"/>
        </w:rPr>
        <w:t>5</w:t>
      </w:r>
    </w:p>
    <w:p w:rsidR="00E238C2" w:rsidRPr="0034705D" w:rsidRDefault="00E238C2">
      <w:pPr>
        <w:pStyle w:val="BodyText"/>
        <w:rPr>
          <w:b/>
          <w:bCs/>
          <w:sz w:val="24"/>
          <w:u w:val="single"/>
        </w:rPr>
      </w:pPr>
    </w:p>
    <w:p w:rsidR="00E238C2" w:rsidRPr="00923623" w:rsidRDefault="00E238C2">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sidR="00967924">
        <w:rPr>
          <w:b/>
          <w:bCs/>
          <w:sz w:val="24"/>
          <w:u w:val="single"/>
        </w:rPr>
        <w:t>06 MAY</w:t>
      </w:r>
      <w:r w:rsidR="00C50944" w:rsidRPr="00923623">
        <w:rPr>
          <w:b/>
          <w:bCs/>
          <w:sz w:val="24"/>
          <w:u w:val="single"/>
        </w:rPr>
        <w:t xml:space="preserve"> </w:t>
      </w:r>
      <w:r w:rsidRPr="00923623">
        <w:rPr>
          <w:b/>
          <w:bCs/>
          <w:sz w:val="24"/>
          <w:u w:val="single"/>
        </w:rPr>
        <w:t>20</w:t>
      </w:r>
      <w:r w:rsidR="005E1FBC" w:rsidRPr="00923623">
        <w:rPr>
          <w:b/>
          <w:bCs/>
          <w:sz w:val="24"/>
          <w:u w:val="single"/>
        </w:rPr>
        <w:t>1</w:t>
      </w:r>
      <w:r w:rsidR="008A34C5" w:rsidRPr="00923623">
        <w:rPr>
          <w:b/>
          <w:bCs/>
          <w:sz w:val="24"/>
          <w:u w:val="single"/>
        </w:rPr>
        <w:t>6</w:t>
      </w:r>
      <w:r w:rsidRPr="00923623">
        <w:rPr>
          <w:b/>
          <w:bCs/>
          <w:sz w:val="24"/>
          <w:u w:val="single"/>
        </w:rPr>
        <w:t xml:space="preserve">   </w:t>
      </w:r>
    </w:p>
    <w:p w:rsidR="00E238C2" w:rsidRPr="0058358E" w:rsidRDefault="00E238C2"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 xml:space="preserve">ION PAPER NO. </w:t>
      </w:r>
      <w:r w:rsidR="00067DAB" w:rsidRPr="00067DAB">
        <w:rPr>
          <w:b/>
          <w:bCs/>
          <w:sz w:val="24"/>
          <w:u w:val="single"/>
        </w:rPr>
        <w:t>1</w:t>
      </w:r>
      <w:r w:rsidR="00967924">
        <w:rPr>
          <w:b/>
          <w:bCs/>
          <w:sz w:val="24"/>
          <w:u w:val="single"/>
        </w:rPr>
        <w:t>3</w:t>
      </w:r>
      <w:r w:rsidRPr="00067DAB">
        <w:rPr>
          <w:b/>
          <w:bCs/>
          <w:sz w:val="24"/>
          <w:u w:val="single"/>
        </w:rPr>
        <w:t>)</w:t>
      </w:r>
    </w:p>
    <w:p w:rsidR="00B23C6B" w:rsidRPr="00B23C6B" w:rsidRDefault="00B23C6B" w:rsidP="00B23C6B">
      <w:pPr>
        <w:spacing w:before="100" w:beforeAutospacing="1" w:after="100" w:afterAutospacing="1"/>
        <w:ind w:left="851" w:hanging="851"/>
        <w:jc w:val="both"/>
        <w:outlineLvl w:val="0"/>
        <w:rPr>
          <w:b/>
          <w:sz w:val="24"/>
          <w:u w:val="single"/>
        </w:rPr>
      </w:pPr>
      <w:r w:rsidRPr="00B23C6B">
        <w:rPr>
          <w:b/>
          <w:sz w:val="24"/>
          <w:u w:val="single"/>
        </w:rPr>
        <w:t xml:space="preserve">Mr </w:t>
      </w:r>
      <w:proofErr w:type="gramStart"/>
      <w:r w:rsidRPr="00B23C6B">
        <w:rPr>
          <w:b/>
          <w:sz w:val="24"/>
          <w:u w:val="single"/>
        </w:rPr>
        <w:t>A</w:t>
      </w:r>
      <w:proofErr w:type="gramEnd"/>
      <w:r w:rsidRPr="00B23C6B">
        <w:rPr>
          <w:b/>
          <w:sz w:val="24"/>
          <w:u w:val="single"/>
        </w:rPr>
        <w:t xml:space="preserve"> F </w:t>
      </w:r>
      <w:proofErr w:type="spellStart"/>
      <w:r w:rsidRPr="00B23C6B">
        <w:rPr>
          <w:b/>
          <w:sz w:val="24"/>
          <w:u w:val="single"/>
        </w:rPr>
        <w:t>Mahlalela</w:t>
      </w:r>
      <w:proofErr w:type="spellEnd"/>
      <w:r w:rsidRPr="00B23C6B">
        <w:rPr>
          <w:b/>
          <w:sz w:val="24"/>
          <w:u w:val="single"/>
        </w:rPr>
        <w:t xml:space="preserve"> (ANC) to ask the Minister of Health:</w:t>
      </w:r>
    </w:p>
    <w:p w:rsidR="008A34C5" w:rsidRPr="00B23C6B" w:rsidRDefault="00B23C6B" w:rsidP="00B23C6B">
      <w:pPr>
        <w:spacing w:before="100" w:beforeAutospacing="1" w:after="100" w:afterAutospacing="1"/>
        <w:jc w:val="both"/>
        <w:rPr>
          <w:sz w:val="24"/>
        </w:rPr>
      </w:pPr>
      <w:r w:rsidRPr="00B23C6B">
        <w:rPr>
          <w:sz w:val="24"/>
        </w:rPr>
        <w:t xml:space="preserve">Whether adequate funding from the budget is being allocated to Primary Health Care in each province in line with the prescribed norms and standards; if not, (a) what is the (i) allocation amount and (ii) shortfall in each province and (b) what steps are being taken by his </w:t>
      </w:r>
      <w:r w:rsidRPr="00B23C6B">
        <w:rPr>
          <w:color w:val="000000"/>
          <w:sz w:val="24"/>
        </w:rPr>
        <w:t>department</w:t>
      </w:r>
      <w:r w:rsidRPr="00B23C6B">
        <w:rPr>
          <w:sz w:val="24"/>
        </w:rPr>
        <w:t xml:space="preserve"> to ensure that provinces allocate adequate funding to Primary Health Care; if so, why is Primary Health Care not achiev</w:t>
      </w:r>
      <w:r>
        <w:rPr>
          <w:sz w:val="24"/>
        </w:rPr>
        <w:t>ing the intended results?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2A0E7D">
        <w:rPr>
          <w:color w:val="000000"/>
        </w:rPr>
        <w:t>1</w:t>
      </w:r>
      <w:r w:rsidR="00D23E84">
        <w:rPr>
          <w:color w:val="000000"/>
        </w:rPr>
        <w:t>3</w:t>
      </w:r>
      <w:r w:rsidR="00967924">
        <w:rPr>
          <w:color w:val="000000"/>
        </w:rPr>
        <w:t>6</w:t>
      </w:r>
      <w:r w:rsidR="00B23C6B">
        <w:rPr>
          <w:color w:val="000000"/>
        </w:rPr>
        <w:t>4</w:t>
      </w:r>
      <w:r w:rsidR="009D2E42">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CB7B23" w:rsidRDefault="00CB7B23" w:rsidP="005E7BF6">
      <w:pPr>
        <w:jc w:val="both"/>
        <w:rPr>
          <w:sz w:val="24"/>
        </w:rPr>
      </w:pPr>
    </w:p>
    <w:p w:rsidR="0045074B" w:rsidRPr="0045074B" w:rsidRDefault="0045074B" w:rsidP="0045074B">
      <w:pPr>
        <w:pStyle w:val="BodyText"/>
        <w:numPr>
          <w:ilvl w:val="0"/>
          <w:numId w:val="41"/>
        </w:numPr>
        <w:ind w:hanging="1140"/>
        <w:rPr>
          <w:b/>
          <w:sz w:val="24"/>
        </w:rPr>
      </w:pPr>
      <w:r w:rsidRPr="0045074B">
        <w:rPr>
          <w:b/>
          <w:sz w:val="24"/>
        </w:rPr>
        <w:t>Eastern Cape</w:t>
      </w:r>
    </w:p>
    <w:p w:rsidR="0045074B" w:rsidRDefault="0045074B" w:rsidP="0045074B">
      <w:pPr>
        <w:pStyle w:val="BodyText"/>
        <w:rPr>
          <w:b/>
          <w:sz w:val="24"/>
        </w:rPr>
      </w:pPr>
      <w:r w:rsidRPr="0045074B">
        <w:rPr>
          <w:b/>
          <w:sz w:val="24"/>
        </w:rPr>
        <w:tab/>
      </w:r>
    </w:p>
    <w:p w:rsidR="0045074B" w:rsidRPr="0045074B" w:rsidRDefault="0045074B" w:rsidP="0045074B">
      <w:pPr>
        <w:pStyle w:val="BodyText"/>
        <w:tabs>
          <w:tab w:val="left" w:pos="1418"/>
        </w:tabs>
        <w:ind w:left="2160" w:hanging="1451"/>
        <w:rPr>
          <w:sz w:val="24"/>
        </w:rPr>
      </w:pPr>
      <w:r w:rsidRPr="0045074B">
        <w:rPr>
          <w:sz w:val="24"/>
        </w:rPr>
        <w:t>(a)</w:t>
      </w:r>
      <w:r w:rsidRPr="0045074B">
        <w:rPr>
          <w:sz w:val="24"/>
        </w:rPr>
        <w:tab/>
        <w:t>(</w:t>
      </w:r>
      <w:proofErr w:type="gramStart"/>
      <w:r w:rsidRPr="0045074B">
        <w:rPr>
          <w:sz w:val="24"/>
        </w:rPr>
        <w:t>i</w:t>
      </w:r>
      <w:proofErr w:type="gramEnd"/>
      <w:r w:rsidRPr="0045074B">
        <w:rPr>
          <w:sz w:val="24"/>
        </w:rPr>
        <w:t>)</w:t>
      </w:r>
      <w:r w:rsidRPr="0045074B">
        <w:rPr>
          <w:sz w:val="24"/>
        </w:rPr>
        <w:tab/>
        <w:t>The amount allocated to Primary Health Care in the province is R9,9billion out of R20,2 billion which is 49.2% of the total departmental budget allocation.</w:t>
      </w:r>
    </w:p>
    <w:p w:rsidR="0045074B" w:rsidRDefault="0045074B" w:rsidP="0045074B">
      <w:pPr>
        <w:pStyle w:val="BodyText"/>
        <w:ind w:left="2160" w:hanging="720"/>
        <w:rPr>
          <w:sz w:val="24"/>
        </w:rPr>
      </w:pPr>
      <w:r w:rsidRPr="0045074B">
        <w:rPr>
          <w:sz w:val="24"/>
        </w:rPr>
        <w:t>(ii)</w:t>
      </w:r>
      <w:r w:rsidRPr="0045074B">
        <w:rPr>
          <w:sz w:val="24"/>
        </w:rPr>
        <w:tab/>
        <w:t xml:space="preserve">Given to the negative fiscal outlook, the provincial allocation is adequate to achieve the PHC intended results. This is further confirmed by the fact that the province did not incur </w:t>
      </w:r>
      <w:proofErr w:type="spellStart"/>
      <w:r w:rsidRPr="0045074B">
        <w:rPr>
          <w:sz w:val="24"/>
        </w:rPr>
        <w:t>unauthorised</w:t>
      </w:r>
      <w:proofErr w:type="spellEnd"/>
      <w:r w:rsidRPr="0045074B">
        <w:rPr>
          <w:sz w:val="24"/>
        </w:rPr>
        <w:t xml:space="preserve"> expenditure for the 2015/16 financial year.</w:t>
      </w:r>
    </w:p>
    <w:p w:rsidR="0045074B" w:rsidRPr="0045074B" w:rsidRDefault="0045074B" w:rsidP="0045074B">
      <w:pPr>
        <w:pStyle w:val="BodyText"/>
        <w:ind w:left="2160" w:hanging="720"/>
        <w:rPr>
          <w:sz w:val="24"/>
        </w:rPr>
      </w:pPr>
    </w:p>
    <w:p w:rsidR="0045074B" w:rsidRPr="0045074B" w:rsidRDefault="0045074B" w:rsidP="0045074B">
      <w:pPr>
        <w:pStyle w:val="BodyText"/>
        <w:ind w:left="1418" w:hanging="698"/>
        <w:rPr>
          <w:sz w:val="24"/>
        </w:rPr>
      </w:pPr>
      <w:r w:rsidRPr="0045074B">
        <w:rPr>
          <w:sz w:val="24"/>
        </w:rPr>
        <w:t xml:space="preserve">(b) </w:t>
      </w:r>
      <w:r>
        <w:rPr>
          <w:sz w:val="24"/>
        </w:rPr>
        <w:tab/>
      </w:r>
      <w:r w:rsidRPr="0045074B">
        <w:rPr>
          <w:sz w:val="24"/>
        </w:rPr>
        <w:t>The department believes it has adequately allocated budget to PHC, but will henceforth strengthen the alignment of its budget to the achievement of results and will be strictly monitoring this on a monthly basis.</w:t>
      </w:r>
    </w:p>
    <w:p w:rsidR="0045074B" w:rsidRPr="0045074B" w:rsidRDefault="0045074B" w:rsidP="0045074B">
      <w:pPr>
        <w:pStyle w:val="BodyText"/>
        <w:rPr>
          <w:sz w:val="24"/>
        </w:rPr>
      </w:pPr>
    </w:p>
    <w:p w:rsidR="0045074B" w:rsidRPr="0045074B" w:rsidRDefault="0045074B" w:rsidP="0045074B">
      <w:pPr>
        <w:pStyle w:val="BodyText"/>
        <w:numPr>
          <w:ilvl w:val="0"/>
          <w:numId w:val="41"/>
        </w:numPr>
        <w:ind w:hanging="1140"/>
        <w:rPr>
          <w:b/>
          <w:sz w:val="24"/>
        </w:rPr>
      </w:pPr>
      <w:r w:rsidRPr="0045074B">
        <w:rPr>
          <w:b/>
          <w:sz w:val="24"/>
        </w:rPr>
        <w:t>Free State</w:t>
      </w:r>
    </w:p>
    <w:p w:rsidR="0045074B" w:rsidRPr="0045074B" w:rsidRDefault="0045074B" w:rsidP="0045074B">
      <w:pPr>
        <w:pStyle w:val="BodyText"/>
        <w:rPr>
          <w:sz w:val="24"/>
        </w:rPr>
      </w:pPr>
    </w:p>
    <w:p w:rsidR="0045074B" w:rsidRPr="0045074B" w:rsidRDefault="0045074B" w:rsidP="0045074B">
      <w:pPr>
        <w:pStyle w:val="BodyText"/>
        <w:tabs>
          <w:tab w:val="left" w:pos="1418"/>
        </w:tabs>
        <w:ind w:left="2160" w:hanging="1451"/>
        <w:rPr>
          <w:sz w:val="24"/>
        </w:rPr>
      </w:pPr>
      <w:r w:rsidRPr="0045074B">
        <w:rPr>
          <w:sz w:val="24"/>
        </w:rPr>
        <w:t>(a)</w:t>
      </w:r>
      <w:r w:rsidRPr="0045074B">
        <w:rPr>
          <w:sz w:val="24"/>
        </w:rPr>
        <w:tab/>
        <w:t>(i)</w:t>
      </w:r>
      <w:r w:rsidRPr="0045074B">
        <w:rPr>
          <w:sz w:val="24"/>
        </w:rPr>
        <w:tab/>
        <w:t xml:space="preserve">Budget allocated for Primary Health care at Free State for Primary Health care, under budget program 2 excluding district hospitals and coroner services is R 2, 46 billion. An additional amount of R 1.1 billion comes from Conditional grants (HIV/TB grant, NHI) is made available to supplement voted funds. </w:t>
      </w:r>
    </w:p>
    <w:p w:rsidR="0045074B" w:rsidRPr="0045074B" w:rsidRDefault="0045074B" w:rsidP="0045074B">
      <w:pPr>
        <w:pStyle w:val="BodyText"/>
        <w:ind w:left="2160" w:hanging="731"/>
        <w:rPr>
          <w:sz w:val="24"/>
        </w:rPr>
      </w:pPr>
      <w:r w:rsidRPr="0045074B">
        <w:rPr>
          <w:sz w:val="24"/>
        </w:rPr>
        <w:t>(ii)</w:t>
      </w:r>
      <w:r w:rsidRPr="0045074B">
        <w:rPr>
          <w:sz w:val="24"/>
        </w:rPr>
        <w:tab/>
        <w:t xml:space="preserve">The short fall at PHC level is estimated at R 72 497 350. 00 to fill critical posts in five </w:t>
      </w:r>
      <w:proofErr w:type="gramStart"/>
      <w:r w:rsidRPr="0045074B">
        <w:rPr>
          <w:sz w:val="24"/>
        </w:rPr>
        <w:t>district</w:t>
      </w:r>
      <w:proofErr w:type="gramEnd"/>
      <w:r w:rsidRPr="0045074B">
        <w:rPr>
          <w:sz w:val="24"/>
        </w:rPr>
        <w:t xml:space="preserve"> in Free State. However, additional funds will be required as the Free State Province is expected to </w:t>
      </w:r>
      <w:proofErr w:type="spellStart"/>
      <w:r w:rsidRPr="0045074B">
        <w:rPr>
          <w:sz w:val="24"/>
        </w:rPr>
        <w:t>operationalise</w:t>
      </w:r>
      <w:proofErr w:type="spellEnd"/>
      <w:r w:rsidRPr="0045074B">
        <w:rPr>
          <w:sz w:val="24"/>
        </w:rPr>
        <w:t xml:space="preserve"> 7 new clinics with a staffing cost estimated at R 66 758 770.00 these funds were not </w:t>
      </w:r>
      <w:proofErr w:type="gramStart"/>
      <w:r w:rsidRPr="0045074B">
        <w:rPr>
          <w:sz w:val="24"/>
        </w:rPr>
        <w:t>budgeted .</w:t>
      </w:r>
      <w:proofErr w:type="gramEnd"/>
    </w:p>
    <w:p w:rsidR="0045074B" w:rsidRPr="0045074B" w:rsidRDefault="0045074B" w:rsidP="0045074B">
      <w:pPr>
        <w:pStyle w:val="BodyText"/>
        <w:rPr>
          <w:sz w:val="24"/>
        </w:rPr>
      </w:pPr>
    </w:p>
    <w:p w:rsidR="00C43692" w:rsidRDefault="00C43692" w:rsidP="00C43692">
      <w:pPr>
        <w:pStyle w:val="BodyText"/>
        <w:spacing w:after="240"/>
        <w:ind w:left="1429" w:hanging="709"/>
        <w:rPr>
          <w:sz w:val="24"/>
        </w:rPr>
      </w:pPr>
    </w:p>
    <w:p w:rsidR="00C43692" w:rsidRDefault="00C43692" w:rsidP="00C43692">
      <w:pPr>
        <w:pStyle w:val="BodyText"/>
        <w:spacing w:after="240"/>
        <w:ind w:left="1429" w:hanging="709"/>
        <w:rPr>
          <w:sz w:val="24"/>
        </w:rPr>
      </w:pPr>
    </w:p>
    <w:p w:rsidR="00C43692" w:rsidRDefault="00C43692" w:rsidP="00C43692">
      <w:pPr>
        <w:pStyle w:val="BodyText"/>
        <w:spacing w:after="240"/>
        <w:ind w:left="1429" w:hanging="709"/>
        <w:rPr>
          <w:sz w:val="24"/>
        </w:rPr>
      </w:pPr>
    </w:p>
    <w:p w:rsidR="0045074B" w:rsidRPr="0045074B" w:rsidRDefault="0045074B" w:rsidP="00C43692">
      <w:pPr>
        <w:pStyle w:val="BodyText"/>
        <w:spacing w:after="240"/>
        <w:ind w:left="1429" w:hanging="709"/>
        <w:rPr>
          <w:sz w:val="24"/>
        </w:rPr>
      </w:pPr>
      <w:r w:rsidRPr="0045074B">
        <w:rPr>
          <w:sz w:val="24"/>
        </w:rPr>
        <w:lastRenderedPageBreak/>
        <w:t>(b)</w:t>
      </w:r>
      <w:r w:rsidRPr="0045074B">
        <w:rPr>
          <w:sz w:val="24"/>
        </w:rPr>
        <w:tab/>
        <w:t>The department ensure that 66 % (3</w:t>
      </w:r>
      <w:proofErr w:type="gramStart"/>
      <w:r w:rsidRPr="0045074B">
        <w:rPr>
          <w:sz w:val="24"/>
        </w:rPr>
        <w:t>,7</w:t>
      </w:r>
      <w:proofErr w:type="gramEnd"/>
      <w:r w:rsidRPr="0045074B">
        <w:rPr>
          <w:sz w:val="24"/>
        </w:rPr>
        <w:t xml:space="preserve"> billion) of Budget program 2 is allocated to PHC. The Department has engaged with national and Provincial Treasury to address the financial constrains experience</w:t>
      </w:r>
    </w:p>
    <w:p w:rsidR="0045074B" w:rsidRPr="0045074B" w:rsidRDefault="0045074B" w:rsidP="00C43692">
      <w:pPr>
        <w:pStyle w:val="BodyText"/>
        <w:spacing w:after="240"/>
        <w:ind w:left="1429" w:firstLine="11"/>
        <w:rPr>
          <w:sz w:val="24"/>
        </w:rPr>
      </w:pPr>
      <w:r w:rsidRPr="0045074B">
        <w:rPr>
          <w:sz w:val="24"/>
        </w:rPr>
        <w:t xml:space="preserve">Priority implemented at PHC are not sufficiently budgeted </w:t>
      </w:r>
      <w:proofErr w:type="gramStart"/>
      <w:r w:rsidRPr="0045074B">
        <w:rPr>
          <w:sz w:val="24"/>
        </w:rPr>
        <w:t>for ,</w:t>
      </w:r>
      <w:proofErr w:type="gramEnd"/>
      <w:r w:rsidRPr="0045074B">
        <w:rPr>
          <w:sz w:val="24"/>
        </w:rPr>
        <w:t xml:space="preserve"> these include but not limited to: </w:t>
      </w:r>
    </w:p>
    <w:p w:rsidR="0045074B" w:rsidRPr="0045074B" w:rsidRDefault="0045074B" w:rsidP="00C43692">
      <w:pPr>
        <w:pStyle w:val="BodyText"/>
        <w:numPr>
          <w:ilvl w:val="0"/>
          <w:numId w:val="44"/>
        </w:numPr>
        <w:spacing w:after="240"/>
        <w:rPr>
          <w:sz w:val="24"/>
        </w:rPr>
      </w:pPr>
      <w:r w:rsidRPr="0045074B">
        <w:rPr>
          <w:sz w:val="24"/>
        </w:rPr>
        <w:t xml:space="preserve">Expansion </w:t>
      </w:r>
      <w:proofErr w:type="gramStart"/>
      <w:r w:rsidRPr="0045074B">
        <w:rPr>
          <w:sz w:val="24"/>
        </w:rPr>
        <w:t>of  clinics</w:t>
      </w:r>
      <w:proofErr w:type="gramEnd"/>
      <w:r w:rsidRPr="0045074B">
        <w:rPr>
          <w:sz w:val="24"/>
        </w:rPr>
        <w:t xml:space="preserve"> to be roll out in the  ideal clinics program from 50 to 104 in 2016/2017.</w:t>
      </w:r>
    </w:p>
    <w:p w:rsidR="0045074B" w:rsidRPr="0045074B" w:rsidRDefault="0045074B" w:rsidP="00C43692">
      <w:pPr>
        <w:pStyle w:val="BodyText"/>
        <w:numPr>
          <w:ilvl w:val="0"/>
          <w:numId w:val="44"/>
        </w:numPr>
        <w:spacing w:after="240"/>
        <w:rPr>
          <w:sz w:val="24"/>
        </w:rPr>
      </w:pPr>
      <w:r w:rsidRPr="0045074B">
        <w:rPr>
          <w:sz w:val="24"/>
        </w:rPr>
        <w:t xml:space="preserve">Roll out of NHI in other districts. </w:t>
      </w:r>
    </w:p>
    <w:p w:rsidR="0045074B" w:rsidRPr="0045074B" w:rsidRDefault="0045074B" w:rsidP="00C43692">
      <w:pPr>
        <w:pStyle w:val="BodyText"/>
        <w:numPr>
          <w:ilvl w:val="0"/>
          <w:numId w:val="44"/>
        </w:numPr>
        <w:spacing w:after="240"/>
        <w:rPr>
          <w:sz w:val="24"/>
        </w:rPr>
      </w:pPr>
      <w:r w:rsidRPr="0045074B">
        <w:rPr>
          <w:sz w:val="24"/>
        </w:rPr>
        <w:t xml:space="preserve">Expansion of PHC re-engineering teams (Ward based outreach teams, School Health </w:t>
      </w:r>
      <w:proofErr w:type="gramStart"/>
      <w:r w:rsidRPr="0045074B">
        <w:rPr>
          <w:sz w:val="24"/>
        </w:rPr>
        <w:t>teams )</w:t>
      </w:r>
      <w:proofErr w:type="gramEnd"/>
      <w:r w:rsidRPr="0045074B">
        <w:rPr>
          <w:sz w:val="24"/>
        </w:rPr>
        <w:t xml:space="preserve">. </w:t>
      </w:r>
    </w:p>
    <w:p w:rsidR="0045074B" w:rsidRPr="0045074B" w:rsidRDefault="0045074B" w:rsidP="00C43692">
      <w:pPr>
        <w:pStyle w:val="BodyText"/>
        <w:numPr>
          <w:ilvl w:val="0"/>
          <w:numId w:val="44"/>
        </w:numPr>
        <w:spacing w:after="240"/>
        <w:rPr>
          <w:sz w:val="24"/>
        </w:rPr>
      </w:pPr>
      <w:r w:rsidRPr="0045074B">
        <w:rPr>
          <w:sz w:val="24"/>
        </w:rPr>
        <w:t>Appointment of critical clinical posts (nurses and doctors).</w:t>
      </w:r>
    </w:p>
    <w:p w:rsidR="0045074B" w:rsidRPr="0045074B" w:rsidRDefault="0045074B" w:rsidP="0045074B">
      <w:pPr>
        <w:pStyle w:val="BodyText"/>
        <w:rPr>
          <w:sz w:val="24"/>
        </w:rPr>
      </w:pPr>
      <w:r w:rsidRPr="0045074B">
        <w:rPr>
          <w:sz w:val="24"/>
        </w:rPr>
        <w:t xml:space="preserve"> </w:t>
      </w:r>
    </w:p>
    <w:p w:rsidR="0045074B" w:rsidRPr="0045074B" w:rsidRDefault="0045074B" w:rsidP="0045074B">
      <w:pPr>
        <w:pStyle w:val="BodyText"/>
        <w:numPr>
          <w:ilvl w:val="0"/>
          <w:numId w:val="41"/>
        </w:numPr>
        <w:ind w:hanging="1140"/>
        <w:rPr>
          <w:b/>
          <w:sz w:val="24"/>
        </w:rPr>
      </w:pPr>
      <w:r w:rsidRPr="0045074B">
        <w:rPr>
          <w:b/>
          <w:sz w:val="24"/>
        </w:rPr>
        <w:t>Gauteng</w:t>
      </w:r>
    </w:p>
    <w:p w:rsidR="0045074B" w:rsidRPr="0045074B" w:rsidRDefault="0045074B" w:rsidP="0045074B">
      <w:pPr>
        <w:pStyle w:val="BodyText"/>
        <w:rPr>
          <w:b/>
          <w:sz w:val="24"/>
        </w:rPr>
      </w:pPr>
    </w:p>
    <w:p w:rsidR="0045074B" w:rsidRPr="0045074B" w:rsidRDefault="0045074B" w:rsidP="00C43692">
      <w:pPr>
        <w:pStyle w:val="BodyText"/>
        <w:tabs>
          <w:tab w:val="left" w:pos="1418"/>
        </w:tabs>
        <w:spacing w:after="240"/>
        <w:ind w:left="2126" w:hanging="1407"/>
        <w:rPr>
          <w:sz w:val="24"/>
        </w:rPr>
      </w:pPr>
      <w:r w:rsidRPr="0045074B">
        <w:rPr>
          <w:sz w:val="24"/>
        </w:rPr>
        <w:t>(a)</w:t>
      </w:r>
      <w:r w:rsidRPr="0045074B">
        <w:rPr>
          <w:sz w:val="24"/>
        </w:rPr>
        <w:tab/>
        <w:t>(</w:t>
      </w:r>
      <w:proofErr w:type="gramStart"/>
      <w:r w:rsidRPr="0045074B">
        <w:rPr>
          <w:sz w:val="24"/>
        </w:rPr>
        <w:t>i</w:t>
      </w:r>
      <w:proofErr w:type="gramEnd"/>
      <w:r w:rsidRPr="0045074B">
        <w:rPr>
          <w:sz w:val="24"/>
        </w:rPr>
        <w:t>)</w:t>
      </w:r>
      <w:r w:rsidRPr="0045074B">
        <w:rPr>
          <w:sz w:val="24"/>
        </w:rPr>
        <w:tab/>
        <w:t>Total allocated budget for Primary Health Care is R12,6billion for 2016/17 financial year</w:t>
      </w:r>
    </w:p>
    <w:p w:rsidR="0045074B" w:rsidRPr="0045074B" w:rsidRDefault="0045074B" w:rsidP="00C43692">
      <w:pPr>
        <w:pStyle w:val="BodyText"/>
        <w:spacing w:after="240"/>
        <w:ind w:left="2126" w:hanging="687"/>
        <w:rPr>
          <w:sz w:val="24"/>
        </w:rPr>
      </w:pPr>
      <w:r w:rsidRPr="0045074B">
        <w:rPr>
          <w:sz w:val="24"/>
        </w:rPr>
        <w:t>(ii)</w:t>
      </w:r>
      <w:r w:rsidRPr="0045074B">
        <w:rPr>
          <w:sz w:val="24"/>
        </w:rPr>
        <w:tab/>
        <w:t>No shortfall identified currently, still awaiting WISN and Ideal clinic report to establish any possible shortfall</w:t>
      </w:r>
    </w:p>
    <w:p w:rsidR="0045074B" w:rsidRPr="0045074B" w:rsidRDefault="0045074B" w:rsidP="0045074B">
      <w:pPr>
        <w:pStyle w:val="BodyText"/>
        <w:ind w:left="1418" w:hanging="698"/>
        <w:rPr>
          <w:sz w:val="24"/>
        </w:rPr>
      </w:pPr>
      <w:r w:rsidRPr="0045074B">
        <w:rPr>
          <w:sz w:val="24"/>
        </w:rPr>
        <w:t xml:space="preserve">(b) </w:t>
      </w:r>
      <w:r>
        <w:rPr>
          <w:sz w:val="24"/>
        </w:rPr>
        <w:tab/>
      </w:r>
      <w:r w:rsidRPr="0045074B">
        <w:rPr>
          <w:sz w:val="24"/>
        </w:rPr>
        <w:t xml:space="preserve">Primary Health Care receives 33.7% share of the total budget to address the primary health care needs and ensure that communities access this services before referrals to higher level hospitals.  </w:t>
      </w:r>
    </w:p>
    <w:p w:rsidR="0045074B" w:rsidRPr="0045074B" w:rsidRDefault="0045074B" w:rsidP="0045074B">
      <w:pPr>
        <w:pStyle w:val="BodyText"/>
        <w:rPr>
          <w:sz w:val="24"/>
        </w:rPr>
      </w:pPr>
    </w:p>
    <w:p w:rsidR="0045074B" w:rsidRPr="0045074B" w:rsidRDefault="0045074B" w:rsidP="0045074B">
      <w:pPr>
        <w:pStyle w:val="BodyText"/>
        <w:numPr>
          <w:ilvl w:val="0"/>
          <w:numId w:val="41"/>
        </w:numPr>
        <w:ind w:hanging="1140"/>
        <w:rPr>
          <w:b/>
          <w:sz w:val="24"/>
        </w:rPr>
      </w:pPr>
      <w:r w:rsidRPr="0045074B">
        <w:rPr>
          <w:b/>
          <w:sz w:val="24"/>
        </w:rPr>
        <w:t>KwaZulu-Natal</w:t>
      </w:r>
    </w:p>
    <w:p w:rsidR="0045074B" w:rsidRPr="0045074B" w:rsidRDefault="0045074B" w:rsidP="0045074B">
      <w:pPr>
        <w:pStyle w:val="BodyText"/>
        <w:rPr>
          <w:sz w:val="24"/>
        </w:rPr>
      </w:pPr>
    </w:p>
    <w:p w:rsidR="0045074B" w:rsidRPr="0045074B" w:rsidRDefault="0045074B" w:rsidP="00C43692">
      <w:pPr>
        <w:pStyle w:val="BodyText"/>
        <w:tabs>
          <w:tab w:val="left" w:pos="1418"/>
        </w:tabs>
        <w:spacing w:after="240"/>
        <w:ind w:left="2126" w:hanging="1407"/>
        <w:rPr>
          <w:sz w:val="24"/>
        </w:rPr>
      </w:pPr>
      <w:r w:rsidRPr="0045074B">
        <w:rPr>
          <w:sz w:val="24"/>
        </w:rPr>
        <w:t>(a)</w:t>
      </w:r>
      <w:r w:rsidRPr="0045074B">
        <w:rPr>
          <w:sz w:val="24"/>
        </w:rPr>
        <w:tab/>
        <w:t>(</w:t>
      </w:r>
      <w:proofErr w:type="gramStart"/>
      <w:r w:rsidRPr="0045074B">
        <w:rPr>
          <w:sz w:val="24"/>
        </w:rPr>
        <w:t>i</w:t>
      </w:r>
      <w:proofErr w:type="gramEnd"/>
      <w:r w:rsidRPr="0045074B">
        <w:rPr>
          <w:sz w:val="24"/>
        </w:rPr>
        <w:t>)</w:t>
      </w:r>
      <w:r w:rsidRPr="0045074B">
        <w:rPr>
          <w:sz w:val="24"/>
        </w:rPr>
        <w:tab/>
        <w:t>Allocated budget for Primary Health Care (PHC) in 2016/17 financial year is R17,4billion which is equivalent to 47.5% of the total budget allocated to the Department.</w:t>
      </w:r>
    </w:p>
    <w:p w:rsidR="0045074B" w:rsidRPr="0045074B" w:rsidRDefault="0045074B" w:rsidP="00C43692">
      <w:pPr>
        <w:pStyle w:val="BodyText"/>
        <w:spacing w:after="240"/>
        <w:ind w:left="2126" w:hanging="687"/>
        <w:rPr>
          <w:sz w:val="24"/>
        </w:rPr>
      </w:pPr>
      <w:r w:rsidRPr="0045074B">
        <w:rPr>
          <w:sz w:val="24"/>
        </w:rPr>
        <w:t>(ii)</w:t>
      </w:r>
      <w:r w:rsidRPr="0045074B">
        <w:rPr>
          <w:sz w:val="24"/>
        </w:rPr>
        <w:tab/>
        <w:t>There are no specific norms and standards however the proposal is that 60% of the total budget allocation be allocated to Primary Health Care. This financial year PHC allocated 47.5%.</w:t>
      </w:r>
    </w:p>
    <w:p w:rsidR="0045074B" w:rsidRPr="0045074B" w:rsidRDefault="0045074B" w:rsidP="00530491">
      <w:pPr>
        <w:pStyle w:val="BodyText"/>
        <w:spacing w:after="240"/>
        <w:ind w:left="1440" w:hanging="720"/>
        <w:rPr>
          <w:sz w:val="24"/>
        </w:rPr>
      </w:pPr>
      <w:r w:rsidRPr="0045074B">
        <w:rPr>
          <w:sz w:val="24"/>
        </w:rPr>
        <w:t>(b)</w:t>
      </w:r>
      <w:r w:rsidRPr="0045074B">
        <w:rPr>
          <w:sz w:val="24"/>
        </w:rPr>
        <w:tab/>
        <w:t>The Department is planning to increase allocation to PHC within the current MTEF as Follows</w:t>
      </w:r>
      <w:r w:rsidR="00C43692">
        <w:rPr>
          <w:sz w:val="24"/>
        </w:rPr>
        <w:t>:</w:t>
      </w:r>
    </w:p>
    <w:p w:rsidR="0045074B" w:rsidRPr="0045074B" w:rsidRDefault="0045074B" w:rsidP="00530491">
      <w:pPr>
        <w:pStyle w:val="BodyText"/>
        <w:spacing w:after="240"/>
        <w:rPr>
          <w:sz w:val="24"/>
        </w:rPr>
      </w:pPr>
      <w:r w:rsidRPr="0045074B">
        <w:rPr>
          <w:sz w:val="24"/>
        </w:rPr>
        <w:tab/>
      </w:r>
      <w:r>
        <w:rPr>
          <w:sz w:val="24"/>
        </w:rPr>
        <w:tab/>
      </w:r>
      <w:r w:rsidRPr="0045074B">
        <w:rPr>
          <w:sz w:val="24"/>
        </w:rPr>
        <w:t>2016/2017 financial year:  47.5%</w:t>
      </w:r>
    </w:p>
    <w:p w:rsidR="0045074B" w:rsidRPr="0045074B" w:rsidRDefault="0045074B" w:rsidP="00530491">
      <w:pPr>
        <w:pStyle w:val="BodyText"/>
        <w:spacing w:after="240"/>
        <w:rPr>
          <w:sz w:val="24"/>
        </w:rPr>
      </w:pPr>
      <w:r w:rsidRPr="0045074B">
        <w:rPr>
          <w:sz w:val="24"/>
        </w:rPr>
        <w:tab/>
      </w:r>
      <w:r>
        <w:rPr>
          <w:sz w:val="24"/>
        </w:rPr>
        <w:tab/>
      </w:r>
      <w:r w:rsidRPr="0045074B">
        <w:rPr>
          <w:sz w:val="24"/>
        </w:rPr>
        <w:t>2017/2018 financial year:  48.8%</w:t>
      </w:r>
    </w:p>
    <w:p w:rsidR="0045074B" w:rsidRPr="0045074B" w:rsidRDefault="0045074B" w:rsidP="0045074B">
      <w:pPr>
        <w:pStyle w:val="BodyText"/>
        <w:rPr>
          <w:sz w:val="24"/>
        </w:rPr>
      </w:pPr>
      <w:r w:rsidRPr="0045074B">
        <w:rPr>
          <w:sz w:val="24"/>
        </w:rPr>
        <w:tab/>
      </w:r>
      <w:r>
        <w:rPr>
          <w:sz w:val="24"/>
        </w:rPr>
        <w:tab/>
      </w:r>
      <w:r w:rsidRPr="0045074B">
        <w:rPr>
          <w:sz w:val="24"/>
        </w:rPr>
        <w:t>2018/2019 financial year:  50%</w:t>
      </w:r>
    </w:p>
    <w:p w:rsidR="0045074B" w:rsidRPr="0045074B" w:rsidRDefault="0045074B" w:rsidP="0045074B">
      <w:pPr>
        <w:pStyle w:val="BodyText"/>
        <w:rPr>
          <w:sz w:val="24"/>
        </w:rPr>
      </w:pPr>
    </w:p>
    <w:p w:rsidR="0045074B" w:rsidRPr="0045074B" w:rsidRDefault="0045074B" w:rsidP="00530491">
      <w:pPr>
        <w:pStyle w:val="BodyText"/>
        <w:spacing w:after="240"/>
        <w:ind w:left="720" w:firstLine="720"/>
        <w:rPr>
          <w:sz w:val="24"/>
        </w:rPr>
      </w:pPr>
      <w:r w:rsidRPr="0045074B">
        <w:rPr>
          <w:sz w:val="24"/>
        </w:rPr>
        <w:t>In terms of not meeting the intended results, the following contribute:</w:t>
      </w:r>
    </w:p>
    <w:p w:rsidR="0045074B" w:rsidRPr="0045074B" w:rsidRDefault="0045074B" w:rsidP="00530491">
      <w:pPr>
        <w:pStyle w:val="BodyText"/>
        <w:numPr>
          <w:ilvl w:val="0"/>
          <w:numId w:val="43"/>
        </w:numPr>
        <w:spacing w:after="240"/>
        <w:ind w:firstLine="248"/>
        <w:rPr>
          <w:sz w:val="24"/>
        </w:rPr>
      </w:pPr>
      <w:r w:rsidRPr="0045074B">
        <w:rPr>
          <w:sz w:val="24"/>
        </w:rPr>
        <w:t>Resource limitations</w:t>
      </w:r>
    </w:p>
    <w:p w:rsidR="0045074B" w:rsidRPr="0045074B" w:rsidRDefault="0045074B" w:rsidP="00530491">
      <w:pPr>
        <w:pStyle w:val="BodyText"/>
        <w:numPr>
          <w:ilvl w:val="0"/>
          <w:numId w:val="43"/>
        </w:numPr>
        <w:spacing w:after="240"/>
        <w:ind w:left="2127" w:hanging="709"/>
        <w:rPr>
          <w:sz w:val="24"/>
        </w:rPr>
      </w:pPr>
      <w:r w:rsidRPr="0045074B">
        <w:rPr>
          <w:sz w:val="24"/>
        </w:rPr>
        <w:t>Human resources - Ward Based Outreach and School Health Teams and Data Capturers to capture community based data</w:t>
      </w:r>
    </w:p>
    <w:p w:rsidR="0045074B" w:rsidRPr="0045074B" w:rsidRDefault="0045074B" w:rsidP="0045074B">
      <w:pPr>
        <w:pStyle w:val="BodyText"/>
        <w:numPr>
          <w:ilvl w:val="0"/>
          <w:numId w:val="41"/>
        </w:numPr>
        <w:ind w:hanging="1140"/>
        <w:rPr>
          <w:b/>
          <w:sz w:val="24"/>
        </w:rPr>
      </w:pPr>
      <w:r w:rsidRPr="0045074B">
        <w:rPr>
          <w:b/>
          <w:sz w:val="24"/>
        </w:rPr>
        <w:lastRenderedPageBreak/>
        <w:t>Limpopo</w:t>
      </w:r>
    </w:p>
    <w:p w:rsidR="0045074B" w:rsidRDefault="0045074B" w:rsidP="0045074B">
      <w:pPr>
        <w:pStyle w:val="BodyText"/>
        <w:ind w:left="720"/>
        <w:rPr>
          <w:sz w:val="24"/>
        </w:rPr>
      </w:pPr>
    </w:p>
    <w:p w:rsidR="0045074B" w:rsidRPr="0045074B" w:rsidRDefault="0045074B" w:rsidP="0045074B">
      <w:pPr>
        <w:pStyle w:val="BodyText"/>
        <w:ind w:left="720"/>
        <w:rPr>
          <w:sz w:val="24"/>
        </w:rPr>
      </w:pPr>
      <w:r w:rsidRPr="0045074B">
        <w:rPr>
          <w:sz w:val="24"/>
        </w:rPr>
        <w:t>Primary Healthcare in Limpopo Province is not adequately funded as results of the total health budget deficit.</w:t>
      </w:r>
    </w:p>
    <w:p w:rsidR="0045074B" w:rsidRDefault="0045074B" w:rsidP="0045074B">
      <w:pPr>
        <w:pStyle w:val="BodyText"/>
        <w:tabs>
          <w:tab w:val="left" w:pos="1418"/>
        </w:tabs>
        <w:ind w:left="2160" w:hanging="1451"/>
        <w:rPr>
          <w:sz w:val="24"/>
        </w:rPr>
      </w:pPr>
    </w:p>
    <w:p w:rsidR="0045074B" w:rsidRPr="0045074B" w:rsidRDefault="0045074B" w:rsidP="00530491">
      <w:pPr>
        <w:pStyle w:val="BodyText"/>
        <w:tabs>
          <w:tab w:val="left" w:pos="1418"/>
        </w:tabs>
        <w:spacing w:after="240"/>
        <w:ind w:left="2160" w:hanging="1451"/>
        <w:rPr>
          <w:sz w:val="24"/>
        </w:rPr>
      </w:pPr>
      <w:r w:rsidRPr="0045074B">
        <w:rPr>
          <w:sz w:val="24"/>
        </w:rPr>
        <w:t>(a)</w:t>
      </w:r>
      <w:r w:rsidRPr="0045074B">
        <w:rPr>
          <w:sz w:val="24"/>
        </w:rPr>
        <w:tab/>
        <w:t>(</w:t>
      </w:r>
      <w:proofErr w:type="gramStart"/>
      <w:r w:rsidRPr="0045074B">
        <w:rPr>
          <w:sz w:val="24"/>
        </w:rPr>
        <w:t>i</w:t>
      </w:r>
      <w:proofErr w:type="gramEnd"/>
      <w:r w:rsidRPr="0045074B">
        <w:rPr>
          <w:sz w:val="24"/>
        </w:rPr>
        <w:t>)</w:t>
      </w:r>
      <w:r w:rsidRPr="0045074B">
        <w:rPr>
          <w:sz w:val="24"/>
        </w:rPr>
        <w:tab/>
        <w:t>The allocated amount for 2016/17 financial year is R8.6 billion. This is 53% of the total allocated budget for Health in Limpopo Province.</w:t>
      </w:r>
    </w:p>
    <w:p w:rsidR="0045074B" w:rsidRPr="0045074B" w:rsidRDefault="0045074B" w:rsidP="00530491">
      <w:pPr>
        <w:pStyle w:val="BodyText"/>
        <w:spacing w:after="240"/>
        <w:ind w:left="2160" w:hanging="720"/>
        <w:rPr>
          <w:sz w:val="24"/>
        </w:rPr>
      </w:pPr>
      <w:r w:rsidRPr="0045074B">
        <w:rPr>
          <w:sz w:val="24"/>
        </w:rPr>
        <w:t>(ii)</w:t>
      </w:r>
      <w:r w:rsidRPr="0045074B">
        <w:rPr>
          <w:sz w:val="24"/>
        </w:rPr>
        <w:tab/>
        <w:t>The overall shortfall on health budget is R1.9 billion that will allow for adequate Primary Healthcare funding.</w:t>
      </w:r>
    </w:p>
    <w:p w:rsidR="0045074B" w:rsidRPr="0045074B" w:rsidRDefault="0045074B" w:rsidP="0045074B">
      <w:pPr>
        <w:pStyle w:val="BodyText"/>
        <w:ind w:left="1418" w:hanging="698"/>
        <w:rPr>
          <w:sz w:val="24"/>
        </w:rPr>
      </w:pPr>
      <w:r w:rsidRPr="0045074B">
        <w:rPr>
          <w:sz w:val="24"/>
        </w:rPr>
        <w:t xml:space="preserve">(b) </w:t>
      </w:r>
      <w:r>
        <w:rPr>
          <w:sz w:val="24"/>
        </w:rPr>
        <w:tab/>
      </w:r>
      <w:r w:rsidRPr="0045074B">
        <w:rPr>
          <w:sz w:val="24"/>
        </w:rPr>
        <w:t xml:space="preserve">Priority is first given to Primary Health Care service </w:t>
      </w:r>
      <w:proofErr w:type="spellStart"/>
      <w:r w:rsidRPr="0045074B">
        <w:rPr>
          <w:sz w:val="24"/>
        </w:rPr>
        <w:t>programmes</w:t>
      </w:r>
      <w:proofErr w:type="spellEnd"/>
      <w:r w:rsidRPr="0045074B">
        <w:rPr>
          <w:sz w:val="24"/>
        </w:rPr>
        <w:t xml:space="preserve"> when budget is allocated. The shortfall on the funding of Health in Limpopo Province is being discussed with the Provincial Treasury for consideration in the current and future Medium Term Expenditure Framework allocation.</w:t>
      </w:r>
    </w:p>
    <w:p w:rsidR="0045074B" w:rsidRPr="0045074B" w:rsidRDefault="0045074B" w:rsidP="0045074B">
      <w:pPr>
        <w:pStyle w:val="BodyText"/>
        <w:rPr>
          <w:sz w:val="24"/>
        </w:rPr>
      </w:pPr>
    </w:p>
    <w:p w:rsidR="0045074B" w:rsidRPr="0045074B" w:rsidRDefault="0045074B" w:rsidP="0045074B">
      <w:pPr>
        <w:pStyle w:val="BodyText"/>
        <w:numPr>
          <w:ilvl w:val="0"/>
          <w:numId w:val="41"/>
        </w:numPr>
        <w:ind w:hanging="1140"/>
        <w:rPr>
          <w:b/>
          <w:sz w:val="24"/>
        </w:rPr>
      </w:pPr>
      <w:r w:rsidRPr="0045074B">
        <w:rPr>
          <w:b/>
          <w:sz w:val="24"/>
        </w:rPr>
        <w:t>Mpumalanga</w:t>
      </w:r>
    </w:p>
    <w:p w:rsidR="0045074B" w:rsidRPr="0045074B" w:rsidRDefault="0045074B" w:rsidP="0045074B">
      <w:pPr>
        <w:pStyle w:val="BodyText"/>
        <w:rPr>
          <w:b/>
          <w:sz w:val="24"/>
        </w:rPr>
      </w:pPr>
    </w:p>
    <w:p w:rsidR="0045074B" w:rsidRPr="0045074B" w:rsidRDefault="0045074B" w:rsidP="00530491">
      <w:pPr>
        <w:pStyle w:val="BodyText"/>
        <w:numPr>
          <w:ilvl w:val="0"/>
          <w:numId w:val="46"/>
        </w:numPr>
        <w:spacing w:after="240"/>
        <w:ind w:left="2126" w:hanging="1407"/>
        <w:rPr>
          <w:sz w:val="24"/>
        </w:rPr>
      </w:pPr>
      <w:r w:rsidRPr="0045074B">
        <w:rPr>
          <w:sz w:val="24"/>
        </w:rPr>
        <w:t>(i)</w:t>
      </w:r>
      <w:r w:rsidRPr="0045074B">
        <w:rPr>
          <w:sz w:val="24"/>
        </w:rPr>
        <w:tab/>
        <w:t>The prescribed norms and standards for the allocation of funds for Primary Health Care is 60%. The Primary Health Care in Mpumalanga is being allocated adequately according to the norms and standards.</w:t>
      </w:r>
    </w:p>
    <w:p w:rsidR="0045074B" w:rsidRPr="0045074B" w:rsidRDefault="0045074B" w:rsidP="00530491">
      <w:pPr>
        <w:pStyle w:val="BodyText"/>
        <w:spacing w:after="240"/>
        <w:ind w:left="2126" w:hanging="687"/>
        <w:rPr>
          <w:sz w:val="24"/>
        </w:rPr>
      </w:pPr>
      <w:r w:rsidRPr="0045074B">
        <w:rPr>
          <w:sz w:val="24"/>
        </w:rPr>
        <w:t>(ii)</w:t>
      </w:r>
      <w:r w:rsidRPr="0045074B">
        <w:rPr>
          <w:sz w:val="24"/>
        </w:rPr>
        <w:tab/>
        <w:t>The budget allocation for PHC (District Health Services) is R6</w:t>
      </w:r>
      <w:proofErr w:type="gramStart"/>
      <w:r w:rsidRPr="0045074B">
        <w:rPr>
          <w:sz w:val="24"/>
        </w:rPr>
        <w:t>,4billion</w:t>
      </w:r>
      <w:proofErr w:type="gramEnd"/>
      <w:r w:rsidRPr="0045074B">
        <w:rPr>
          <w:b/>
          <w:sz w:val="24"/>
        </w:rPr>
        <w:t xml:space="preserve"> </w:t>
      </w:r>
      <w:r w:rsidRPr="0045074B">
        <w:rPr>
          <w:sz w:val="24"/>
        </w:rPr>
        <w:t>out of a total Budget of R10,6billion ,which is 59.7%.</w:t>
      </w:r>
    </w:p>
    <w:p w:rsidR="0045074B" w:rsidRPr="0045074B" w:rsidRDefault="0045074B" w:rsidP="0045074B">
      <w:pPr>
        <w:pStyle w:val="BodyText"/>
        <w:ind w:left="1440" w:hanging="720"/>
        <w:rPr>
          <w:sz w:val="24"/>
        </w:rPr>
      </w:pPr>
      <w:r w:rsidRPr="0045074B">
        <w:rPr>
          <w:sz w:val="24"/>
        </w:rPr>
        <w:t>(b)</w:t>
      </w:r>
      <w:r w:rsidRPr="0045074B">
        <w:rPr>
          <w:sz w:val="24"/>
        </w:rPr>
        <w:tab/>
        <w:t>There are norms and standards that are guiding funding in the provinces especially for the Primary Health Care.</w:t>
      </w:r>
    </w:p>
    <w:p w:rsidR="0045074B" w:rsidRPr="0045074B" w:rsidRDefault="0045074B" w:rsidP="0045074B">
      <w:pPr>
        <w:pStyle w:val="BodyText"/>
        <w:rPr>
          <w:sz w:val="24"/>
        </w:rPr>
      </w:pPr>
    </w:p>
    <w:p w:rsidR="0045074B" w:rsidRPr="0045074B" w:rsidRDefault="0045074B" w:rsidP="00530491">
      <w:pPr>
        <w:pStyle w:val="BodyText"/>
        <w:spacing w:after="240"/>
        <w:ind w:left="1429"/>
        <w:rPr>
          <w:sz w:val="24"/>
        </w:rPr>
      </w:pPr>
      <w:r w:rsidRPr="0045074B">
        <w:rPr>
          <w:sz w:val="24"/>
        </w:rPr>
        <w:t>The following are the reasons that are attributed to Primary Health Care not achieving the intended results:</w:t>
      </w:r>
    </w:p>
    <w:p w:rsidR="0045074B" w:rsidRPr="0045074B" w:rsidRDefault="0045074B" w:rsidP="00530491">
      <w:pPr>
        <w:pStyle w:val="BodyText"/>
        <w:numPr>
          <w:ilvl w:val="0"/>
          <w:numId w:val="42"/>
        </w:numPr>
        <w:spacing w:after="240"/>
        <w:ind w:left="2127" w:hanging="709"/>
        <w:rPr>
          <w:sz w:val="24"/>
        </w:rPr>
      </w:pPr>
      <w:r w:rsidRPr="0045074B">
        <w:rPr>
          <w:sz w:val="24"/>
        </w:rPr>
        <w:t>Increased burden of diseases linked to the socio-determinants of Health such as poverty.</w:t>
      </w:r>
    </w:p>
    <w:p w:rsidR="0045074B" w:rsidRPr="0045074B" w:rsidRDefault="0045074B" w:rsidP="00530491">
      <w:pPr>
        <w:pStyle w:val="BodyText"/>
        <w:numPr>
          <w:ilvl w:val="0"/>
          <w:numId w:val="42"/>
        </w:numPr>
        <w:spacing w:after="240"/>
        <w:ind w:left="2127" w:hanging="709"/>
        <w:rPr>
          <w:sz w:val="24"/>
        </w:rPr>
      </w:pPr>
      <w:r w:rsidRPr="0045074B">
        <w:rPr>
          <w:sz w:val="24"/>
        </w:rPr>
        <w:t>Lifestyle: sedentary lifestyle which contributes to an increased number of people with diseases of lifestyle such as Obesity, Hypertension and Diabetes.</w:t>
      </w:r>
    </w:p>
    <w:p w:rsidR="0045074B" w:rsidRPr="0045074B" w:rsidRDefault="0045074B" w:rsidP="00530491">
      <w:pPr>
        <w:pStyle w:val="BodyText"/>
        <w:numPr>
          <w:ilvl w:val="0"/>
          <w:numId w:val="42"/>
        </w:numPr>
        <w:spacing w:after="240"/>
        <w:ind w:left="2127" w:hanging="709"/>
        <w:rPr>
          <w:sz w:val="24"/>
        </w:rPr>
      </w:pPr>
      <w:r w:rsidRPr="0045074B">
        <w:rPr>
          <w:sz w:val="24"/>
        </w:rPr>
        <w:t xml:space="preserve">Community orientation to care is still </w:t>
      </w:r>
      <w:proofErr w:type="spellStart"/>
      <w:r w:rsidRPr="0045074B">
        <w:rPr>
          <w:sz w:val="24"/>
        </w:rPr>
        <w:t>hospi</w:t>
      </w:r>
      <w:proofErr w:type="spellEnd"/>
      <w:r w:rsidRPr="0045074B">
        <w:rPr>
          <w:sz w:val="24"/>
        </w:rPr>
        <w:t xml:space="preserve">-centric towards </w:t>
      </w:r>
      <w:proofErr w:type="spellStart"/>
      <w:r w:rsidRPr="0045074B">
        <w:rPr>
          <w:sz w:val="24"/>
        </w:rPr>
        <w:t>utilisation</w:t>
      </w:r>
      <w:proofErr w:type="spellEnd"/>
      <w:r w:rsidRPr="0045074B">
        <w:rPr>
          <w:sz w:val="24"/>
        </w:rPr>
        <w:t xml:space="preserve"> of PHC services where patients bypass PHC facilities.</w:t>
      </w:r>
    </w:p>
    <w:p w:rsidR="0045074B" w:rsidRPr="0045074B" w:rsidRDefault="0045074B" w:rsidP="0045074B">
      <w:pPr>
        <w:pStyle w:val="BodyText"/>
        <w:numPr>
          <w:ilvl w:val="0"/>
          <w:numId w:val="41"/>
        </w:numPr>
        <w:ind w:hanging="1140"/>
        <w:rPr>
          <w:b/>
          <w:sz w:val="24"/>
        </w:rPr>
      </w:pPr>
      <w:r w:rsidRPr="0045074B">
        <w:rPr>
          <w:b/>
          <w:sz w:val="24"/>
        </w:rPr>
        <w:t>Northern Cape</w:t>
      </w:r>
    </w:p>
    <w:p w:rsidR="0045074B" w:rsidRPr="0045074B" w:rsidRDefault="0045074B" w:rsidP="0045074B">
      <w:pPr>
        <w:pStyle w:val="BodyText"/>
        <w:rPr>
          <w:sz w:val="24"/>
        </w:rPr>
      </w:pPr>
      <w:r w:rsidRPr="0045074B">
        <w:rPr>
          <w:sz w:val="24"/>
        </w:rPr>
        <w:tab/>
      </w:r>
    </w:p>
    <w:p w:rsidR="0045074B" w:rsidRPr="0045074B" w:rsidRDefault="0045074B" w:rsidP="00530491">
      <w:pPr>
        <w:pStyle w:val="BodyText"/>
        <w:tabs>
          <w:tab w:val="left" w:pos="1418"/>
        </w:tabs>
        <w:spacing w:after="240"/>
        <w:ind w:left="2160" w:hanging="1451"/>
        <w:rPr>
          <w:sz w:val="24"/>
          <w:lang w:val="en-ZA"/>
        </w:rPr>
      </w:pPr>
      <w:r w:rsidRPr="0045074B">
        <w:rPr>
          <w:sz w:val="24"/>
          <w:lang w:val="en-ZA"/>
        </w:rPr>
        <w:t>(a)</w:t>
      </w:r>
      <w:r w:rsidRPr="0045074B">
        <w:rPr>
          <w:sz w:val="24"/>
          <w:lang w:val="en-ZA"/>
        </w:rPr>
        <w:tab/>
        <w:t>(</w:t>
      </w:r>
      <w:proofErr w:type="gramStart"/>
      <w:r w:rsidRPr="0045074B">
        <w:rPr>
          <w:sz w:val="24"/>
          <w:lang w:val="en-ZA"/>
        </w:rPr>
        <w:t>i</w:t>
      </w:r>
      <w:proofErr w:type="gramEnd"/>
      <w:r w:rsidRPr="0045074B">
        <w:rPr>
          <w:sz w:val="24"/>
          <w:lang w:val="en-ZA"/>
        </w:rPr>
        <w:t>)</w:t>
      </w:r>
      <w:r w:rsidRPr="0045074B">
        <w:rPr>
          <w:sz w:val="24"/>
          <w:lang w:val="en-ZA"/>
        </w:rPr>
        <w:tab/>
        <w:t>The allocation amount for 2016/17 is R666.659 million which comprise of R402.741 million for Community Health Clinics and R263.918 million for Community Health Centres.</w:t>
      </w:r>
    </w:p>
    <w:p w:rsidR="0045074B" w:rsidRPr="0045074B" w:rsidRDefault="0045074B" w:rsidP="00530491">
      <w:pPr>
        <w:pStyle w:val="BodyText"/>
        <w:spacing w:after="240"/>
        <w:ind w:left="2160" w:hanging="731"/>
        <w:rPr>
          <w:sz w:val="24"/>
          <w:lang w:val="en-ZA"/>
        </w:rPr>
      </w:pPr>
      <w:r w:rsidRPr="0045074B">
        <w:rPr>
          <w:sz w:val="24"/>
          <w:lang w:val="en-ZA"/>
        </w:rPr>
        <w:t>(ii)</w:t>
      </w:r>
      <w:r w:rsidRPr="0045074B">
        <w:rPr>
          <w:sz w:val="24"/>
          <w:lang w:val="en-ZA"/>
        </w:rPr>
        <w:tab/>
        <w:t xml:space="preserve">The shortfall for PHC Re-engineering is R158.346 million, while the shortfall for Operation </w:t>
      </w:r>
      <w:proofErr w:type="spellStart"/>
      <w:r w:rsidRPr="0045074B">
        <w:rPr>
          <w:sz w:val="24"/>
          <w:lang w:val="en-ZA"/>
        </w:rPr>
        <w:t>Phakisa</w:t>
      </w:r>
      <w:proofErr w:type="spellEnd"/>
      <w:r w:rsidRPr="0045074B">
        <w:rPr>
          <w:sz w:val="24"/>
          <w:lang w:val="en-ZA"/>
        </w:rPr>
        <w:t>: Ideal Clinic is R113.517 million.</w:t>
      </w:r>
    </w:p>
    <w:p w:rsidR="0045074B" w:rsidRPr="0045074B" w:rsidRDefault="0045074B" w:rsidP="00C43692">
      <w:pPr>
        <w:pStyle w:val="BodyText"/>
        <w:ind w:left="1429" w:hanging="709"/>
        <w:rPr>
          <w:sz w:val="24"/>
          <w:lang w:val="en-ZA"/>
        </w:rPr>
      </w:pPr>
      <w:r w:rsidRPr="0045074B">
        <w:rPr>
          <w:sz w:val="24"/>
          <w:lang w:val="en-ZA"/>
        </w:rPr>
        <w:t>(b)</w:t>
      </w:r>
      <w:r w:rsidRPr="0045074B">
        <w:rPr>
          <w:sz w:val="24"/>
          <w:lang w:val="en-ZA"/>
        </w:rPr>
        <w:tab/>
        <w:t>The department is developing plans continuously presented the budget bid (Annexure A) to the Provincial Treasury for consideration, but was not successful. District Health Services is also rationalising the limited resources within the districts to ensure focus on Key/ priority areas.</w:t>
      </w:r>
    </w:p>
    <w:p w:rsidR="0045074B" w:rsidRPr="0045074B" w:rsidRDefault="0045074B" w:rsidP="0045074B">
      <w:pPr>
        <w:pStyle w:val="BodyText"/>
        <w:rPr>
          <w:sz w:val="24"/>
          <w:lang w:val="en-ZA"/>
        </w:rPr>
      </w:pPr>
    </w:p>
    <w:p w:rsidR="0045074B" w:rsidRPr="0045074B" w:rsidRDefault="00C43692" w:rsidP="00C43692">
      <w:pPr>
        <w:pStyle w:val="BodyText"/>
        <w:rPr>
          <w:b/>
          <w:i/>
          <w:sz w:val="24"/>
          <w:u w:val="single"/>
          <w:lang w:val="en-ZA"/>
        </w:rPr>
      </w:pPr>
      <w:r>
        <w:rPr>
          <w:b/>
          <w:i/>
          <w:sz w:val="24"/>
          <w:u w:val="single"/>
          <w:lang w:val="en-ZA"/>
        </w:rPr>
        <w:br w:type="page"/>
      </w:r>
      <w:r w:rsidR="0045074B" w:rsidRPr="0045074B">
        <w:rPr>
          <w:b/>
          <w:i/>
          <w:sz w:val="24"/>
          <w:u w:val="single"/>
          <w:lang w:val="en-ZA"/>
        </w:rPr>
        <w:lastRenderedPageBreak/>
        <w:t>ANNEXURE A</w:t>
      </w:r>
    </w:p>
    <w:p w:rsidR="00C43692" w:rsidRDefault="00C43692" w:rsidP="00C43692">
      <w:pPr>
        <w:pStyle w:val="BodyText"/>
        <w:ind w:firstLine="720"/>
        <w:rPr>
          <w:b/>
          <w:sz w:val="24"/>
          <w:u w:val="single"/>
          <w:lang w:val="en-ZA"/>
        </w:rPr>
      </w:pPr>
    </w:p>
    <w:p w:rsidR="0045074B" w:rsidRDefault="0045074B" w:rsidP="00C43692">
      <w:pPr>
        <w:pStyle w:val="BodyText"/>
        <w:rPr>
          <w:b/>
          <w:sz w:val="24"/>
          <w:u w:val="single"/>
          <w:lang w:val="en-ZA"/>
        </w:rPr>
      </w:pPr>
      <w:r w:rsidRPr="0045074B">
        <w:rPr>
          <w:b/>
          <w:sz w:val="24"/>
          <w:u w:val="single"/>
          <w:lang w:val="en-ZA"/>
        </w:rPr>
        <w:t>DETAIL OF BUDGET BIDS</w:t>
      </w:r>
    </w:p>
    <w:p w:rsidR="00C43692" w:rsidRPr="0045074B" w:rsidRDefault="00C43692" w:rsidP="00C43692">
      <w:pPr>
        <w:pStyle w:val="BodyText"/>
        <w:rPr>
          <w:b/>
          <w:sz w:val="24"/>
          <w:u w:val="single"/>
          <w:lang w:val="en-ZA"/>
        </w:rPr>
      </w:pPr>
    </w:p>
    <w:p w:rsidR="0045074B" w:rsidRPr="0045074B" w:rsidRDefault="0045074B" w:rsidP="00C43692">
      <w:pPr>
        <w:pStyle w:val="BodyText"/>
        <w:numPr>
          <w:ilvl w:val="0"/>
          <w:numId w:val="45"/>
        </w:numPr>
        <w:ind w:hanging="720"/>
        <w:rPr>
          <w:b/>
          <w:sz w:val="24"/>
          <w:lang w:val="en-ZA"/>
        </w:rPr>
      </w:pPr>
      <w:r w:rsidRPr="0045074B">
        <w:rPr>
          <w:b/>
          <w:sz w:val="24"/>
          <w:lang w:val="en-ZA"/>
        </w:rPr>
        <w:t xml:space="preserve">OPERATION PHAKISA: IDEAL CLINIC  </w:t>
      </w:r>
    </w:p>
    <w:p w:rsidR="00C43692" w:rsidRDefault="00C43692" w:rsidP="0045074B">
      <w:pPr>
        <w:pStyle w:val="BodyText"/>
        <w:rPr>
          <w:sz w:val="24"/>
          <w:lang w:val="en-ZA"/>
        </w:rPr>
      </w:pPr>
    </w:p>
    <w:p w:rsidR="0045074B" w:rsidRDefault="0045074B" w:rsidP="00C43692">
      <w:pPr>
        <w:pStyle w:val="BodyText"/>
        <w:ind w:left="720"/>
        <w:rPr>
          <w:sz w:val="24"/>
          <w:lang w:val="en-ZA"/>
        </w:rPr>
      </w:pPr>
      <w:r w:rsidRPr="0045074B">
        <w:rPr>
          <w:sz w:val="24"/>
          <w:lang w:val="en-ZA"/>
        </w:rPr>
        <w:t xml:space="preserve">The </w:t>
      </w:r>
      <w:r w:rsidRPr="0045074B">
        <w:rPr>
          <w:b/>
          <w:sz w:val="24"/>
          <w:lang w:val="en-ZA"/>
        </w:rPr>
        <w:t xml:space="preserve">Operation </w:t>
      </w:r>
      <w:proofErr w:type="spellStart"/>
      <w:r w:rsidRPr="0045074B">
        <w:rPr>
          <w:b/>
          <w:sz w:val="24"/>
          <w:lang w:val="en-ZA"/>
        </w:rPr>
        <w:t>Phakisa</w:t>
      </w:r>
      <w:proofErr w:type="spellEnd"/>
      <w:r w:rsidRPr="0045074B">
        <w:rPr>
          <w:b/>
          <w:sz w:val="24"/>
          <w:lang w:val="en-ZA"/>
        </w:rPr>
        <w:t>: Ideal Clinic</w:t>
      </w:r>
      <w:r w:rsidRPr="0045074B">
        <w:rPr>
          <w:sz w:val="24"/>
          <w:lang w:val="en-ZA"/>
        </w:rPr>
        <w:t xml:space="preserve"> initiative sets the standard and requirements for both clinics and community health centres to be able to provide high quality care in order to primarily reduce waiting </w:t>
      </w:r>
      <w:proofErr w:type="gramStart"/>
      <w:r w:rsidRPr="0045074B">
        <w:rPr>
          <w:sz w:val="24"/>
          <w:lang w:val="en-ZA"/>
        </w:rPr>
        <w:t>times,</w:t>
      </w:r>
      <w:proofErr w:type="gramEnd"/>
      <w:r w:rsidRPr="0045074B">
        <w:rPr>
          <w:sz w:val="24"/>
          <w:lang w:val="en-ZA"/>
        </w:rPr>
        <w:t xml:space="preserve"> improve availability of medicines and related supplies; improve staff attitudes for the patient to have a positive experience at a public health facility. The set standards are to be achieved over a 3-year rollout period for all clinics and CHC’s.</w:t>
      </w:r>
    </w:p>
    <w:p w:rsidR="00C43692" w:rsidRPr="0045074B" w:rsidRDefault="00C43692" w:rsidP="00C43692">
      <w:pPr>
        <w:pStyle w:val="BodyText"/>
        <w:ind w:left="720"/>
        <w:rPr>
          <w:sz w:val="24"/>
          <w:lang w:val="en-ZA"/>
        </w:rPr>
      </w:pPr>
    </w:p>
    <w:tbl>
      <w:tblPr>
        <w:tblW w:w="9397" w:type="dxa"/>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1872"/>
        <w:gridCol w:w="1842"/>
        <w:gridCol w:w="2565"/>
      </w:tblGrid>
      <w:tr w:rsidR="0045074B" w:rsidRPr="0045074B" w:rsidTr="00C43692">
        <w:trPr>
          <w:trHeight w:val="530"/>
        </w:trPr>
        <w:tc>
          <w:tcPr>
            <w:tcW w:w="3118" w:type="dxa"/>
            <w:shd w:val="clear" w:color="auto" w:fill="auto"/>
          </w:tcPr>
          <w:p w:rsidR="0045074B" w:rsidRPr="0045074B" w:rsidRDefault="0045074B" w:rsidP="00C43692">
            <w:pPr>
              <w:pStyle w:val="BodyText"/>
              <w:spacing w:line="360" w:lineRule="auto"/>
              <w:rPr>
                <w:b/>
                <w:sz w:val="24"/>
                <w:lang w:val="en-ZA"/>
              </w:rPr>
            </w:pPr>
            <w:r w:rsidRPr="0045074B">
              <w:rPr>
                <w:b/>
                <w:sz w:val="24"/>
                <w:lang w:val="en-ZA"/>
              </w:rPr>
              <w:t>Item</w:t>
            </w:r>
          </w:p>
        </w:tc>
        <w:tc>
          <w:tcPr>
            <w:tcW w:w="1872" w:type="dxa"/>
            <w:shd w:val="clear" w:color="auto" w:fill="auto"/>
          </w:tcPr>
          <w:p w:rsidR="0045074B" w:rsidRPr="0045074B" w:rsidRDefault="0045074B" w:rsidP="00C43692">
            <w:pPr>
              <w:pStyle w:val="BodyText"/>
              <w:spacing w:line="360" w:lineRule="auto"/>
              <w:rPr>
                <w:b/>
                <w:sz w:val="24"/>
                <w:lang w:val="en-ZA"/>
              </w:rPr>
            </w:pPr>
            <w:r w:rsidRPr="0045074B">
              <w:rPr>
                <w:b/>
                <w:sz w:val="24"/>
                <w:lang w:val="en-ZA"/>
              </w:rPr>
              <w:t>2015/16</w:t>
            </w:r>
          </w:p>
          <w:p w:rsidR="0045074B" w:rsidRPr="0045074B" w:rsidRDefault="0045074B" w:rsidP="00C43692">
            <w:pPr>
              <w:pStyle w:val="BodyText"/>
              <w:spacing w:line="360" w:lineRule="auto"/>
              <w:rPr>
                <w:b/>
                <w:sz w:val="24"/>
                <w:lang w:val="en-ZA"/>
              </w:rPr>
            </w:pPr>
            <w:r w:rsidRPr="0045074B">
              <w:rPr>
                <w:b/>
                <w:sz w:val="24"/>
                <w:lang w:val="en-ZA"/>
              </w:rPr>
              <w:t>R’000</w:t>
            </w:r>
          </w:p>
        </w:tc>
        <w:tc>
          <w:tcPr>
            <w:tcW w:w="1842" w:type="dxa"/>
            <w:shd w:val="clear" w:color="auto" w:fill="auto"/>
          </w:tcPr>
          <w:p w:rsidR="0045074B" w:rsidRPr="0045074B" w:rsidRDefault="0045074B" w:rsidP="00C43692">
            <w:pPr>
              <w:pStyle w:val="BodyText"/>
              <w:spacing w:line="360" w:lineRule="auto"/>
              <w:rPr>
                <w:b/>
                <w:sz w:val="24"/>
                <w:lang w:val="en-ZA"/>
              </w:rPr>
            </w:pPr>
            <w:r w:rsidRPr="0045074B">
              <w:rPr>
                <w:b/>
                <w:sz w:val="24"/>
                <w:lang w:val="en-ZA"/>
              </w:rPr>
              <w:t>2016/17</w:t>
            </w:r>
          </w:p>
          <w:p w:rsidR="0045074B" w:rsidRPr="0045074B" w:rsidRDefault="0045074B" w:rsidP="00C43692">
            <w:pPr>
              <w:pStyle w:val="BodyText"/>
              <w:spacing w:line="360" w:lineRule="auto"/>
              <w:rPr>
                <w:b/>
                <w:sz w:val="24"/>
                <w:lang w:val="en-ZA"/>
              </w:rPr>
            </w:pPr>
            <w:r w:rsidRPr="0045074B">
              <w:rPr>
                <w:b/>
                <w:sz w:val="24"/>
                <w:lang w:val="en-ZA"/>
              </w:rPr>
              <w:t>R’000</w:t>
            </w:r>
          </w:p>
        </w:tc>
        <w:tc>
          <w:tcPr>
            <w:tcW w:w="2565" w:type="dxa"/>
            <w:shd w:val="clear" w:color="auto" w:fill="auto"/>
          </w:tcPr>
          <w:p w:rsidR="0045074B" w:rsidRPr="0045074B" w:rsidRDefault="0045074B" w:rsidP="00C43692">
            <w:pPr>
              <w:pStyle w:val="BodyText"/>
              <w:spacing w:line="360" w:lineRule="auto"/>
              <w:rPr>
                <w:b/>
                <w:sz w:val="24"/>
                <w:lang w:val="en-ZA"/>
              </w:rPr>
            </w:pPr>
            <w:r w:rsidRPr="0045074B">
              <w:rPr>
                <w:b/>
                <w:sz w:val="24"/>
                <w:lang w:val="en-ZA"/>
              </w:rPr>
              <w:t>2017/18</w:t>
            </w:r>
          </w:p>
          <w:p w:rsidR="0045074B" w:rsidRPr="0045074B" w:rsidRDefault="0045074B" w:rsidP="00C43692">
            <w:pPr>
              <w:pStyle w:val="BodyText"/>
              <w:spacing w:line="360" w:lineRule="auto"/>
              <w:rPr>
                <w:b/>
                <w:sz w:val="24"/>
                <w:lang w:val="en-ZA"/>
              </w:rPr>
            </w:pPr>
            <w:r w:rsidRPr="0045074B">
              <w:rPr>
                <w:b/>
                <w:sz w:val="24"/>
                <w:lang w:val="en-ZA"/>
              </w:rPr>
              <w:t>R’000</w:t>
            </w:r>
          </w:p>
        </w:tc>
      </w:tr>
      <w:tr w:rsidR="0045074B" w:rsidRPr="0045074B" w:rsidTr="00C43692">
        <w:trPr>
          <w:trHeight w:val="238"/>
        </w:trPr>
        <w:tc>
          <w:tcPr>
            <w:tcW w:w="3118" w:type="dxa"/>
            <w:shd w:val="clear" w:color="auto" w:fill="auto"/>
          </w:tcPr>
          <w:p w:rsidR="0045074B" w:rsidRPr="0045074B" w:rsidDel="005834CC" w:rsidRDefault="0045074B" w:rsidP="00C43692">
            <w:pPr>
              <w:pStyle w:val="BodyText"/>
              <w:spacing w:line="360" w:lineRule="auto"/>
              <w:rPr>
                <w:sz w:val="24"/>
                <w:lang w:val="en-ZA"/>
              </w:rPr>
            </w:pPr>
            <w:r w:rsidRPr="0045074B">
              <w:rPr>
                <w:sz w:val="24"/>
                <w:lang w:val="en-ZA"/>
              </w:rPr>
              <w:t xml:space="preserve">Staffing </w:t>
            </w:r>
          </w:p>
        </w:tc>
        <w:tc>
          <w:tcPr>
            <w:tcW w:w="1872" w:type="dxa"/>
            <w:shd w:val="clear" w:color="auto" w:fill="auto"/>
          </w:tcPr>
          <w:p w:rsidR="0045074B" w:rsidRPr="0045074B" w:rsidRDefault="0045074B" w:rsidP="00C43692">
            <w:pPr>
              <w:pStyle w:val="BodyText"/>
              <w:spacing w:line="360" w:lineRule="auto"/>
              <w:rPr>
                <w:bCs/>
                <w:sz w:val="24"/>
                <w:lang w:val="en-ZA"/>
              </w:rPr>
            </w:pPr>
            <w:r w:rsidRPr="0045074B">
              <w:rPr>
                <w:bCs/>
                <w:sz w:val="24"/>
                <w:lang w:val="en-ZA"/>
              </w:rPr>
              <w:t>R 53 394</w:t>
            </w:r>
          </w:p>
        </w:tc>
        <w:tc>
          <w:tcPr>
            <w:tcW w:w="1842" w:type="dxa"/>
            <w:shd w:val="clear" w:color="auto" w:fill="auto"/>
          </w:tcPr>
          <w:p w:rsidR="0045074B" w:rsidRPr="0045074B" w:rsidRDefault="0045074B" w:rsidP="00C43692">
            <w:pPr>
              <w:pStyle w:val="BodyText"/>
              <w:spacing w:line="360" w:lineRule="auto"/>
              <w:rPr>
                <w:sz w:val="24"/>
                <w:lang w:val="en-ZA"/>
              </w:rPr>
            </w:pPr>
            <w:r w:rsidRPr="0045074B">
              <w:rPr>
                <w:bCs/>
                <w:sz w:val="24"/>
                <w:lang w:val="en-ZA"/>
              </w:rPr>
              <w:t xml:space="preserve">R21 680 </w:t>
            </w:r>
          </w:p>
        </w:tc>
        <w:tc>
          <w:tcPr>
            <w:tcW w:w="2565" w:type="dxa"/>
            <w:shd w:val="clear" w:color="auto" w:fill="auto"/>
          </w:tcPr>
          <w:p w:rsidR="0045074B" w:rsidRPr="0045074B" w:rsidRDefault="0045074B" w:rsidP="00C43692">
            <w:pPr>
              <w:pStyle w:val="BodyText"/>
              <w:spacing w:line="360" w:lineRule="auto"/>
              <w:rPr>
                <w:sz w:val="24"/>
                <w:lang w:val="en-ZA"/>
              </w:rPr>
            </w:pPr>
            <w:r w:rsidRPr="0045074B">
              <w:rPr>
                <w:bCs/>
                <w:sz w:val="24"/>
                <w:lang w:val="en-ZA"/>
              </w:rPr>
              <w:t>R25 262</w:t>
            </w:r>
          </w:p>
        </w:tc>
      </w:tr>
      <w:tr w:rsidR="0045074B" w:rsidRPr="0045074B" w:rsidTr="00C43692">
        <w:trPr>
          <w:trHeight w:val="152"/>
        </w:trPr>
        <w:tc>
          <w:tcPr>
            <w:tcW w:w="3118" w:type="dxa"/>
            <w:shd w:val="clear" w:color="auto" w:fill="auto"/>
          </w:tcPr>
          <w:p w:rsidR="0045074B" w:rsidRPr="0045074B" w:rsidDel="005834CC" w:rsidRDefault="0045074B" w:rsidP="00C43692">
            <w:pPr>
              <w:pStyle w:val="BodyText"/>
              <w:spacing w:line="360" w:lineRule="auto"/>
              <w:rPr>
                <w:sz w:val="24"/>
                <w:lang w:val="en-ZA"/>
              </w:rPr>
            </w:pPr>
            <w:r w:rsidRPr="0045074B">
              <w:rPr>
                <w:sz w:val="24"/>
                <w:lang w:val="en-ZA"/>
              </w:rPr>
              <w:t>Infrastructure</w:t>
            </w:r>
          </w:p>
        </w:tc>
        <w:tc>
          <w:tcPr>
            <w:tcW w:w="1872" w:type="dxa"/>
            <w:shd w:val="clear" w:color="auto" w:fill="auto"/>
          </w:tcPr>
          <w:p w:rsidR="0045074B" w:rsidRPr="0045074B" w:rsidRDefault="0045074B" w:rsidP="00C43692">
            <w:pPr>
              <w:pStyle w:val="BodyText"/>
              <w:spacing w:line="360" w:lineRule="auto"/>
              <w:rPr>
                <w:bCs/>
                <w:sz w:val="24"/>
                <w:lang w:val="en-ZA"/>
              </w:rPr>
            </w:pPr>
            <w:r w:rsidRPr="0045074B">
              <w:rPr>
                <w:bCs/>
                <w:sz w:val="24"/>
                <w:lang w:val="en-ZA"/>
              </w:rPr>
              <w:t>R 29 870</w:t>
            </w:r>
          </w:p>
        </w:tc>
        <w:tc>
          <w:tcPr>
            <w:tcW w:w="1842" w:type="dxa"/>
            <w:shd w:val="clear" w:color="auto" w:fill="auto"/>
          </w:tcPr>
          <w:p w:rsidR="0045074B" w:rsidRPr="0045074B" w:rsidRDefault="0045074B" w:rsidP="00C43692">
            <w:pPr>
              <w:pStyle w:val="BodyText"/>
              <w:spacing w:line="360" w:lineRule="auto"/>
              <w:rPr>
                <w:sz w:val="24"/>
                <w:lang w:val="en-ZA"/>
              </w:rPr>
            </w:pPr>
            <w:r w:rsidRPr="0045074B">
              <w:rPr>
                <w:bCs/>
                <w:sz w:val="24"/>
                <w:lang w:val="en-ZA"/>
              </w:rPr>
              <w:t>R 23 667</w:t>
            </w:r>
          </w:p>
        </w:tc>
        <w:tc>
          <w:tcPr>
            <w:tcW w:w="2565" w:type="dxa"/>
            <w:shd w:val="clear" w:color="auto" w:fill="auto"/>
          </w:tcPr>
          <w:p w:rsidR="0045074B" w:rsidRPr="0045074B" w:rsidRDefault="0045074B" w:rsidP="00C43692">
            <w:pPr>
              <w:pStyle w:val="BodyText"/>
              <w:spacing w:line="360" w:lineRule="auto"/>
              <w:rPr>
                <w:sz w:val="24"/>
                <w:lang w:val="en-ZA"/>
              </w:rPr>
            </w:pPr>
            <w:r w:rsidRPr="0045074B">
              <w:rPr>
                <w:bCs/>
                <w:sz w:val="24"/>
                <w:lang w:val="en-ZA"/>
              </w:rPr>
              <w:t>R17 209</w:t>
            </w:r>
          </w:p>
        </w:tc>
      </w:tr>
      <w:tr w:rsidR="0045074B" w:rsidRPr="0045074B" w:rsidTr="00C43692">
        <w:trPr>
          <w:trHeight w:val="98"/>
        </w:trPr>
        <w:tc>
          <w:tcPr>
            <w:tcW w:w="3118" w:type="dxa"/>
            <w:shd w:val="clear" w:color="auto" w:fill="auto"/>
          </w:tcPr>
          <w:p w:rsidR="0045074B" w:rsidRPr="0045074B" w:rsidDel="005834CC" w:rsidRDefault="0045074B" w:rsidP="00C43692">
            <w:pPr>
              <w:pStyle w:val="BodyText"/>
              <w:spacing w:line="360" w:lineRule="auto"/>
              <w:rPr>
                <w:sz w:val="24"/>
                <w:lang w:val="en-ZA"/>
              </w:rPr>
            </w:pPr>
            <w:r w:rsidRPr="0045074B">
              <w:rPr>
                <w:sz w:val="24"/>
                <w:lang w:val="en-ZA"/>
              </w:rPr>
              <w:t xml:space="preserve">Equipment </w:t>
            </w:r>
          </w:p>
        </w:tc>
        <w:tc>
          <w:tcPr>
            <w:tcW w:w="1872" w:type="dxa"/>
            <w:shd w:val="clear" w:color="auto" w:fill="auto"/>
          </w:tcPr>
          <w:p w:rsidR="0045074B" w:rsidRPr="0045074B" w:rsidRDefault="0045074B" w:rsidP="00C43692">
            <w:pPr>
              <w:pStyle w:val="BodyText"/>
              <w:spacing w:line="360" w:lineRule="auto"/>
              <w:rPr>
                <w:bCs/>
                <w:sz w:val="24"/>
                <w:lang w:val="en-ZA"/>
              </w:rPr>
            </w:pPr>
            <w:r w:rsidRPr="0045074B">
              <w:rPr>
                <w:bCs/>
                <w:sz w:val="24"/>
                <w:lang w:val="en-ZA"/>
              </w:rPr>
              <w:t>R 22 813</w:t>
            </w:r>
          </w:p>
        </w:tc>
        <w:tc>
          <w:tcPr>
            <w:tcW w:w="1842" w:type="dxa"/>
            <w:shd w:val="clear" w:color="auto" w:fill="auto"/>
          </w:tcPr>
          <w:p w:rsidR="0045074B" w:rsidRPr="0045074B" w:rsidRDefault="0045074B" w:rsidP="00C43692">
            <w:pPr>
              <w:pStyle w:val="BodyText"/>
              <w:spacing w:line="360" w:lineRule="auto"/>
              <w:rPr>
                <w:sz w:val="24"/>
                <w:lang w:val="en-ZA"/>
              </w:rPr>
            </w:pPr>
            <w:r w:rsidRPr="0045074B">
              <w:rPr>
                <w:bCs/>
                <w:sz w:val="24"/>
                <w:lang w:val="en-ZA"/>
              </w:rPr>
              <w:t>R 19 793</w:t>
            </w:r>
          </w:p>
        </w:tc>
        <w:tc>
          <w:tcPr>
            <w:tcW w:w="2565" w:type="dxa"/>
            <w:shd w:val="clear" w:color="auto" w:fill="auto"/>
          </w:tcPr>
          <w:p w:rsidR="0045074B" w:rsidRPr="0045074B" w:rsidRDefault="0045074B" w:rsidP="00C43692">
            <w:pPr>
              <w:pStyle w:val="BodyText"/>
              <w:spacing w:line="360" w:lineRule="auto"/>
              <w:rPr>
                <w:sz w:val="24"/>
                <w:lang w:val="en-ZA"/>
              </w:rPr>
            </w:pPr>
            <w:r w:rsidRPr="0045074B">
              <w:rPr>
                <w:bCs/>
                <w:sz w:val="24"/>
                <w:lang w:val="en-ZA"/>
              </w:rPr>
              <w:t>R21 894</w:t>
            </w:r>
          </w:p>
        </w:tc>
      </w:tr>
      <w:tr w:rsidR="0045074B" w:rsidRPr="0045074B" w:rsidTr="00C43692">
        <w:trPr>
          <w:trHeight w:val="70"/>
        </w:trPr>
        <w:tc>
          <w:tcPr>
            <w:tcW w:w="3118" w:type="dxa"/>
            <w:shd w:val="clear" w:color="auto" w:fill="auto"/>
          </w:tcPr>
          <w:p w:rsidR="0045074B" w:rsidRPr="0045074B" w:rsidRDefault="0045074B" w:rsidP="00C43692">
            <w:pPr>
              <w:pStyle w:val="BodyText"/>
              <w:spacing w:line="360" w:lineRule="auto"/>
              <w:rPr>
                <w:sz w:val="24"/>
                <w:lang w:val="en-ZA"/>
              </w:rPr>
            </w:pPr>
            <w:r w:rsidRPr="0045074B">
              <w:rPr>
                <w:sz w:val="24"/>
                <w:lang w:val="en-ZA"/>
              </w:rPr>
              <w:t>Capacity Building</w:t>
            </w:r>
          </w:p>
        </w:tc>
        <w:tc>
          <w:tcPr>
            <w:tcW w:w="1872" w:type="dxa"/>
            <w:shd w:val="clear" w:color="auto" w:fill="auto"/>
          </w:tcPr>
          <w:p w:rsidR="0045074B" w:rsidRPr="0045074B" w:rsidRDefault="0045074B" w:rsidP="00C43692">
            <w:pPr>
              <w:pStyle w:val="BodyText"/>
              <w:spacing w:line="360" w:lineRule="auto"/>
              <w:rPr>
                <w:bCs/>
                <w:sz w:val="24"/>
                <w:lang w:val="en-ZA"/>
              </w:rPr>
            </w:pPr>
            <w:r w:rsidRPr="0045074B">
              <w:rPr>
                <w:bCs/>
                <w:sz w:val="24"/>
                <w:lang w:val="en-ZA"/>
              </w:rPr>
              <w:t xml:space="preserve">R 7 440 </w:t>
            </w:r>
          </w:p>
        </w:tc>
        <w:tc>
          <w:tcPr>
            <w:tcW w:w="1842" w:type="dxa"/>
            <w:shd w:val="clear" w:color="auto" w:fill="auto"/>
          </w:tcPr>
          <w:p w:rsidR="0045074B" w:rsidRPr="0045074B" w:rsidRDefault="0045074B" w:rsidP="00C43692">
            <w:pPr>
              <w:pStyle w:val="BodyText"/>
              <w:spacing w:line="360" w:lineRule="auto"/>
              <w:rPr>
                <w:bCs/>
                <w:sz w:val="24"/>
                <w:lang w:val="en-ZA"/>
              </w:rPr>
            </w:pPr>
            <w:r w:rsidRPr="0045074B">
              <w:rPr>
                <w:bCs/>
                <w:sz w:val="24"/>
                <w:lang w:val="en-ZA"/>
              </w:rPr>
              <w:t xml:space="preserve">R 2 845 </w:t>
            </w:r>
          </w:p>
        </w:tc>
        <w:tc>
          <w:tcPr>
            <w:tcW w:w="2565" w:type="dxa"/>
            <w:shd w:val="clear" w:color="auto" w:fill="auto"/>
          </w:tcPr>
          <w:p w:rsidR="0045074B" w:rsidRPr="0045074B" w:rsidRDefault="0045074B" w:rsidP="00C43692">
            <w:pPr>
              <w:pStyle w:val="BodyText"/>
              <w:spacing w:line="360" w:lineRule="auto"/>
              <w:rPr>
                <w:bCs/>
                <w:sz w:val="24"/>
                <w:lang w:val="en-ZA"/>
              </w:rPr>
            </w:pPr>
            <w:r w:rsidRPr="0045074B">
              <w:rPr>
                <w:bCs/>
                <w:sz w:val="24"/>
                <w:lang w:val="en-ZA"/>
              </w:rPr>
              <w:t xml:space="preserve">R 5 745 </w:t>
            </w:r>
          </w:p>
        </w:tc>
      </w:tr>
      <w:tr w:rsidR="0045074B" w:rsidRPr="0045074B" w:rsidTr="00C43692">
        <w:trPr>
          <w:trHeight w:val="238"/>
        </w:trPr>
        <w:tc>
          <w:tcPr>
            <w:tcW w:w="3118" w:type="dxa"/>
            <w:shd w:val="clear" w:color="auto" w:fill="auto"/>
          </w:tcPr>
          <w:p w:rsidR="0045074B" w:rsidRPr="0045074B" w:rsidRDefault="0045074B" w:rsidP="00C43692">
            <w:pPr>
              <w:pStyle w:val="BodyText"/>
              <w:spacing w:line="360" w:lineRule="auto"/>
              <w:rPr>
                <w:b/>
                <w:sz w:val="24"/>
                <w:lang w:val="en-ZA"/>
              </w:rPr>
            </w:pPr>
            <w:r w:rsidRPr="0045074B">
              <w:rPr>
                <w:b/>
                <w:sz w:val="24"/>
                <w:lang w:val="en-ZA"/>
              </w:rPr>
              <w:t>Total</w:t>
            </w:r>
          </w:p>
        </w:tc>
        <w:tc>
          <w:tcPr>
            <w:tcW w:w="1872" w:type="dxa"/>
            <w:shd w:val="clear" w:color="auto" w:fill="auto"/>
          </w:tcPr>
          <w:p w:rsidR="0045074B" w:rsidRPr="0045074B" w:rsidRDefault="0045074B" w:rsidP="00C43692">
            <w:pPr>
              <w:pStyle w:val="BodyText"/>
              <w:spacing w:line="360" w:lineRule="auto"/>
              <w:rPr>
                <w:b/>
                <w:sz w:val="24"/>
                <w:lang w:val="en-ZA"/>
              </w:rPr>
            </w:pPr>
            <w:r w:rsidRPr="0045074B">
              <w:rPr>
                <w:b/>
                <w:bCs/>
                <w:sz w:val="24"/>
                <w:lang w:val="en-ZA"/>
              </w:rPr>
              <w:t xml:space="preserve">R113 517 </w:t>
            </w:r>
          </w:p>
        </w:tc>
        <w:tc>
          <w:tcPr>
            <w:tcW w:w="1842" w:type="dxa"/>
            <w:shd w:val="clear" w:color="auto" w:fill="auto"/>
          </w:tcPr>
          <w:p w:rsidR="0045074B" w:rsidRPr="0045074B" w:rsidRDefault="0045074B" w:rsidP="00C43692">
            <w:pPr>
              <w:pStyle w:val="BodyText"/>
              <w:spacing w:line="360" w:lineRule="auto"/>
              <w:rPr>
                <w:b/>
                <w:sz w:val="24"/>
                <w:lang w:val="en-ZA"/>
              </w:rPr>
            </w:pPr>
            <w:r w:rsidRPr="0045074B">
              <w:rPr>
                <w:b/>
                <w:sz w:val="24"/>
                <w:lang w:val="en-ZA"/>
              </w:rPr>
              <w:t xml:space="preserve">R67 986 </w:t>
            </w:r>
          </w:p>
        </w:tc>
        <w:tc>
          <w:tcPr>
            <w:tcW w:w="2565" w:type="dxa"/>
            <w:shd w:val="clear" w:color="auto" w:fill="auto"/>
          </w:tcPr>
          <w:p w:rsidR="0045074B" w:rsidRPr="0045074B" w:rsidRDefault="0045074B" w:rsidP="00C43692">
            <w:pPr>
              <w:pStyle w:val="BodyText"/>
              <w:spacing w:line="360" w:lineRule="auto"/>
              <w:rPr>
                <w:b/>
                <w:sz w:val="24"/>
                <w:lang w:val="en-ZA"/>
              </w:rPr>
            </w:pPr>
            <w:r w:rsidRPr="0045074B">
              <w:rPr>
                <w:b/>
                <w:sz w:val="24"/>
                <w:lang w:val="en-ZA"/>
              </w:rPr>
              <w:t xml:space="preserve">R70 107 </w:t>
            </w:r>
          </w:p>
        </w:tc>
      </w:tr>
    </w:tbl>
    <w:p w:rsidR="0045074B" w:rsidRPr="0045074B" w:rsidRDefault="0045074B" w:rsidP="0045074B">
      <w:pPr>
        <w:pStyle w:val="BodyText"/>
        <w:rPr>
          <w:sz w:val="24"/>
          <w:lang w:val="en-ZA"/>
        </w:rPr>
      </w:pPr>
    </w:p>
    <w:p w:rsidR="0045074B" w:rsidRPr="0045074B" w:rsidRDefault="0045074B" w:rsidP="00C43692">
      <w:pPr>
        <w:pStyle w:val="BodyText"/>
        <w:numPr>
          <w:ilvl w:val="0"/>
          <w:numId w:val="45"/>
        </w:numPr>
        <w:ind w:hanging="720"/>
        <w:rPr>
          <w:b/>
          <w:sz w:val="24"/>
          <w:lang w:val="en-ZA"/>
        </w:rPr>
      </w:pPr>
      <w:r w:rsidRPr="0045074B">
        <w:rPr>
          <w:b/>
          <w:sz w:val="24"/>
          <w:lang w:val="en-ZA"/>
        </w:rPr>
        <w:t>PRIMARY HEALTH CARE RE-ENGINEERING</w:t>
      </w:r>
    </w:p>
    <w:p w:rsidR="00C43692" w:rsidRDefault="00C43692" w:rsidP="0045074B">
      <w:pPr>
        <w:pStyle w:val="BodyText"/>
        <w:rPr>
          <w:sz w:val="24"/>
          <w:lang w:val="en-ZA"/>
        </w:rPr>
      </w:pPr>
    </w:p>
    <w:p w:rsidR="0045074B" w:rsidRPr="0045074B" w:rsidRDefault="0045074B" w:rsidP="00C43692">
      <w:pPr>
        <w:pStyle w:val="BodyText"/>
        <w:ind w:left="720"/>
        <w:rPr>
          <w:sz w:val="24"/>
          <w:lang w:val="en-ZA"/>
        </w:rPr>
      </w:pPr>
      <w:r w:rsidRPr="0045074B">
        <w:rPr>
          <w:sz w:val="24"/>
          <w:lang w:val="en-ZA"/>
        </w:rPr>
        <w:t xml:space="preserve">The implementation of </w:t>
      </w:r>
      <w:r w:rsidRPr="0045074B">
        <w:rPr>
          <w:b/>
          <w:sz w:val="24"/>
          <w:lang w:val="en-ZA"/>
        </w:rPr>
        <w:t xml:space="preserve">Primary Health Care re-engineering </w:t>
      </w:r>
      <w:r w:rsidRPr="0045074B">
        <w:rPr>
          <w:sz w:val="24"/>
          <w:lang w:val="en-ZA"/>
        </w:rPr>
        <w:t>posed financial challenges. The model in SA is the PHC Re-engineering platform being established across the country based on 3 complementary components: namely establishment of Ward-based Outreach Teams using community health workers; Integrated School Health services using mobile clinic vehicles especially modelled for this service (dentistry and ophthalmic services included); establishment of District clinical specialist teams (DCST’s); and Contracting of GP’s to public health facilities at the PHC level.</w:t>
      </w:r>
    </w:p>
    <w:p w:rsidR="0045074B" w:rsidRPr="0045074B" w:rsidRDefault="0045074B" w:rsidP="0045074B">
      <w:pPr>
        <w:pStyle w:val="BodyText"/>
        <w:rPr>
          <w:sz w:val="24"/>
          <w:lang w:val="en-ZA"/>
        </w:rPr>
      </w:pPr>
    </w:p>
    <w:p w:rsidR="0045074B" w:rsidRPr="0045074B" w:rsidRDefault="0045074B" w:rsidP="00C43692">
      <w:pPr>
        <w:pStyle w:val="BodyText"/>
        <w:ind w:left="720"/>
        <w:rPr>
          <w:sz w:val="24"/>
          <w:lang w:val="en-ZA"/>
        </w:rPr>
      </w:pPr>
      <w:r w:rsidRPr="0045074B">
        <w:rPr>
          <w:sz w:val="24"/>
          <w:lang w:val="en-ZA"/>
        </w:rPr>
        <w:t xml:space="preserve">The health system transformation seeks to redirect health service delivery to the periphery; at the level of the family, schools and primary health care facilities in the community. The WBOT’s are meant to be the most important platform for the success of PHC re-engineering due to the fact that their focus is preventive, </w:t>
      </w:r>
      <w:proofErr w:type="spellStart"/>
      <w:r w:rsidRPr="0045074B">
        <w:rPr>
          <w:sz w:val="24"/>
          <w:lang w:val="en-ZA"/>
        </w:rPr>
        <w:t>promotive</w:t>
      </w:r>
      <w:proofErr w:type="spellEnd"/>
      <w:r w:rsidRPr="0045074B">
        <w:rPr>
          <w:sz w:val="24"/>
          <w:lang w:val="en-ZA"/>
        </w:rPr>
        <w:t xml:space="preserve"> and rehabilitative health care, thus eventually redirecting the traffic to clinics and alleviating the current strain felt particularly by poorly staffed facilities. The shortfall on budget is outlined below: </w:t>
      </w:r>
    </w:p>
    <w:p w:rsidR="0045074B" w:rsidRPr="0045074B" w:rsidRDefault="0045074B" w:rsidP="0045074B">
      <w:pPr>
        <w:pStyle w:val="BodyText"/>
        <w:rPr>
          <w:sz w:val="24"/>
          <w:lang w:val="en-ZA"/>
        </w:rPr>
      </w:pPr>
    </w:p>
    <w:tbl>
      <w:tblPr>
        <w:tblW w:w="9397" w:type="dxa"/>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2014"/>
        <w:gridCol w:w="1842"/>
        <w:gridCol w:w="2565"/>
      </w:tblGrid>
      <w:tr w:rsidR="0045074B" w:rsidRPr="0045074B" w:rsidTr="00C43692">
        <w:trPr>
          <w:trHeight w:val="419"/>
        </w:trPr>
        <w:tc>
          <w:tcPr>
            <w:tcW w:w="2976" w:type="dxa"/>
            <w:shd w:val="clear" w:color="auto" w:fill="auto"/>
          </w:tcPr>
          <w:p w:rsidR="0045074B" w:rsidRPr="0045074B" w:rsidRDefault="0045074B" w:rsidP="0045074B">
            <w:pPr>
              <w:pStyle w:val="BodyText"/>
              <w:rPr>
                <w:b/>
                <w:sz w:val="24"/>
                <w:lang w:val="en-ZA"/>
              </w:rPr>
            </w:pPr>
            <w:r w:rsidRPr="0045074B">
              <w:rPr>
                <w:b/>
                <w:sz w:val="24"/>
                <w:lang w:val="en-ZA"/>
              </w:rPr>
              <w:t>Item</w:t>
            </w:r>
          </w:p>
        </w:tc>
        <w:tc>
          <w:tcPr>
            <w:tcW w:w="2014" w:type="dxa"/>
            <w:shd w:val="clear" w:color="auto" w:fill="auto"/>
          </w:tcPr>
          <w:p w:rsidR="0045074B" w:rsidRPr="0045074B" w:rsidRDefault="0045074B" w:rsidP="0045074B">
            <w:pPr>
              <w:pStyle w:val="BodyText"/>
              <w:rPr>
                <w:b/>
                <w:sz w:val="24"/>
                <w:lang w:val="en-ZA"/>
              </w:rPr>
            </w:pPr>
            <w:r w:rsidRPr="0045074B">
              <w:rPr>
                <w:b/>
                <w:sz w:val="24"/>
                <w:lang w:val="en-ZA"/>
              </w:rPr>
              <w:t>2015/16</w:t>
            </w:r>
          </w:p>
          <w:p w:rsidR="0045074B" w:rsidRPr="0045074B" w:rsidRDefault="0045074B" w:rsidP="0045074B">
            <w:pPr>
              <w:pStyle w:val="BodyText"/>
              <w:rPr>
                <w:b/>
                <w:sz w:val="24"/>
                <w:lang w:val="en-ZA"/>
              </w:rPr>
            </w:pPr>
            <w:r w:rsidRPr="0045074B">
              <w:rPr>
                <w:b/>
                <w:sz w:val="24"/>
                <w:lang w:val="en-ZA"/>
              </w:rPr>
              <w:t>R’000</w:t>
            </w:r>
          </w:p>
        </w:tc>
        <w:tc>
          <w:tcPr>
            <w:tcW w:w="1842" w:type="dxa"/>
            <w:shd w:val="clear" w:color="auto" w:fill="auto"/>
          </w:tcPr>
          <w:p w:rsidR="0045074B" w:rsidRPr="0045074B" w:rsidRDefault="0045074B" w:rsidP="0045074B">
            <w:pPr>
              <w:pStyle w:val="BodyText"/>
              <w:rPr>
                <w:b/>
                <w:sz w:val="24"/>
                <w:lang w:val="en-ZA"/>
              </w:rPr>
            </w:pPr>
            <w:r w:rsidRPr="0045074B">
              <w:rPr>
                <w:b/>
                <w:sz w:val="24"/>
                <w:lang w:val="en-ZA"/>
              </w:rPr>
              <w:t>2016/17</w:t>
            </w:r>
          </w:p>
          <w:p w:rsidR="0045074B" w:rsidRPr="0045074B" w:rsidRDefault="0045074B" w:rsidP="0045074B">
            <w:pPr>
              <w:pStyle w:val="BodyText"/>
              <w:rPr>
                <w:b/>
                <w:sz w:val="24"/>
                <w:lang w:val="en-ZA"/>
              </w:rPr>
            </w:pPr>
            <w:r w:rsidRPr="0045074B">
              <w:rPr>
                <w:b/>
                <w:sz w:val="24"/>
                <w:lang w:val="en-ZA"/>
              </w:rPr>
              <w:t>R’000</w:t>
            </w:r>
          </w:p>
        </w:tc>
        <w:tc>
          <w:tcPr>
            <w:tcW w:w="2565" w:type="dxa"/>
            <w:shd w:val="clear" w:color="auto" w:fill="auto"/>
          </w:tcPr>
          <w:p w:rsidR="0045074B" w:rsidRPr="0045074B" w:rsidRDefault="0045074B" w:rsidP="0045074B">
            <w:pPr>
              <w:pStyle w:val="BodyText"/>
              <w:rPr>
                <w:b/>
                <w:sz w:val="24"/>
                <w:lang w:val="en-ZA"/>
              </w:rPr>
            </w:pPr>
            <w:r w:rsidRPr="0045074B">
              <w:rPr>
                <w:b/>
                <w:sz w:val="24"/>
                <w:lang w:val="en-ZA"/>
              </w:rPr>
              <w:t>2017/18</w:t>
            </w:r>
          </w:p>
          <w:p w:rsidR="0045074B" w:rsidRPr="0045074B" w:rsidRDefault="0045074B" w:rsidP="0045074B">
            <w:pPr>
              <w:pStyle w:val="BodyText"/>
              <w:rPr>
                <w:b/>
                <w:sz w:val="24"/>
                <w:lang w:val="en-ZA"/>
              </w:rPr>
            </w:pPr>
            <w:r w:rsidRPr="0045074B">
              <w:rPr>
                <w:b/>
                <w:sz w:val="24"/>
                <w:lang w:val="en-ZA"/>
              </w:rPr>
              <w:t>R’000</w:t>
            </w:r>
          </w:p>
        </w:tc>
      </w:tr>
      <w:tr w:rsidR="0045074B" w:rsidRPr="0045074B" w:rsidTr="00C43692">
        <w:trPr>
          <w:trHeight w:val="238"/>
        </w:trPr>
        <w:tc>
          <w:tcPr>
            <w:tcW w:w="2976" w:type="dxa"/>
            <w:shd w:val="clear" w:color="auto" w:fill="auto"/>
          </w:tcPr>
          <w:p w:rsidR="0045074B" w:rsidRPr="0045074B" w:rsidDel="005834CC" w:rsidRDefault="0045074B" w:rsidP="0045074B">
            <w:pPr>
              <w:pStyle w:val="BodyText"/>
              <w:rPr>
                <w:sz w:val="24"/>
                <w:lang w:val="en-ZA"/>
              </w:rPr>
            </w:pPr>
            <w:r w:rsidRPr="0045074B">
              <w:rPr>
                <w:sz w:val="24"/>
                <w:lang w:val="en-ZA"/>
              </w:rPr>
              <w:t xml:space="preserve">Staffing </w:t>
            </w:r>
          </w:p>
        </w:tc>
        <w:tc>
          <w:tcPr>
            <w:tcW w:w="2014" w:type="dxa"/>
            <w:shd w:val="clear" w:color="auto" w:fill="auto"/>
          </w:tcPr>
          <w:p w:rsidR="0045074B" w:rsidRPr="0045074B" w:rsidRDefault="0045074B" w:rsidP="0045074B">
            <w:pPr>
              <w:pStyle w:val="BodyText"/>
              <w:rPr>
                <w:sz w:val="24"/>
                <w:lang w:val="en-ZA"/>
              </w:rPr>
            </w:pPr>
            <w:r w:rsidRPr="0045074B">
              <w:rPr>
                <w:sz w:val="24"/>
                <w:lang w:val="en-ZA"/>
              </w:rPr>
              <w:t>137 320</w:t>
            </w:r>
          </w:p>
        </w:tc>
        <w:tc>
          <w:tcPr>
            <w:tcW w:w="1842" w:type="dxa"/>
            <w:shd w:val="clear" w:color="auto" w:fill="auto"/>
          </w:tcPr>
          <w:p w:rsidR="0045074B" w:rsidRPr="0045074B" w:rsidRDefault="0045074B" w:rsidP="0045074B">
            <w:pPr>
              <w:pStyle w:val="BodyText"/>
              <w:rPr>
                <w:sz w:val="24"/>
                <w:lang w:val="en-ZA"/>
              </w:rPr>
            </w:pPr>
            <w:r w:rsidRPr="0045074B">
              <w:rPr>
                <w:sz w:val="24"/>
                <w:lang w:val="en-ZA"/>
              </w:rPr>
              <w:t>147 207</w:t>
            </w:r>
          </w:p>
        </w:tc>
        <w:tc>
          <w:tcPr>
            <w:tcW w:w="2565" w:type="dxa"/>
            <w:shd w:val="clear" w:color="auto" w:fill="auto"/>
          </w:tcPr>
          <w:p w:rsidR="0045074B" w:rsidRPr="0045074B" w:rsidRDefault="0045074B" w:rsidP="0045074B">
            <w:pPr>
              <w:pStyle w:val="BodyText"/>
              <w:rPr>
                <w:sz w:val="24"/>
                <w:lang w:val="en-ZA"/>
              </w:rPr>
            </w:pPr>
            <w:r w:rsidRPr="0045074B">
              <w:rPr>
                <w:sz w:val="24"/>
                <w:lang w:val="en-ZA"/>
              </w:rPr>
              <w:t>155 745</w:t>
            </w:r>
          </w:p>
        </w:tc>
      </w:tr>
      <w:tr w:rsidR="0045074B" w:rsidRPr="0045074B" w:rsidTr="00C43692">
        <w:trPr>
          <w:trHeight w:val="238"/>
        </w:trPr>
        <w:tc>
          <w:tcPr>
            <w:tcW w:w="2976" w:type="dxa"/>
            <w:shd w:val="clear" w:color="auto" w:fill="auto"/>
          </w:tcPr>
          <w:p w:rsidR="0045074B" w:rsidRPr="0045074B" w:rsidDel="005834CC" w:rsidRDefault="0045074B" w:rsidP="0045074B">
            <w:pPr>
              <w:pStyle w:val="BodyText"/>
              <w:rPr>
                <w:sz w:val="24"/>
                <w:lang w:val="en-ZA"/>
              </w:rPr>
            </w:pPr>
            <w:r w:rsidRPr="0045074B">
              <w:rPr>
                <w:sz w:val="24"/>
                <w:lang w:val="en-ZA"/>
              </w:rPr>
              <w:t>Goods &amp; services</w:t>
            </w:r>
          </w:p>
        </w:tc>
        <w:tc>
          <w:tcPr>
            <w:tcW w:w="2014" w:type="dxa"/>
            <w:shd w:val="clear" w:color="auto" w:fill="auto"/>
          </w:tcPr>
          <w:p w:rsidR="0045074B" w:rsidRPr="0045074B" w:rsidRDefault="0045074B" w:rsidP="0045074B">
            <w:pPr>
              <w:pStyle w:val="BodyText"/>
              <w:rPr>
                <w:sz w:val="24"/>
                <w:lang w:val="en-ZA"/>
              </w:rPr>
            </w:pPr>
            <w:r w:rsidRPr="0045074B">
              <w:rPr>
                <w:sz w:val="24"/>
                <w:lang w:val="en-ZA"/>
              </w:rPr>
              <w:t>6 714</w:t>
            </w:r>
          </w:p>
        </w:tc>
        <w:tc>
          <w:tcPr>
            <w:tcW w:w="1842" w:type="dxa"/>
            <w:shd w:val="clear" w:color="auto" w:fill="auto"/>
          </w:tcPr>
          <w:p w:rsidR="0045074B" w:rsidRPr="0045074B" w:rsidRDefault="0045074B" w:rsidP="0045074B">
            <w:pPr>
              <w:pStyle w:val="BodyText"/>
              <w:rPr>
                <w:sz w:val="24"/>
                <w:lang w:val="en-ZA"/>
              </w:rPr>
            </w:pPr>
            <w:r w:rsidRPr="0045074B">
              <w:rPr>
                <w:sz w:val="24"/>
                <w:lang w:val="en-ZA"/>
              </w:rPr>
              <w:t>7 130</w:t>
            </w:r>
          </w:p>
        </w:tc>
        <w:tc>
          <w:tcPr>
            <w:tcW w:w="2565" w:type="dxa"/>
            <w:shd w:val="clear" w:color="auto" w:fill="auto"/>
          </w:tcPr>
          <w:p w:rsidR="0045074B" w:rsidRPr="0045074B" w:rsidRDefault="0045074B" w:rsidP="0045074B">
            <w:pPr>
              <w:pStyle w:val="BodyText"/>
              <w:rPr>
                <w:sz w:val="24"/>
                <w:lang w:val="en-ZA"/>
              </w:rPr>
            </w:pPr>
            <w:r w:rsidRPr="0045074B">
              <w:rPr>
                <w:sz w:val="24"/>
                <w:lang w:val="en-ZA"/>
              </w:rPr>
              <w:t>7 544</w:t>
            </w:r>
          </w:p>
        </w:tc>
      </w:tr>
      <w:tr w:rsidR="0045074B" w:rsidRPr="0045074B" w:rsidTr="00C43692">
        <w:trPr>
          <w:trHeight w:val="238"/>
        </w:trPr>
        <w:tc>
          <w:tcPr>
            <w:tcW w:w="2976" w:type="dxa"/>
            <w:shd w:val="clear" w:color="auto" w:fill="auto"/>
          </w:tcPr>
          <w:p w:rsidR="0045074B" w:rsidRPr="0045074B" w:rsidDel="005834CC" w:rsidRDefault="0045074B" w:rsidP="0045074B">
            <w:pPr>
              <w:pStyle w:val="BodyText"/>
              <w:rPr>
                <w:sz w:val="24"/>
                <w:lang w:val="en-ZA"/>
              </w:rPr>
            </w:pPr>
            <w:r w:rsidRPr="0045074B">
              <w:rPr>
                <w:sz w:val="24"/>
                <w:lang w:val="en-ZA"/>
              </w:rPr>
              <w:t>Capital assets</w:t>
            </w:r>
          </w:p>
        </w:tc>
        <w:tc>
          <w:tcPr>
            <w:tcW w:w="2014" w:type="dxa"/>
            <w:shd w:val="clear" w:color="auto" w:fill="auto"/>
          </w:tcPr>
          <w:p w:rsidR="0045074B" w:rsidRPr="0045074B" w:rsidRDefault="0045074B" w:rsidP="0045074B">
            <w:pPr>
              <w:pStyle w:val="BodyText"/>
              <w:rPr>
                <w:sz w:val="24"/>
                <w:lang w:val="en-ZA"/>
              </w:rPr>
            </w:pPr>
            <w:r w:rsidRPr="0045074B">
              <w:rPr>
                <w:sz w:val="24"/>
                <w:lang w:val="en-ZA"/>
              </w:rPr>
              <w:t>14 312</w:t>
            </w:r>
          </w:p>
        </w:tc>
        <w:tc>
          <w:tcPr>
            <w:tcW w:w="1842" w:type="dxa"/>
            <w:shd w:val="clear" w:color="auto" w:fill="auto"/>
          </w:tcPr>
          <w:p w:rsidR="0045074B" w:rsidRPr="0045074B" w:rsidRDefault="0045074B" w:rsidP="0045074B">
            <w:pPr>
              <w:pStyle w:val="BodyText"/>
              <w:rPr>
                <w:sz w:val="24"/>
                <w:lang w:val="en-ZA"/>
              </w:rPr>
            </w:pPr>
            <w:r w:rsidRPr="0045074B">
              <w:rPr>
                <w:sz w:val="24"/>
                <w:lang w:val="en-ZA"/>
              </w:rPr>
              <w:t>15 200</w:t>
            </w:r>
          </w:p>
        </w:tc>
        <w:tc>
          <w:tcPr>
            <w:tcW w:w="2565" w:type="dxa"/>
            <w:shd w:val="clear" w:color="auto" w:fill="auto"/>
          </w:tcPr>
          <w:p w:rsidR="0045074B" w:rsidRPr="0045074B" w:rsidRDefault="0045074B" w:rsidP="0045074B">
            <w:pPr>
              <w:pStyle w:val="BodyText"/>
              <w:rPr>
                <w:sz w:val="24"/>
                <w:lang w:val="en-ZA"/>
              </w:rPr>
            </w:pPr>
            <w:r w:rsidRPr="0045074B">
              <w:rPr>
                <w:sz w:val="24"/>
                <w:lang w:val="en-ZA"/>
              </w:rPr>
              <w:t>16 081</w:t>
            </w:r>
          </w:p>
        </w:tc>
      </w:tr>
      <w:tr w:rsidR="0045074B" w:rsidRPr="0045074B" w:rsidTr="00C43692">
        <w:trPr>
          <w:trHeight w:val="238"/>
        </w:trPr>
        <w:tc>
          <w:tcPr>
            <w:tcW w:w="2976" w:type="dxa"/>
            <w:shd w:val="clear" w:color="auto" w:fill="auto"/>
          </w:tcPr>
          <w:p w:rsidR="0045074B" w:rsidRPr="0045074B" w:rsidRDefault="0045074B" w:rsidP="0045074B">
            <w:pPr>
              <w:pStyle w:val="BodyText"/>
              <w:rPr>
                <w:b/>
                <w:sz w:val="24"/>
                <w:lang w:val="en-ZA"/>
              </w:rPr>
            </w:pPr>
            <w:r w:rsidRPr="0045074B">
              <w:rPr>
                <w:b/>
                <w:sz w:val="24"/>
                <w:lang w:val="en-ZA"/>
              </w:rPr>
              <w:t>Total</w:t>
            </w:r>
          </w:p>
        </w:tc>
        <w:tc>
          <w:tcPr>
            <w:tcW w:w="2014" w:type="dxa"/>
            <w:shd w:val="clear" w:color="auto" w:fill="auto"/>
          </w:tcPr>
          <w:p w:rsidR="0045074B" w:rsidRPr="0045074B" w:rsidRDefault="0045074B" w:rsidP="0045074B">
            <w:pPr>
              <w:pStyle w:val="BodyText"/>
              <w:rPr>
                <w:b/>
                <w:sz w:val="24"/>
                <w:lang w:val="en-ZA"/>
              </w:rPr>
            </w:pPr>
            <w:r w:rsidRPr="0045074B">
              <w:rPr>
                <w:b/>
                <w:sz w:val="24"/>
                <w:lang w:val="en-ZA"/>
              </w:rPr>
              <w:t>158 346</w:t>
            </w:r>
          </w:p>
        </w:tc>
        <w:tc>
          <w:tcPr>
            <w:tcW w:w="1842" w:type="dxa"/>
            <w:shd w:val="clear" w:color="auto" w:fill="auto"/>
          </w:tcPr>
          <w:p w:rsidR="0045074B" w:rsidRPr="0045074B" w:rsidRDefault="0045074B" w:rsidP="0045074B">
            <w:pPr>
              <w:pStyle w:val="BodyText"/>
              <w:rPr>
                <w:b/>
                <w:sz w:val="24"/>
                <w:lang w:val="en-ZA"/>
              </w:rPr>
            </w:pPr>
            <w:r w:rsidRPr="0045074B">
              <w:rPr>
                <w:b/>
                <w:sz w:val="24"/>
                <w:lang w:val="en-ZA"/>
              </w:rPr>
              <w:t>169 537</w:t>
            </w:r>
          </w:p>
        </w:tc>
        <w:tc>
          <w:tcPr>
            <w:tcW w:w="2565" w:type="dxa"/>
            <w:shd w:val="clear" w:color="auto" w:fill="auto"/>
          </w:tcPr>
          <w:p w:rsidR="0045074B" w:rsidRPr="0045074B" w:rsidRDefault="0045074B" w:rsidP="0045074B">
            <w:pPr>
              <w:pStyle w:val="BodyText"/>
              <w:rPr>
                <w:b/>
                <w:sz w:val="24"/>
                <w:lang w:val="en-ZA"/>
              </w:rPr>
            </w:pPr>
            <w:r w:rsidRPr="0045074B">
              <w:rPr>
                <w:b/>
                <w:sz w:val="24"/>
                <w:lang w:val="en-ZA"/>
              </w:rPr>
              <w:t>179 370</w:t>
            </w:r>
          </w:p>
        </w:tc>
      </w:tr>
    </w:tbl>
    <w:p w:rsidR="0045074B" w:rsidRDefault="0045074B" w:rsidP="0045074B">
      <w:pPr>
        <w:pStyle w:val="BodyText"/>
        <w:rPr>
          <w:sz w:val="24"/>
        </w:rPr>
      </w:pPr>
    </w:p>
    <w:p w:rsidR="00530491" w:rsidRDefault="00530491" w:rsidP="0045074B">
      <w:pPr>
        <w:pStyle w:val="BodyText"/>
        <w:rPr>
          <w:sz w:val="24"/>
        </w:rPr>
      </w:pPr>
    </w:p>
    <w:p w:rsidR="00530491" w:rsidRDefault="00530491" w:rsidP="0045074B">
      <w:pPr>
        <w:pStyle w:val="BodyText"/>
        <w:rPr>
          <w:sz w:val="24"/>
        </w:rPr>
      </w:pPr>
    </w:p>
    <w:p w:rsidR="00530491" w:rsidRDefault="00530491" w:rsidP="0045074B">
      <w:pPr>
        <w:pStyle w:val="BodyText"/>
        <w:rPr>
          <w:sz w:val="24"/>
        </w:rPr>
      </w:pPr>
    </w:p>
    <w:p w:rsidR="00530491" w:rsidRPr="0045074B" w:rsidRDefault="00530491" w:rsidP="0045074B">
      <w:pPr>
        <w:pStyle w:val="BodyText"/>
        <w:rPr>
          <w:sz w:val="24"/>
        </w:rPr>
      </w:pPr>
    </w:p>
    <w:p w:rsidR="0045074B" w:rsidRPr="0045074B" w:rsidRDefault="0045074B" w:rsidP="00C43692">
      <w:pPr>
        <w:pStyle w:val="BodyText"/>
        <w:numPr>
          <w:ilvl w:val="0"/>
          <w:numId w:val="41"/>
        </w:numPr>
        <w:ind w:hanging="1140"/>
        <w:rPr>
          <w:b/>
          <w:sz w:val="24"/>
        </w:rPr>
      </w:pPr>
      <w:r w:rsidRPr="0045074B">
        <w:rPr>
          <w:b/>
          <w:sz w:val="24"/>
        </w:rPr>
        <w:lastRenderedPageBreak/>
        <w:t>North West</w:t>
      </w:r>
    </w:p>
    <w:p w:rsidR="0045074B" w:rsidRPr="0045074B" w:rsidRDefault="0045074B" w:rsidP="0045074B">
      <w:pPr>
        <w:pStyle w:val="BodyText"/>
        <w:rPr>
          <w:sz w:val="24"/>
        </w:rPr>
      </w:pPr>
      <w:r w:rsidRPr="0045074B">
        <w:rPr>
          <w:sz w:val="24"/>
        </w:rPr>
        <w:t xml:space="preserve"> </w:t>
      </w:r>
    </w:p>
    <w:p w:rsidR="0045074B" w:rsidRPr="0045074B" w:rsidRDefault="0045074B" w:rsidP="00530491">
      <w:pPr>
        <w:pStyle w:val="BodyText"/>
        <w:tabs>
          <w:tab w:val="left" w:pos="1418"/>
        </w:tabs>
        <w:spacing w:after="240"/>
        <w:ind w:left="2160" w:hanging="1451"/>
        <w:rPr>
          <w:sz w:val="24"/>
        </w:rPr>
      </w:pPr>
      <w:r w:rsidRPr="0045074B">
        <w:rPr>
          <w:sz w:val="24"/>
        </w:rPr>
        <w:t>(a)</w:t>
      </w:r>
      <w:r w:rsidRPr="0045074B">
        <w:rPr>
          <w:sz w:val="24"/>
        </w:rPr>
        <w:tab/>
        <w:t>(</w:t>
      </w:r>
      <w:proofErr w:type="gramStart"/>
      <w:r w:rsidRPr="0045074B">
        <w:rPr>
          <w:sz w:val="24"/>
        </w:rPr>
        <w:t>i</w:t>
      </w:r>
      <w:proofErr w:type="gramEnd"/>
      <w:r w:rsidRPr="0045074B">
        <w:rPr>
          <w:sz w:val="24"/>
        </w:rPr>
        <w:t>)</w:t>
      </w:r>
      <w:r w:rsidRPr="0045074B">
        <w:rPr>
          <w:sz w:val="24"/>
        </w:rPr>
        <w:tab/>
        <w:t>The total allocation amount for Primary Health Care is R4.9billion out of a total budget of R9.5 billion, that is 52.2% of the total budget.</w:t>
      </w:r>
    </w:p>
    <w:p w:rsidR="0045074B" w:rsidRPr="0045074B" w:rsidRDefault="0045074B" w:rsidP="00530491">
      <w:pPr>
        <w:pStyle w:val="BodyText"/>
        <w:spacing w:after="240"/>
        <w:ind w:left="2160" w:hanging="720"/>
        <w:rPr>
          <w:sz w:val="24"/>
        </w:rPr>
      </w:pPr>
      <w:r w:rsidRPr="0045074B">
        <w:rPr>
          <w:sz w:val="24"/>
        </w:rPr>
        <w:t>(ii)</w:t>
      </w:r>
      <w:r w:rsidRPr="0045074B">
        <w:rPr>
          <w:sz w:val="24"/>
        </w:rPr>
        <w:tab/>
        <w:t xml:space="preserve">It is difficult to estimate the shortfall but judging from the fact that the </w:t>
      </w:r>
      <w:proofErr w:type="spellStart"/>
      <w:r w:rsidRPr="0045074B">
        <w:rPr>
          <w:sz w:val="24"/>
        </w:rPr>
        <w:t>programme</w:t>
      </w:r>
      <w:proofErr w:type="spellEnd"/>
      <w:r w:rsidRPr="0045074B">
        <w:rPr>
          <w:sz w:val="24"/>
        </w:rPr>
        <w:t xml:space="preserve"> ended the year with accruals of R308million, one can say that the shortfall is around this figure. Taking into account the fact that the Department as a whole could not appoint staff due to the dire financial situation, the real shortfall could be around R500million.</w:t>
      </w:r>
    </w:p>
    <w:p w:rsidR="0045074B" w:rsidRPr="0045074B" w:rsidRDefault="0045074B" w:rsidP="00530491">
      <w:pPr>
        <w:pStyle w:val="BodyText"/>
        <w:ind w:left="1418" w:hanging="698"/>
        <w:rPr>
          <w:sz w:val="24"/>
        </w:rPr>
      </w:pPr>
      <w:r w:rsidRPr="0045074B">
        <w:rPr>
          <w:sz w:val="24"/>
        </w:rPr>
        <w:t xml:space="preserve">(b) </w:t>
      </w:r>
      <w:r w:rsidR="00C43692">
        <w:rPr>
          <w:sz w:val="24"/>
        </w:rPr>
        <w:tab/>
      </w:r>
      <w:r w:rsidRPr="0045074B">
        <w:rPr>
          <w:sz w:val="24"/>
        </w:rPr>
        <w:t>We are looking at improving internal efficiencies and right-sizing to bring current expenditure within the available budget. The main reason for non-achievement of targets in Primary Health Care is inadequate funding but as mentioned above the Department is also looking at right-sizing and improvement of efficiencies.</w:t>
      </w:r>
    </w:p>
    <w:p w:rsidR="0045074B" w:rsidRPr="0045074B" w:rsidRDefault="0045074B" w:rsidP="0045074B">
      <w:pPr>
        <w:pStyle w:val="BodyText"/>
        <w:rPr>
          <w:sz w:val="24"/>
        </w:rPr>
      </w:pPr>
    </w:p>
    <w:p w:rsidR="0045074B" w:rsidRPr="0045074B" w:rsidRDefault="0045074B" w:rsidP="00C43692">
      <w:pPr>
        <w:pStyle w:val="BodyText"/>
        <w:numPr>
          <w:ilvl w:val="0"/>
          <w:numId w:val="41"/>
        </w:numPr>
        <w:ind w:hanging="1140"/>
        <w:rPr>
          <w:b/>
          <w:sz w:val="24"/>
        </w:rPr>
      </w:pPr>
      <w:r w:rsidRPr="0045074B">
        <w:rPr>
          <w:b/>
          <w:sz w:val="24"/>
        </w:rPr>
        <w:t>Western Cape</w:t>
      </w:r>
    </w:p>
    <w:p w:rsidR="0045074B" w:rsidRPr="0045074B" w:rsidRDefault="0045074B" w:rsidP="0045074B">
      <w:pPr>
        <w:pStyle w:val="BodyText"/>
        <w:rPr>
          <w:sz w:val="24"/>
        </w:rPr>
      </w:pPr>
    </w:p>
    <w:p w:rsidR="0045074B" w:rsidRPr="0045074B" w:rsidRDefault="0045074B" w:rsidP="00C43692">
      <w:pPr>
        <w:pStyle w:val="BodyText"/>
        <w:tabs>
          <w:tab w:val="left" w:pos="1418"/>
        </w:tabs>
        <w:ind w:left="2160" w:hanging="1451"/>
        <w:rPr>
          <w:sz w:val="24"/>
        </w:rPr>
      </w:pPr>
      <w:r w:rsidRPr="0045074B">
        <w:rPr>
          <w:sz w:val="24"/>
        </w:rPr>
        <w:t xml:space="preserve">(a) </w:t>
      </w:r>
      <w:r w:rsidR="00C43692">
        <w:rPr>
          <w:sz w:val="24"/>
        </w:rPr>
        <w:tab/>
      </w:r>
      <w:r w:rsidRPr="0045074B">
        <w:rPr>
          <w:sz w:val="24"/>
        </w:rPr>
        <w:t>(</w:t>
      </w:r>
      <w:proofErr w:type="gramStart"/>
      <w:r w:rsidRPr="0045074B">
        <w:rPr>
          <w:sz w:val="24"/>
        </w:rPr>
        <w:t>i</w:t>
      </w:r>
      <w:proofErr w:type="gramEnd"/>
      <w:r w:rsidRPr="0045074B">
        <w:rPr>
          <w:sz w:val="24"/>
        </w:rPr>
        <w:t>)</w:t>
      </w:r>
      <w:r w:rsidRPr="0045074B">
        <w:rPr>
          <w:sz w:val="24"/>
        </w:rPr>
        <w:tab/>
        <w:t xml:space="preserve">There is definitely a shortage, but it is difficult to determine the true extend of the deficit as it depends on what the standard is. </w:t>
      </w:r>
    </w:p>
    <w:p w:rsidR="0045074B" w:rsidRPr="0045074B" w:rsidRDefault="0045074B" w:rsidP="0045074B">
      <w:pPr>
        <w:pStyle w:val="BodyText"/>
        <w:rPr>
          <w:b/>
          <w:bCs/>
          <w:sz w:val="24"/>
        </w:rPr>
      </w:pPr>
    </w:p>
    <w:p w:rsidR="0045074B" w:rsidRPr="0045074B" w:rsidRDefault="0045074B" w:rsidP="00C43692">
      <w:pPr>
        <w:pStyle w:val="BodyText"/>
        <w:ind w:left="720" w:firstLine="720"/>
        <w:rPr>
          <w:sz w:val="24"/>
        </w:rPr>
      </w:pPr>
      <w:r w:rsidRPr="0045074B">
        <w:rPr>
          <w:sz w:val="24"/>
        </w:rPr>
        <w:t>(ii)</w:t>
      </w:r>
      <w:r w:rsidRPr="0045074B">
        <w:rPr>
          <w:sz w:val="24"/>
        </w:rPr>
        <w:tab/>
        <w:t xml:space="preserve">The </w:t>
      </w:r>
      <w:r w:rsidRPr="0045074B">
        <w:rPr>
          <w:sz w:val="24"/>
          <w:u w:val="single"/>
        </w:rPr>
        <w:t>total</w:t>
      </w:r>
      <w:r w:rsidRPr="0045074B">
        <w:rPr>
          <w:sz w:val="24"/>
        </w:rPr>
        <w:t xml:space="preserve"> budget allocation breakdown for </w:t>
      </w:r>
      <w:proofErr w:type="spellStart"/>
      <w:r w:rsidRPr="0045074B">
        <w:rPr>
          <w:sz w:val="24"/>
        </w:rPr>
        <w:t>Programme</w:t>
      </w:r>
      <w:proofErr w:type="spellEnd"/>
      <w:r w:rsidRPr="0045074B">
        <w:rPr>
          <w:sz w:val="24"/>
        </w:rPr>
        <w:t xml:space="preserve"> 2 is:</w:t>
      </w:r>
    </w:p>
    <w:p w:rsidR="0045074B" w:rsidRPr="0045074B" w:rsidRDefault="0045074B" w:rsidP="0045074B">
      <w:pPr>
        <w:pStyle w:val="BodyText"/>
        <w:rPr>
          <w:sz w:val="24"/>
        </w:rPr>
      </w:pPr>
    </w:p>
    <w:tbl>
      <w:tblPr>
        <w:tblW w:w="7938" w:type="dxa"/>
        <w:tblInd w:w="2376" w:type="dxa"/>
        <w:tblCellMar>
          <w:left w:w="0" w:type="dxa"/>
          <w:right w:w="0" w:type="dxa"/>
        </w:tblCellMar>
        <w:tblLook w:val="04A0" w:firstRow="1" w:lastRow="0" w:firstColumn="1" w:lastColumn="0" w:noHBand="0" w:noVBand="1"/>
      </w:tblPr>
      <w:tblGrid>
        <w:gridCol w:w="5103"/>
        <w:gridCol w:w="2835"/>
      </w:tblGrid>
      <w:tr w:rsidR="0045074B" w:rsidRPr="0045074B" w:rsidTr="00C43692">
        <w:trPr>
          <w:trHeight w:val="290"/>
        </w:trPr>
        <w:tc>
          <w:tcPr>
            <w:tcW w:w="510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074B" w:rsidRPr="0045074B" w:rsidRDefault="0045074B" w:rsidP="0045074B">
            <w:pPr>
              <w:pStyle w:val="BodyText"/>
              <w:rPr>
                <w:b/>
                <w:bCs/>
                <w:sz w:val="24"/>
              </w:rPr>
            </w:pPr>
            <w:r w:rsidRPr="0045074B">
              <w:rPr>
                <w:b/>
                <w:bCs/>
                <w:sz w:val="24"/>
              </w:rPr>
              <w:t>Sub-</w:t>
            </w:r>
            <w:proofErr w:type="spellStart"/>
            <w:r w:rsidRPr="0045074B">
              <w:rPr>
                <w:b/>
                <w:bCs/>
                <w:sz w:val="24"/>
              </w:rPr>
              <w:t>programme</w:t>
            </w:r>
            <w:proofErr w:type="spellEnd"/>
          </w:p>
        </w:tc>
        <w:tc>
          <w:tcPr>
            <w:tcW w:w="283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5074B" w:rsidRPr="0045074B" w:rsidRDefault="0045074B" w:rsidP="0045074B">
            <w:pPr>
              <w:pStyle w:val="BodyText"/>
              <w:rPr>
                <w:b/>
                <w:bCs/>
                <w:sz w:val="24"/>
              </w:rPr>
            </w:pPr>
            <w:r w:rsidRPr="0045074B">
              <w:rPr>
                <w:b/>
                <w:bCs/>
                <w:sz w:val="24"/>
              </w:rPr>
              <w:t xml:space="preserve">2016/2017 </w:t>
            </w:r>
          </w:p>
        </w:tc>
      </w:tr>
      <w:tr w:rsidR="0045074B" w:rsidRPr="0045074B" w:rsidTr="00C43692">
        <w:trPr>
          <w:trHeight w:val="290"/>
        </w:trPr>
        <w:tc>
          <w:tcPr>
            <w:tcW w:w="51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074B" w:rsidRPr="0045074B" w:rsidRDefault="0045074B" w:rsidP="0045074B">
            <w:pPr>
              <w:pStyle w:val="BodyText"/>
              <w:rPr>
                <w:sz w:val="24"/>
              </w:rPr>
            </w:pPr>
            <w:r w:rsidRPr="0045074B">
              <w:rPr>
                <w:sz w:val="24"/>
              </w:rPr>
              <w:t>2.1 - District Management</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074B" w:rsidRPr="0045074B" w:rsidRDefault="0045074B" w:rsidP="0045074B">
            <w:pPr>
              <w:pStyle w:val="BodyText"/>
              <w:rPr>
                <w:sz w:val="24"/>
              </w:rPr>
            </w:pPr>
            <w:r w:rsidRPr="0045074B">
              <w:rPr>
                <w:sz w:val="24"/>
              </w:rPr>
              <w:t xml:space="preserve">                     341 455 </w:t>
            </w:r>
          </w:p>
        </w:tc>
      </w:tr>
      <w:tr w:rsidR="0045074B" w:rsidRPr="0045074B" w:rsidTr="00C43692">
        <w:trPr>
          <w:trHeight w:val="290"/>
        </w:trPr>
        <w:tc>
          <w:tcPr>
            <w:tcW w:w="51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074B" w:rsidRPr="0045074B" w:rsidRDefault="0045074B" w:rsidP="0045074B">
            <w:pPr>
              <w:pStyle w:val="BodyText"/>
              <w:rPr>
                <w:sz w:val="24"/>
              </w:rPr>
            </w:pPr>
            <w:r w:rsidRPr="0045074B">
              <w:rPr>
                <w:sz w:val="24"/>
              </w:rPr>
              <w:t>2.2 - Community Health Clinics</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074B" w:rsidRPr="0045074B" w:rsidRDefault="0045074B" w:rsidP="0045074B">
            <w:pPr>
              <w:pStyle w:val="BodyText"/>
              <w:rPr>
                <w:sz w:val="24"/>
              </w:rPr>
            </w:pPr>
            <w:r w:rsidRPr="0045074B">
              <w:rPr>
                <w:sz w:val="24"/>
              </w:rPr>
              <w:t xml:space="preserve">                  1 170 680 </w:t>
            </w:r>
          </w:p>
        </w:tc>
      </w:tr>
      <w:tr w:rsidR="0045074B" w:rsidRPr="0045074B" w:rsidTr="00C43692">
        <w:trPr>
          <w:trHeight w:val="290"/>
        </w:trPr>
        <w:tc>
          <w:tcPr>
            <w:tcW w:w="51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074B" w:rsidRPr="0045074B" w:rsidRDefault="0045074B" w:rsidP="0045074B">
            <w:pPr>
              <w:pStyle w:val="BodyText"/>
              <w:rPr>
                <w:sz w:val="24"/>
              </w:rPr>
            </w:pPr>
            <w:r w:rsidRPr="0045074B">
              <w:rPr>
                <w:sz w:val="24"/>
              </w:rPr>
              <w:t xml:space="preserve">2.3 - Community Health </w:t>
            </w:r>
            <w:proofErr w:type="spellStart"/>
            <w:r w:rsidRPr="0045074B">
              <w:rPr>
                <w:sz w:val="24"/>
              </w:rPr>
              <w:t>Centres</w:t>
            </w:r>
            <w:proofErr w:type="spellEnd"/>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074B" w:rsidRPr="0045074B" w:rsidRDefault="0045074B" w:rsidP="0045074B">
            <w:pPr>
              <w:pStyle w:val="BodyText"/>
              <w:rPr>
                <w:sz w:val="24"/>
              </w:rPr>
            </w:pPr>
            <w:r w:rsidRPr="0045074B">
              <w:rPr>
                <w:sz w:val="24"/>
              </w:rPr>
              <w:t xml:space="preserve">                  1 862 828 </w:t>
            </w:r>
          </w:p>
        </w:tc>
      </w:tr>
      <w:tr w:rsidR="0045074B" w:rsidRPr="0045074B" w:rsidTr="00C43692">
        <w:trPr>
          <w:trHeight w:val="290"/>
        </w:trPr>
        <w:tc>
          <w:tcPr>
            <w:tcW w:w="51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074B" w:rsidRPr="0045074B" w:rsidRDefault="0045074B" w:rsidP="0045074B">
            <w:pPr>
              <w:pStyle w:val="BodyText"/>
              <w:rPr>
                <w:sz w:val="24"/>
              </w:rPr>
            </w:pPr>
            <w:r w:rsidRPr="0045074B">
              <w:rPr>
                <w:sz w:val="24"/>
              </w:rPr>
              <w:t>2.4 - Community Based Services</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074B" w:rsidRPr="0045074B" w:rsidRDefault="0045074B" w:rsidP="0045074B">
            <w:pPr>
              <w:pStyle w:val="BodyText"/>
              <w:rPr>
                <w:sz w:val="24"/>
              </w:rPr>
            </w:pPr>
            <w:r w:rsidRPr="0045074B">
              <w:rPr>
                <w:sz w:val="24"/>
              </w:rPr>
              <w:t xml:space="preserve">                     193 787 </w:t>
            </w:r>
          </w:p>
        </w:tc>
      </w:tr>
      <w:tr w:rsidR="0045074B" w:rsidRPr="0045074B" w:rsidTr="00C43692">
        <w:trPr>
          <w:trHeight w:val="290"/>
        </w:trPr>
        <w:tc>
          <w:tcPr>
            <w:tcW w:w="51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074B" w:rsidRPr="0045074B" w:rsidRDefault="0045074B" w:rsidP="0045074B">
            <w:pPr>
              <w:pStyle w:val="BodyText"/>
              <w:rPr>
                <w:sz w:val="24"/>
              </w:rPr>
            </w:pPr>
            <w:r w:rsidRPr="0045074B">
              <w:rPr>
                <w:sz w:val="24"/>
              </w:rPr>
              <w:t>2.5 - Other Community Based Services</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074B" w:rsidRPr="0045074B" w:rsidRDefault="0045074B" w:rsidP="0045074B">
            <w:pPr>
              <w:pStyle w:val="BodyText"/>
              <w:rPr>
                <w:sz w:val="24"/>
              </w:rPr>
            </w:pPr>
            <w:r w:rsidRPr="0045074B">
              <w:rPr>
                <w:sz w:val="24"/>
              </w:rPr>
              <w:t xml:space="preserve">                                 1 </w:t>
            </w:r>
          </w:p>
        </w:tc>
      </w:tr>
      <w:tr w:rsidR="0045074B" w:rsidRPr="0045074B" w:rsidTr="00C43692">
        <w:trPr>
          <w:trHeight w:val="290"/>
        </w:trPr>
        <w:tc>
          <w:tcPr>
            <w:tcW w:w="51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074B" w:rsidRPr="0045074B" w:rsidRDefault="0045074B" w:rsidP="0045074B">
            <w:pPr>
              <w:pStyle w:val="BodyText"/>
              <w:rPr>
                <w:sz w:val="24"/>
              </w:rPr>
            </w:pPr>
            <w:r w:rsidRPr="0045074B">
              <w:rPr>
                <w:sz w:val="24"/>
              </w:rPr>
              <w:t>2.6 - HIV/Aids</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074B" w:rsidRPr="0045074B" w:rsidRDefault="0045074B" w:rsidP="0045074B">
            <w:pPr>
              <w:pStyle w:val="BodyText"/>
              <w:rPr>
                <w:sz w:val="24"/>
              </w:rPr>
            </w:pPr>
            <w:r w:rsidRPr="0045074B">
              <w:rPr>
                <w:sz w:val="24"/>
              </w:rPr>
              <w:t xml:space="preserve">                  1 341 104 </w:t>
            </w:r>
          </w:p>
        </w:tc>
      </w:tr>
      <w:tr w:rsidR="0045074B" w:rsidRPr="0045074B" w:rsidTr="00C43692">
        <w:trPr>
          <w:trHeight w:val="290"/>
        </w:trPr>
        <w:tc>
          <w:tcPr>
            <w:tcW w:w="51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074B" w:rsidRPr="0045074B" w:rsidRDefault="0045074B" w:rsidP="0045074B">
            <w:pPr>
              <w:pStyle w:val="BodyText"/>
              <w:rPr>
                <w:sz w:val="24"/>
              </w:rPr>
            </w:pPr>
            <w:r w:rsidRPr="0045074B">
              <w:rPr>
                <w:sz w:val="24"/>
              </w:rPr>
              <w:t>2.7 - Nutrition</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074B" w:rsidRPr="0045074B" w:rsidRDefault="0045074B" w:rsidP="0045074B">
            <w:pPr>
              <w:pStyle w:val="BodyText"/>
              <w:rPr>
                <w:sz w:val="24"/>
              </w:rPr>
            </w:pPr>
            <w:r w:rsidRPr="0045074B">
              <w:rPr>
                <w:sz w:val="24"/>
              </w:rPr>
              <w:t xml:space="preserve">                       44 087 </w:t>
            </w:r>
          </w:p>
        </w:tc>
      </w:tr>
      <w:tr w:rsidR="0045074B" w:rsidRPr="0045074B" w:rsidTr="00C43692">
        <w:trPr>
          <w:trHeight w:val="290"/>
        </w:trPr>
        <w:tc>
          <w:tcPr>
            <w:tcW w:w="51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074B" w:rsidRPr="0045074B" w:rsidRDefault="0045074B" w:rsidP="0045074B">
            <w:pPr>
              <w:pStyle w:val="BodyText"/>
              <w:rPr>
                <w:sz w:val="24"/>
              </w:rPr>
            </w:pPr>
            <w:r w:rsidRPr="0045074B">
              <w:rPr>
                <w:sz w:val="24"/>
              </w:rPr>
              <w:t>2.8 - Coroner Services</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074B" w:rsidRPr="0045074B" w:rsidRDefault="0045074B" w:rsidP="0045074B">
            <w:pPr>
              <w:pStyle w:val="BodyText"/>
              <w:rPr>
                <w:sz w:val="24"/>
              </w:rPr>
            </w:pPr>
            <w:r w:rsidRPr="0045074B">
              <w:rPr>
                <w:sz w:val="24"/>
              </w:rPr>
              <w:t xml:space="preserve">                                 1 </w:t>
            </w:r>
          </w:p>
        </w:tc>
      </w:tr>
      <w:tr w:rsidR="0045074B" w:rsidRPr="0045074B" w:rsidTr="00C43692">
        <w:trPr>
          <w:trHeight w:val="290"/>
        </w:trPr>
        <w:tc>
          <w:tcPr>
            <w:tcW w:w="51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074B" w:rsidRPr="0045074B" w:rsidRDefault="0045074B" w:rsidP="0045074B">
            <w:pPr>
              <w:pStyle w:val="BodyText"/>
              <w:rPr>
                <w:sz w:val="24"/>
              </w:rPr>
            </w:pPr>
            <w:r w:rsidRPr="0045074B">
              <w:rPr>
                <w:sz w:val="24"/>
              </w:rPr>
              <w:t>2.9 - District Hospitals</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074B" w:rsidRPr="0045074B" w:rsidRDefault="0045074B" w:rsidP="0045074B">
            <w:pPr>
              <w:pStyle w:val="BodyText"/>
              <w:rPr>
                <w:sz w:val="24"/>
              </w:rPr>
            </w:pPr>
            <w:r w:rsidRPr="0045074B">
              <w:rPr>
                <w:sz w:val="24"/>
              </w:rPr>
              <w:t xml:space="preserve">                  2 872 373 </w:t>
            </w:r>
          </w:p>
        </w:tc>
      </w:tr>
    </w:tbl>
    <w:p w:rsidR="0045074B" w:rsidRPr="0045074B" w:rsidRDefault="0045074B" w:rsidP="0045074B">
      <w:pPr>
        <w:pStyle w:val="BodyText"/>
        <w:rPr>
          <w:sz w:val="24"/>
        </w:rPr>
      </w:pPr>
    </w:p>
    <w:p w:rsidR="0045074B" w:rsidRPr="0045074B" w:rsidRDefault="0045074B" w:rsidP="00C43692">
      <w:pPr>
        <w:pStyle w:val="BodyText"/>
        <w:ind w:left="1485" w:hanging="765"/>
        <w:rPr>
          <w:sz w:val="24"/>
        </w:rPr>
      </w:pPr>
      <w:r w:rsidRPr="0045074B">
        <w:rPr>
          <w:sz w:val="24"/>
        </w:rPr>
        <w:t>(b)</w:t>
      </w:r>
      <w:r w:rsidRPr="0045074B">
        <w:rPr>
          <w:sz w:val="24"/>
        </w:rPr>
        <w:tab/>
        <w:t>The Western Cape Department of Health’s portion of the total provincial budget is R19.9billion thus equating to 36.33%. The total budget allocation for Primary Health Care out of the overall allocation is 39.2%</w:t>
      </w:r>
    </w:p>
    <w:p w:rsidR="00AF11C7" w:rsidRPr="00D73A46" w:rsidRDefault="00AF11C7" w:rsidP="00107743">
      <w:pPr>
        <w:pStyle w:val="BodyText"/>
        <w:rPr>
          <w:sz w:val="24"/>
          <w:lang w:val="en-GB"/>
        </w:rPr>
      </w:pPr>
    </w:p>
    <w:p w:rsidR="00D73A46" w:rsidRPr="00D73A46" w:rsidRDefault="00D73A46" w:rsidP="00D73A46">
      <w:pPr>
        <w:pStyle w:val="BodyText"/>
        <w:rPr>
          <w:sz w:val="24"/>
          <w:lang w:val="en-GB"/>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8"/>
      <w:footerReference w:type="default" r:id="rId9"/>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116" w:rsidRDefault="00A53116">
      <w:r>
        <w:separator/>
      </w:r>
    </w:p>
  </w:endnote>
  <w:endnote w:type="continuationSeparator" w:id="0">
    <w:p w:rsidR="00A53116" w:rsidRDefault="00A5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F60" w:rsidRDefault="007C453D">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F60" w:rsidRDefault="007C453D">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D94BDA">
      <w:rPr>
        <w:rStyle w:val="PageNumber"/>
        <w:noProof/>
        <w:lang w:val="en-US"/>
      </w:rPr>
      <w:t>5</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116" w:rsidRDefault="00A53116">
      <w:r>
        <w:separator/>
      </w:r>
    </w:p>
  </w:footnote>
  <w:footnote w:type="continuationSeparator" w:id="0">
    <w:p w:rsidR="00A53116" w:rsidRDefault="00A531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03CB"/>
    <w:multiLevelType w:val="hybridMultilevel"/>
    <w:tmpl w:val="69DC93DC"/>
    <w:lvl w:ilvl="0" w:tplc="0409000D">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A337FDE"/>
    <w:multiLevelType w:val="hybridMultilevel"/>
    <w:tmpl w:val="5CBADBD6"/>
    <w:lvl w:ilvl="0" w:tplc="AF28FF30">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4">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6">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6B13831"/>
    <w:multiLevelType w:val="hybridMultilevel"/>
    <w:tmpl w:val="DE8C234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6B25435"/>
    <w:multiLevelType w:val="hybridMultilevel"/>
    <w:tmpl w:val="A0460DCC"/>
    <w:lvl w:ilvl="0" w:tplc="561CFC0A">
      <w:start w:val="1"/>
      <w:numFmt w:val="lowerLetter"/>
      <w:lvlText w:val="(%1)"/>
      <w:lvlJc w:val="left"/>
      <w:pPr>
        <w:ind w:left="3660" w:hanging="420"/>
      </w:pPr>
      <w:rPr>
        <w:rFonts w:hint="default"/>
      </w:rPr>
    </w:lvl>
    <w:lvl w:ilvl="1" w:tplc="1C090019" w:tentative="1">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12">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4">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7A4F4B"/>
    <w:multiLevelType w:val="hybridMultilevel"/>
    <w:tmpl w:val="CCA4579E"/>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A936580"/>
    <w:multiLevelType w:val="hybridMultilevel"/>
    <w:tmpl w:val="5E5A31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4">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4">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37"/>
  </w:num>
  <w:num w:numId="5">
    <w:abstractNumId w:val="30"/>
  </w:num>
  <w:num w:numId="6">
    <w:abstractNumId w:val="32"/>
  </w:num>
  <w:num w:numId="7">
    <w:abstractNumId w:val="26"/>
  </w:num>
  <w:num w:numId="8">
    <w:abstractNumId w:val="14"/>
  </w:num>
  <w:num w:numId="9">
    <w:abstractNumId w:val="6"/>
  </w:num>
  <w:num w:numId="10">
    <w:abstractNumId w:val="25"/>
  </w:num>
  <w:num w:numId="11">
    <w:abstractNumId w:val="39"/>
  </w:num>
  <w:num w:numId="12">
    <w:abstractNumId w:val="4"/>
  </w:num>
  <w:num w:numId="13">
    <w:abstractNumId w:val="40"/>
  </w:num>
  <w:num w:numId="14">
    <w:abstractNumId w:val="31"/>
  </w:num>
  <w:num w:numId="15">
    <w:abstractNumId w:val="8"/>
  </w:num>
  <w:num w:numId="16">
    <w:abstractNumId w:val="2"/>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4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1"/>
  </w:num>
  <w:num w:numId="24">
    <w:abstractNumId w:val="9"/>
  </w:num>
  <w:num w:numId="25">
    <w:abstractNumId w:val="36"/>
  </w:num>
  <w:num w:numId="26">
    <w:abstractNumId w:val="22"/>
  </w:num>
  <w:num w:numId="27">
    <w:abstractNumId w:val="41"/>
  </w:num>
  <w:num w:numId="28">
    <w:abstractNumId w:val="35"/>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2"/>
  </w:num>
  <w:num w:numId="32">
    <w:abstractNumId w:val="43"/>
  </w:num>
  <w:num w:numId="33">
    <w:abstractNumId w:val="17"/>
  </w:num>
  <w:num w:numId="34">
    <w:abstractNumId w:val="19"/>
  </w:num>
  <w:num w:numId="35">
    <w:abstractNumId w:val="38"/>
  </w:num>
  <w:num w:numId="36">
    <w:abstractNumId w:val="7"/>
  </w:num>
  <w:num w:numId="37">
    <w:abstractNumId w:val="28"/>
  </w:num>
  <w:num w:numId="38">
    <w:abstractNumId w:val="18"/>
  </w:num>
  <w:num w:numId="39">
    <w:abstractNumId w:val="45"/>
  </w:num>
  <w:num w:numId="40">
    <w:abstractNumId w:val="33"/>
  </w:num>
  <w:num w:numId="41">
    <w:abstractNumId w:val="1"/>
  </w:num>
  <w:num w:numId="42">
    <w:abstractNumId w:val="15"/>
  </w:num>
  <w:num w:numId="43">
    <w:abstractNumId w:val="0"/>
  </w:num>
  <w:num w:numId="44">
    <w:abstractNumId w:val="10"/>
  </w:num>
  <w:num w:numId="45">
    <w:abstractNumId w:val="20"/>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051"/>
    <w:rsid w:val="00007447"/>
    <w:rsid w:val="00012AE9"/>
    <w:rsid w:val="00025DC9"/>
    <w:rsid w:val="0004183B"/>
    <w:rsid w:val="00056AD2"/>
    <w:rsid w:val="00067DAB"/>
    <w:rsid w:val="00072404"/>
    <w:rsid w:val="0007341B"/>
    <w:rsid w:val="00074929"/>
    <w:rsid w:val="00081C7A"/>
    <w:rsid w:val="0008767D"/>
    <w:rsid w:val="00090E86"/>
    <w:rsid w:val="000960D7"/>
    <w:rsid w:val="000A20B0"/>
    <w:rsid w:val="000B4AB8"/>
    <w:rsid w:val="000F059B"/>
    <w:rsid w:val="000F3BF5"/>
    <w:rsid w:val="000F50B5"/>
    <w:rsid w:val="00103056"/>
    <w:rsid w:val="00103544"/>
    <w:rsid w:val="00107743"/>
    <w:rsid w:val="0011153B"/>
    <w:rsid w:val="001126D2"/>
    <w:rsid w:val="00134634"/>
    <w:rsid w:val="00150F90"/>
    <w:rsid w:val="00160BDE"/>
    <w:rsid w:val="001646AE"/>
    <w:rsid w:val="001651E2"/>
    <w:rsid w:val="00186E43"/>
    <w:rsid w:val="001A5759"/>
    <w:rsid w:val="001B62F5"/>
    <w:rsid w:val="001B67CA"/>
    <w:rsid w:val="001C0252"/>
    <w:rsid w:val="001C2FB1"/>
    <w:rsid w:val="001C433A"/>
    <w:rsid w:val="001C4B60"/>
    <w:rsid w:val="001D2E01"/>
    <w:rsid w:val="001E53FE"/>
    <w:rsid w:val="001E6713"/>
    <w:rsid w:val="001E7247"/>
    <w:rsid w:val="00202CF5"/>
    <w:rsid w:val="002242A9"/>
    <w:rsid w:val="00233C3B"/>
    <w:rsid w:val="0024216E"/>
    <w:rsid w:val="00252CCB"/>
    <w:rsid w:val="00267FDF"/>
    <w:rsid w:val="00271665"/>
    <w:rsid w:val="002A0E7D"/>
    <w:rsid w:val="002A5288"/>
    <w:rsid w:val="002B20CB"/>
    <w:rsid w:val="002B32D0"/>
    <w:rsid w:val="002E3FA9"/>
    <w:rsid w:val="002F747D"/>
    <w:rsid w:val="00300051"/>
    <w:rsid w:val="00311920"/>
    <w:rsid w:val="0031798D"/>
    <w:rsid w:val="00330A1B"/>
    <w:rsid w:val="00337FE4"/>
    <w:rsid w:val="00346CE1"/>
    <w:rsid w:val="0034705D"/>
    <w:rsid w:val="00355BB7"/>
    <w:rsid w:val="00357A10"/>
    <w:rsid w:val="00366B08"/>
    <w:rsid w:val="00366E06"/>
    <w:rsid w:val="0039184B"/>
    <w:rsid w:val="003A1B0E"/>
    <w:rsid w:val="003B0C88"/>
    <w:rsid w:val="003D6B80"/>
    <w:rsid w:val="003E0AC8"/>
    <w:rsid w:val="003E5508"/>
    <w:rsid w:val="003F3650"/>
    <w:rsid w:val="003F3EB8"/>
    <w:rsid w:val="003F693D"/>
    <w:rsid w:val="003F6F06"/>
    <w:rsid w:val="0040781B"/>
    <w:rsid w:val="00430D20"/>
    <w:rsid w:val="0043313B"/>
    <w:rsid w:val="00434530"/>
    <w:rsid w:val="0043501B"/>
    <w:rsid w:val="00435FC4"/>
    <w:rsid w:val="004456A9"/>
    <w:rsid w:val="0045074B"/>
    <w:rsid w:val="0047454A"/>
    <w:rsid w:val="0048302D"/>
    <w:rsid w:val="00483FEE"/>
    <w:rsid w:val="00487E16"/>
    <w:rsid w:val="004A25DE"/>
    <w:rsid w:val="004B1268"/>
    <w:rsid w:val="004B3491"/>
    <w:rsid w:val="004C5286"/>
    <w:rsid w:val="004C740F"/>
    <w:rsid w:val="004D4DBF"/>
    <w:rsid w:val="004F42DD"/>
    <w:rsid w:val="004F7C1A"/>
    <w:rsid w:val="0050347C"/>
    <w:rsid w:val="00510229"/>
    <w:rsid w:val="0051126E"/>
    <w:rsid w:val="005117E9"/>
    <w:rsid w:val="00525127"/>
    <w:rsid w:val="00530491"/>
    <w:rsid w:val="00540171"/>
    <w:rsid w:val="0054370C"/>
    <w:rsid w:val="005444C6"/>
    <w:rsid w:val="00547112"/>
    <w:rsid w:val="005500AE"/>
    <w:rsid w:val="00550CF9"/>
    <w:rsid w:val="0055331A"/>
    <w:rsid w:val="00557CEE"/>
    <w:rsid w:val="0056205A"/>
    <w:rsid w:val="00570065"/>
    <w:rsid w:val="00576020"/>
    <w:rsid w:val="0058358E"/>
    <w:rsid w:val="005937C8"/>
    <w:rsid w:val="005C171D"/>
    <w:rsid w:val="005C4284"/>
    <w:rsid w:val="005C491B"/>
    <w:rsid w:val="005D55C6"/>
    <w:rsid w:val="005D7A2A"/>
    <w:rsid w:val="005E1FBC"/>
    <w:rsid w:val="005E7BF6"/>
    <w:rsid w:val="00610BC7"/>
    <w:rsid w:val="006175C7"/>
    <w:rsid w:val="00623E12"/>
    <w:rsid w:val="00635745"/>
    <w:rsid w:val="00635890"/>
    <w:rsid w:val="00637291"/>
    <w:rsid w:val="0063794C"/>
    <w:rsid w:val="00646F50"/>
    <w:rsid w:val="006664AE"/>
    <w:rsid w:val="006779D4"/>
    <w:rsid w:val="00683343"/>
    <w:rsid w:val="006A34EA"/>
    <w:rsid w:val="006C67FA"/>
    <w:rsid w:val="006E6C41"/>
    <w:rsid w:val="006E77B3"/>
    <w:rsid w:val="006E7C45"/>
    <w:rsid w:val="006F221E"/>
    <w:rsid w:val="006F4912"/>
    <w:rsid w:val="006F501B"/>
    <w:rsid w:val="006F7E16"/>
    <w:rsid w:val="00721839"/>
    <w:rsid w:val="00735915"/>
    <w:rsid w:val="00762416"/>
    <w:rsid w:val="00770C17"/>
    <w:rsid w:val="00771EB2"/>
    <w:rsid w:val="00773A22"/>
    <w:rsid w:val="007A0D02"/>
    <w:rsid w:val="007A3E1B"/>
    <w:rsid w:val="007A6FF8"/>
    <w:rsid w:val="007C1F51"/>
    <w:rsid w:val="007C453D"/>
    <w:rsid w:val="007E6493"/>
    <w:rsid w:val="007E6896"/>
    <w:rsid w:val="007F547F"/>
    <w:rsid w:val="007F6D34"/>
    <w:rsid w:val="00802311"/>
    <w:rsid w:val="008027EE"/>
    <w:rsid w:val="008067F9"/>
    <w:rsid w:val="0081272C"/>
    <w:rsid w:val="00815BE6"/>
    <w:rsid w:val="00827A03"/>
    <w:rsid w:val="0084076E"/>
    <w:rsid w:val="00846CD4"/>
    <w:rsid w:val="008603CC"/>
    <w:rsid w:val="0086637B"/>
    <w:rsid w:val="00891B7A"/>
    <w:rsid w:val="008A2BAB"/>
    <w:rsid w:val="008A34C5"/>
    <w:rsid w:val="008B7C94"/>
    <w:rsid w:val="008C0456"/>
    <w:rsid w:val="008C3326"/>
    <w:rsid w:val="008D2430"/>
    <w:rsid w:val="008D437A"/>
    <w:rsid w:val="008D749E"/>
    <w:rsid w:val="008F081F"/>
    <w:rsid w:val="008F1C96"/>
    <w:rsid w:val="0090105B"/>
    <w:rsid w:val="009112C9"/>
    <w:rsid w:val="0091259B"/>
    <w:rsid w:val="00921664"/>
    <w:rsid w:val="00923623"/>
    <w:rsid w:val="0092641E"/>
    <w:rsid w:val="00931B18"/>
    <w:rsid w:val="009342E8"/>
    <w:rsid w:val="00952EC0"/>
    <w:rsid w:val="00960541"/>
    <w:rsid w:val="00967924"/>
    <w:rsid w:val="009756B6"/>
    <w:rsid w:val="009855D2"/>
    <w:rsid w:val="009873B3"/>
    <w:rsid w:val="009922DD"/>
    <w:rsid w:val="00993155"/>
    <w:rsid w:val="00997EC4"/>
    <w:rsid w:val="009A2424"/>
    <w:rsid w:val="009A3F64"/>
    <w:rsid w:val="009C00C3"/>
    <w:rsid w:val="009D2E42"/>
    <w:rsid w:val="009D3DA5"/>
    <w:rsid w:val="009D62A1"/>
    <w:rsid w:val="009E05A5"/>
    <w:rsid w:val="009E6D1C"/>
    <w:rsid w:val="009F075E"/>
    <w:rsid w:val="009F0BA7"/>
    <w:rsid w:val="00A041C1"/>
    <w:rsid w:val="00A0613D"/>
    <w:rsid w:val="00A078D4"/>
    <w:rsid w:val="00A13AC5"/>
    <w:rsid w:val="00A13D92"/>
    <w:rsid w:val="00A143B4"/>
    <w:rsid w:val="00A17235"/>
    <w:rsid w:val="00A17A8A"/>
    <w:rsid w:val="00A24207"/>
    <w:rsid w:val="00A24CAA"/>
    <w:rsid w:val="00A41FC8"/>
    <w:rsid w:val="00A42F9C"/>
    <w:rsid w:val="00A431D7"/>
    <w:rsid w:val="00A51CEC"/>
    <w:rsid w:val="00A53116"/>
    <w:rsid w:val="00A6048F"/>
    <w:rsid w:val="00A7509E"/>
    <w:rsid w:val="00A80F10"/>
    <w:rsid w:val="00A87CFA"/>
    <w:rsid w:val="00AB0EAC"/>
    <w:rsid w:val="00AB3C74"/>
    <w:rsid w:val="00AC6AC3"/>
    <w:rsid w:val="00AD5F10"/>
    <w:rsid w:val="00AF11C7"/>
    <w:rsid w:val="00B0762E"/>
    <w:rsid w:val="00B23C6B"/>
    <w:rsid w:val="00B2423A"/>
    <w:rsid w:val="00B30D8D"/>
    <w:rsid w:val="00B33E9A"/>
    <w:rsid w:val="00B353AB"/>
    <w:rsid w:val="00B37F60"/>
    <w:rsid w:val="00B41548"/>
    <w:rsid w:val="00B519E0"/>
    <w:rsid w:val="00B561F9"/>
    <w:rsid w:val="00B6102B"/>
    <w:rsid w:val="00B612C9"/>
    <w:rsid w:val="00B63926"/>
    <w:rsid w:val="00B85B77"/>
    <w:rsid w:val="00B87D92"/>
    <w:rsid w:val="00B9163D"/>
    <w:rsid w:val="00BC6E9C"/>
    <w:rsid w:val="00BC7E1F"/>
    <w:rsid w:val="00BD4034"/>
    <w:rsid w:val="00BE5AF9"/>
    <w:rsid w:val="00BF35AB"/>
    <w:rsid w:val="00BF5E3F"/>
    <w:rsid w:val="00C0227C"/>
    <w:rsid w:val="00C063AA"/>
    <w:rsid w:val="00C26148"/>
    <w:rsid w:val="00C41194"/>
    <w:rsid w:val="00C43692"/>
    <w:rsid w:val="00C461AD"/>
    <w:rsid w:val="00C50944"/>
    <w:rsid w:val="00C52573"/>
    <w:rsid w:val="00C61949"/>
    <w:rsid w:val="00C71939"/>
    <w:rsid w:val="00C723FE"/>
    <w:rsid w:val="00C82762"/>
    <w:rsid w:val="00C91D4D"/>
    <w:rsid w:val="00C97997"/>
    <w:rsid w:val="00CA0E36"/>
    <w:rsid w:val="00CB41D7"/>
    <w:rsid w:val="00CB7B23"/>
    <w:rsid w:val="00CF60D1"/>
    <w:rsid w:val="00D034F1"/>
    <w:rsid w:val="00D04106"/>
    <w:rsid w:val="00D05EA8"/>
    <w:rsid w:val="00D05FA5"/>
    <w:rsid w:val="00D06D6D"/>
    <w:rsid w:val="00D07FF1"/>
    <w:rsid w:val="00D21320"/>
    <w:rsid w:val="00D21DC3"/>
    <w:rsid w:val="00D223AF"/>
    <w:rsid w:val="00D23E84"/>
    <w:rsid w:val="00D45BA5"/>
    <w:rsid w:val="00D50BCC"/>
    <w:rsid w:val="00D5344B"/>
    <w:rsid w:val="00D5360E"/>
    <w:rsid w:val="00D67753"/>
    <w:rsid w:val="00D7008E"/>
    <w:rsid w:val="00D73A46"/>
    <w:rsid w:val="00D75166"/>
    <w:rsid w:val="00D81183"/>
    <w:rsid w:val="00D821B8"/>
    <w:rsid w:val="00D84AEC"/>
    <w:rsid w:val="00D94626"/>
    <w:rsid w:val="00D94BDA"/>
    <w:rsid w:val="00DA3E25"/>
    <w:rsid w:val="00DA6F68"/>
    <w:rsid w:val="00DC1DD2"/>
    <w:rsid w:val="00DC2D05"/>
    <w:rsid w:val="00DC7AE6"/>
    <w:rsid w:val="00DE233C"/>
    <w:rsid w:val="00DE4636"/>
    <w:rsid w:val="00DE787B"/>
    <w:rsid w:val="00DF6212"/>
    <w:rsid w:val="00E040FD"/>
    <w:rsid w:val="00E11BD3"/>
    <w:rsid w:val="00E161FB"/>
    <w:rsid w:val="00E238C2"/>
    <w:rsid w:val="00E42417"/>
    <w:rsid w:val="00E43571"/>
    <w:rsid w:val="00E61438"/>
    <w:rsid w:val="00E61656"/>
    <w:rsid w:val="00E6419C"/>
    <w:rsid w:val="00E70BD1"/>
    <w:rsid w:val="00E85240"/>
    <w:rsid w:val="00EA464E"/>
    <w:rsid w:val="00ED527A"/>
    <w:rsid w:val="00EE56A6"/>
    <w:rsid w:val="00EF7FEE"/>
    <w:rsid w:val="00F006CF"/>
    <w:rsid w:val="00F14236"/>
    <w:rsid w:val="00F2300D"/>
    <w:rsid w:val="00F24479"/>
    <w:rsid w:val="00F3238C"/>
    <w:rsid w:val="00F467DC"/>
    <w:rsid w:val="00F50E33"/>
    <w:rsid w:val="00F54CEC"/>
    <w:rsid w:val="00F6642C"/>
    <w:rsid w:val="00F70EBE"/>
    <w:rsid w:val="00F7399B"/>
    <w:rsid w:val="00F84286"/>
    <w:rsid w:val="00F86457"/>
    <w:rsid w:val="00F966C3"/>
    <w:rsid w:val="00FA20AC"/>
    <w:rsid w:val="00FB5A74"/>
    <w:rsid w:val="00FD42B3"/>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1487</Words>
  <Characters>8476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Sehlabela Chuene</cp:lastModifiedBy>
  <cp:revision>2</cp:revision>
  <cp:lastPrinted>2016-05-10T09:46:00Z</cp:lastPrinted>
  <dcterms:created xsi:type="dcterms:W3CDTF">2016-08-05T08:40:00Z</dcterms:created>
  <dcterms:modified xsi:type="dcterms:W3CDTF">2016-08-05T08:40:00Z</dcterms:modified>
</cp:coreProperties>
</file>