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34FC" w14:textId="77777777" w:rsidR="00164E32" w:rsidRPr="008D3C26" w:rsidRDefault="008D3C26" w:rsidP="00AD1937">
      <w:pPr>
        <w:rPr>
          <w:rFonts w:ascii="Times New Roman" w:hAnsi="Times New Roman" w:cs="Times New Roman"/>
          <w:b/>
          <w:sz w:val="24"/>
          <w:szCs w:val="24"/>
        </w:rPr>
      </w:pPr>
      <w:r>
        <w:rPr>
          <w:rFonts w:ascii="Times New Roman" w:hAnsi="Times New Roman" w:cs="Times New Roman"/>
          <w:b/>
          <w:sz w:val="24"/>
          <w:szCs w:val="24"/>
        </w:rPr>
        <w:t xml:space="preserve">7. </w:t>
      </w:r>
      <w:r w:rsidR="000211D2" w:rsidRPr="008D3C26">
        <w:rPr>
          <w:rFonts w:ascii="Times New Roman" w:hAnsi="Times New Roman" w:cs="Times New Roman"/>
          <w:b/>
          <w:sz w:val="24"/>
          <w:szCs w:val="24"/>
        </w:rPr>
        <w:t xml:space="preserve">BUDGETARY REVIEW AND RECOMMENDATION REPORT OF THE PORTFOLIO COMMITTEE ON HIGHER EDUCATION AND TRAINING, DATED </w:t>
      </w:r>
      <w:r w:rsidR="003E67A6" w:rsidRPr="008D3C26">
        <w:rPr>
          <w:rFonts w:ascii="Times New Roman" w:hAnsi="Times New Roman" w:cs="Times New Roman"/>
          <w:b/>
          <w:sz w:val="24"/>
          <w:szCs w:val="24"/>
        </w:rPr>
        <w:t>11</w:t>
      </w:r>
      <w:r w:rsidR="000211D2" w:rsidRPr="008D3C26">
        <w:rPr>
          <w:rFonts w:ascii="Times New Roman" w:hAnsi="Times New Roman" w:cs="Times New Roman"/>
          <w:b/>
          <w:sz w:val="24"/>
          <w:szCs w:val="24"/>
        </w:rPr>
        <w:t xml:space="preserve"> OCTOBER 201</w:t>
      </w:r>
      <w:r w:rsidR="003E67A6" w:rsidRPr="008D3C26">
        <w:rPr>
          <w:rFonts w:ascii="Times New Roman" w:hAnsi="Times New Roman" w:cs="Times New Roman"/>
          <w:b/>
          <w:sz w:val="24"/>
          <w:szCs w:val="24"/>
        </w:rPr>
        <w:t>7</w:t>
      </w:r>
    </w:p>
    <w:p w14:paraId="45966D74" w14:textId="77777777" w:rsidR="002965A6" w:rsidRPr="008D3C26" w:rsidRDefault="002965A6" w:rsidP="002965A6">
      <w:pPr>
        <w:spacing w:after="0"/>
        <w:rPr>
          <w:rFonts w:ascii="Times New Roman" w:hAnsi="Times New Roman" w:cs="Times New Roman"/>
          <w:sz w:val="24"/>
          <w:szCs w:val="24"/>
        </w:rPr>
      </w:pPr>
      <w:r w:rsidRPr="008D3C26">
        <w:rPr>
          <w:rFonts w:ascii="Times New Roman" w:hAnsi="Times New Roman" w:cs="Times New Roman"/>
          <w:sz w:val="24"/>
          <w:szCs w:val="24"/>
        </w:rPr>
        <w:t>The Portfolio Committee on Higher Education and Training (hereinafter referred to as the Committee), having considered the 2016/17 financial and non-financial performance of the Department of Higher Education and Traini</w:t>
      </w:r>
      <w:bookmarkStart w:id="0" w:name="_GoBack"/>
      <w:bookmarkEnd w:id="0"/>
      <w:r w:rsidRPr="008D3C26">
        <w:rPr>
          <w:rFonts w:ascii="Times New Roman" w:hAnsi="Times New Roman" w:cs="Times New Roman"/>
          <w:sz w:val="24"/>
          <w:szCs w:val="24"/>
        </w:rPr>
        <w:t xml:space="preserve">ng (hereinafter referred to as the Department), and </w:t>
      </w:r>
      <w:r w:rsidR="00AA637F" w:rsidRPr="008D3C26">
        <w:rPr>
          <w:rFonts w:ascii="Times New Roman" w:hAnsi="Times New Roman" w:cs="Times New Roman"/>
          <w:sz w:val="24"/>
          <w:szCs w:val="24"/>
        </w:rPr>
        <w:t>inputs</w:t>
      </w:r>
      <w:r w:rsidRPr="008D3C26">
        <w:rPr>
          <w:rFonts w:ascii="Times New Roman" w:hAnsi="Times New Roman" w:cs="Times New Roman"/>
          <w:sz w:val="24"/>
          <w:szCs w:val="24"/>
        </w:rPr>
        <w:t xml:space="preserve"> from the invited </w:t>
      </w:r>
      <w:r w:rsidR="00AA637F" w:rsidRPr="008D3C26">
        <w:rPr>
          <w:rFonts w:ascii="Times New Roman" w:hAnsi="Times New Roman" w:cs="Times New Roman"/>
          <w:sz w:val="24"/>
          <w:szCs w:val="24"/>
        </w:rPr>
        <w:t xml:space="preserve">external </w:t>
      </w:r>
      <w:r w:rsidRPr="008D3C26">
        <w:rPr>
          <w:rFonts w:ascii="Times New Roman" w:hAnsi="Times New Roman" w:cs="Times New Roman"/>
          <w:sz w:val="24"/>
          <w:szCs w:val="24"/>
        </w:rPr>
        <w:t>stakeholders</w:t>
      </w:r>
      <w:r w:rsidR="00BC19E3" w:rsidRPr="008D3C26">
        <w:rPr>
          <w:rFonts w:ascii="Times New Roman" w:hAnsi="Times New Roman" w:cs="Times New Roman"/>
          <w:sz w:val="24"/>
          <w:szCs w:val="24"/>
        </w:rPr>
        <w:t>,</w:t>
      </w:r>
      <w:r w:rsidRPr="008D3C26">
        <w:rPr>
          <w:rFonts w:ascii="Times New Roman" w:hAnsi="Times New Roman" w:cs="Times New Roman"/>
          <w:sz w:val="24"/>
          <w:szCs w:val="24"/>
        </w:rPr>
        <w:t xml:space="preserve"> reports as follows:</w:t>
      </w:r>
    </w:p>
    <w:p w14:paraId="36F1E70A" w14:textId="77777777" w:rsidR="00B17B7F" w:rsidRPr="008D3C26" w:rsidRDefault="00B17B7F" w:rsidP="00B97108">
      <w:pPr>
        <w:rPr>
          <w:rFonts w:ascii="Times New Roman" w:hAnsi="Times New Roman" w:cs="Times New Roman"/>
          <w:sz w:val="24"/>
          <w:szCs w:val="24"/>
        </w:rPr>
      </w:pPr>
    </w:p>
    <w:p w14:paraId="793933AF" w14:textId="77777777" w:rsidR="000211D2" w:rsidRPr="008D3C26" w:rsidRDefault="006B00A8" w:rsidP="006B00A8">
      <w:pPr>
        <w:rPr>
          <w:rFonts w:ascii="Times New Roman" w:hAnsi="Times New Roman" w:cs="Times New Roman"/>
          <w:b/>
          <w:sz w:val="24"/>
          <w:szCs w:val="24"/>
        </w:rPr>
      </w:pPr>
      <w:r w:rsidRPr="008D3C26">
        <w:rPr>
          <w:rFonts w:ascii="Times New Roman" w:hAnsi="Times New Roman" w:cs="Times New Roman"/>
          <w:b/>
          <w:sz w:val="24"/>
          <w:szCs w:val="24"/>
        </w:rPr>
        <w:t xml:space="preserve">1. </w:t>
      </w:r>
      <w:r w:rsidR="000211D2" w:rsidRPr="008D3C26">
        <w:rPr>
          <w:rFonts w:ascii="Times New Roman" w:hAnsi="Times New Roman" w:cs="Times New Roman"/>
          <w:b/>
          <w:sz w:val="24"/>
          <w:szCs w:val="24"/>
        </w:rPr>
        <w:t>INTRODUCTION</w:t>
      </w:r>
      <w:r w:rsidRPr="008D3C26">
        <w:rPr>
          <w:rFonts w:ascii="Times New Roman" w:hAnsi="Times New Roman" w:cs="Times New Roman"/>
          <w:b/>
          <w:sz w:val="24"/>
          <w:szCs w:val="24"/>
        </w:rPr>
        <w:t xml:space="preserve"> AND MANDATE OF THE COMMITTEE AND THE DEPARTMENT</w:t>
      </w:r>
    </w:p>
    <w:p w14:paraId="2280C49A" w14:textId="77777777" w:rsidR="00894A0C" w:rsidRPr="008D3C26" w:rsidRDefault="00894A0C" w:rsidP="006B00A8">
      <w:pPr>
        <w:rPr>
          <w:rFonts w:ascii="Times New Roman" w:hAnsi="Times New Roman" w:cs="Times New Roman"/>
          <w:b/>
          <w:sz w:val="24"/>
          <w:szCs w:val="24"/>
        </w:rPr>
      </w:pPr>
      <w:r w:rsidRPr="008D3C26">
        <w:rPr>
          <w:rFonts w:ascii="Times New Roman" w:hAnsi="Times New Roman" w:cs="Times New Roman"/>
          <w:b/>
          <w:sz w:val="24"/>
          <w:szCs w:val="24"/>
        </w:rPr>
        <w:t>1.1. Introduction</w:t>
      </w:r>
    </w:p>
    <w:p w14:paraId="4102FD85" w14:textId="77777777" w:rsidR="006B00A8" w:rsidRPr="008D3C26" w:rsidRDefault="006B00A8" w:rsidP="006B00A8">
      <w:pPr>
        <w:rPr>
          <w:rFonts w:ascii="Times New Roman" w:hAnsi="Times New Roman" w:cs="Times New Roman"/>
          <w:sz w:val="24"/>
          <w:szCs w:val="24"/>
        </w:rPr>
      </w:pPr>
      <w:r w:rsidRPr="008D3C26">
        <w:rPr>
          <w:rFonts w:ascii="Times New Roman" w:hAnsi="Times New Roman" w:cs="Times New Roman"/>
          <w:sz w:val="24"/>
          <w:szCs w:val="24"/>
        </w:rPr>
        <w:t xml:space="preserve">Section 42(3) of the Constitution of the Republic of South Africa, 1996 bestows </w:t>
      </w:r>
      <w:r w:rsidR="00BC19E3"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oversight function over the </w:t>
      </w:r>
      <w:r w:rsidR="00BC19E3" w:rsidRPr="008D3C26">
        <w:rPr>
          <w:rFonts w:ascii="Times New Roman" w:hAnsi="Times New Roman" w:cs="Times New Roman"/>
          <w:sz w:val="24"/>
          <w:szCs w:val="24"/>
        </w:rPr>
        <w:t xml:space="preserve">national </w:t>
      </w:r>
      <w:r w:rsidRPr="008D3C26">
        <w:rPr>
          <w:rFonts w:ascii="Times New Roman" w:hAnsi="Times New Roman" w:cs="Times New Roman"/>
          <w:sz w:val="24"/>
          <w:szCs w:val="24"/>
        </w:rPr>
        <w:t xml:space="preserve">executive to the National Assembly (NA). The National Assembly Committees are required in terms of Section 5 of the Money Bills Amendment </w:t>
      </w:r>
      <w:r w:rsidR="00E868FA" w:rsidRPr="008D3C26">
        <w:rPr>
          <w:rFonts w:ascii="Times New Roman" w:hAnsi="Times New Roman" w:cs="Times New Roman"/>
          <w:sz w:val="24"/>
          <w:szCs w:val="24"/>
        </w:rPr>
        <w:t xml:space="preserve">Procedure </w:t>
      </w:r>
      <w:r w:rsidRPr="008D3C26">
        <w:rPr>
          <w:rFonts w:ascii="Times New Roman" w:hAnsi="Times New Roman" w:cs="Times New Roman"/>
          <w:sz w:val="24"/>
          <w:szCs w:val="24"/>
        </w:rPr>
        <w:t>and Related Matters Act, 2009 (Act No. 9 of 2009) to annually assess the performance of each national department</w:t>
      </w:r>
      <w:r w:rsidR="00952076" w:rsidRPr="008D3C26">
        <w:rPr>
          <w:rFonts w:ascii="Times New Roman" w:hAnsi="Times New Roman" w:cs="Times New Roman"/>
          <w:sz w:val="24"/>
          <w:szCs w:val="24"/>
        </w:rPr>
        <w:t>,</w:t>
      </w:r>
      <w:r w:rsidRPr="008D3C26">
        <w:rPr>
          <w:rFonts w:ascii="Times New Roman" w:hAnsi="Times New Roman" w:cs="Times New Roman"/>
          <w:sz w:val="24"/>
          <w:szCs w:val="24"/>
        </w:rPr>
        <w:t xml:space="preserve"> and to </w:t>
      </w:r>
      <w:r w:rsidR="00BC19E3" w:rsidRPr="008D3C26">
        <w:rPr>
          <w:rFonts w:ascii="Times New Roman" w:hAnsi="Times New Roman" w:cs="Times New Roman"/>
          <w:sz w:val="24"/>
          <w:szCs w:val="24"/>
        </w:rPr>
        <w:t xml:space="preserve">thereafter </w:t>
      </w:r>
      <w:r w:rsidRPr="008D3C26">
        <w:rPr>
          <w:rFonts w:ascii="Times New Roman" w:hAnsi="Times New Roman" w:cs="Times New Roman"/>
          <w:sz w:val="24"/>
          <w:szCs w:val="24"/>
        </w:rPr>
        <w:t xml:space="preserve">submit </w:t>
      </w:r>
      <w:r w:rsidR="00BC19E3" w:rsidRPr="008D3C26">
        <w:rPr>
          <w:rFonts w:ascii="Times New Roman" w:hAnsi="Times New Roman" w:cs="Times New Roman"/>
          <w:sz w:val="24"/>
          <w:szCs w:val="24"/>
        </w:rPr>
        <w:t xml:space="preserve">a </w:t>
      </w:r>
      <w:r w:rsidRPr="008D3C26">
        <w:rPr>
          <w:rFonts w:ascii="Times New Roman" w:hAnsi="Times New Roman" w:cs="Times New Roman"/>
          <w:sz w:val="24"/>
          <w:szCs w:val="24"/>
        </w:rPr>
        <w:t>Budgetary Review and Recommendation Report, whi</w:t>
      </w:r>
      <w:r w:rsidR="00BC19E3" w:rsidRPr="008D3C26">
        <w:rPr>
          <w:rFonts w:ascii="Times New Roman" w:hAnsi="Times New Roman" w:cs="Times New Roman"/>
          <w:sz w:val="24"/>
          <w:szCs w:val="24"/>
        </w:rPr>
        <w:t>ch will provide an assessment on</w:t>
      </w:r>
      <w:r w:rsidRPr="008D3C26">
        <w:rPr>
          <w:rFonts w:ascii="Times New Roman" w:hAnsi="Times New Roman" w:cs="Times New Roman"/>
          <w:sz w:val="24"/>
          <w:szCs w:val="24"/>
        </w:rPr>
        <w:t xml:space="preserve"> the department’s service delivery performance given available resources; an assessment on the effectiveness and efficiency of the departments use and allocation of available resources; and may include recommendations on the forward use of resources. </w:t>
      </w:r>
    </w:p>
    <w:p w14:paraId="2AC4AC49" w14:textId="77777777" w:rsidR="000211D2" w:rsidRPr="008D3C26" w:rsidRDefault="00E35D32" w:rsidP="006B00A8">
      <w:pPr>
        <w:tabs>
          <w:tab w:val="left" w:pos="90"/>
          <w:tab w:val="left" w:pos="270"/>
        </w:tabs>
        <w:rPr>
          <w:rFonts w:ascii="Times New Roman" w:hAnsi="Times New Roman" w:cs="Times New Roman"/>
          <w:b/>
          <w:sz w:val="24"/>
          <w:szCs w:val="24"/>
        </w:rPr>
      </w:pPr>
      <w:r w:rsidRPr="008D3C26">
        <w:rPr>
          <w:rFonts w:ascii="Times New Roman" w:hAnsi="Times New Roman" w:cs="Times New Roman"/>
          <w:b/>
          <w:sz w:val="24"/>
          <w:szCs w:val="24"/>
        </w:rPr>
        <w:t>1.</w:t>
      </w:r>
      <w:r w:rsidR="00894A0C" w:rsidRPr="008D3C26">
        <w:rPr>
          <w:rFonts w:ascii="Times New Roman" w:hAnsi="Times New Roman" w:cs="Times New Roman"/>
          <w:b/>
          <w:sz w:val="24"/>
          <w:szCs w:val="24"/>
        </w:rPr>
        <w:t>2</w:t>
      </w:r>
      <w:r w:rsidRPr="008D3C26">
        <w:rPr>
          <w:rFonts w:ascii="Times New Roman" w:hAnsi="Times New Roman" w:cs="Times New Roman"/>
          <w:b/>
          <w:sz w:val="24"/>
          <w:szCs w:val="24"/>
        </w:rPr>
        <w:t xml:space="preserve">. </w:t>
      </w:r>
      <w:r w:rsidR="000211D2" w:rsidRPr="008D3C26">
        <w:rPr>
          <w:rFonts w:ascii="Times New Roman" w:hAnsi="Times New Roman" w:cs="Times New Roman"/>
          <w:b/>
          <w:sz w:val="24"/>
          <w:szCs w:val="24"/>
        </w:rPr>
        <w:t>Mandate of Committee</w:t>
      </w:r>
    </w:p>
    <w:p w14:paraId="5612459C" w14:textId="77777777" w:rsidR="00AA637F" w:rsidRPr="008D3C26" w:rsidRDefault="00B518C7" w:rsidP="00AA637F">
      <w:pPr>
        <w:rPr>
          <w:rFonts w:ascii="Times New Roman" w:hAnsi="Times New Roman" w:cs="Times New Roman"/>
          <w:i/>
          <w:sz w:val="24"/>
          <w:szCs w:val="24"/>
        </w:rPr>
      </w:pPr>
      <w:r w:rsidRPr="008D3C26">
        <w:rPr>
          <w:rFonts w:ascii="Times New Roman" w:hAnsi="Times New Roman" w:cs="Times New Roman"/>
          <w:sz w:val="24"/>
          <w:szCs w:val="24"/>
        </w:rPr>
        <w:t xml:space="preserve">Section 55(2) of the </w:t>
      </w:r>
      <w:r w:rsidR="00AA637F" w:rsidRPr="008D3C26">
        <w:rPr>
          <w:rFonts w:ascii="Times New Roman" w:hAnsi="Times New Roman" w:cs="Times New Roman"/>
          <w:sz w:val="24"/>
          <w:szCs w:val="24"/>
        </w:rPr>
        <w:t>Constitution of the Republic of South Africa,</w:t>
      </w:r>
      <w:r w:rsidR="00A84BE0" w:rsidRPr="008D3C26">
        <w:rPr>
          <w:rFonts w:ascii="Times New Roman" w:hAnsi="Times New Roman" w:cs="Times New Roman"/>
          <w:sz w:val="24"/>
          <w:szCs w:val="24"/>
        </w:rPr>
        <w:t xml:space="preserve"> 1996</w:t>
      </w:r>
      <w:r w:rsidR="00AA637F" w:rsidRPr="008D3C26">
        <w:rPr>
          <w:rFonts w:ascii="Times New Roman" w:hAnsi="Times New Roman" w:cs="Times New Roman"/>
          <w:sz w:val="24"/>
          <w:szCs w:val="24"/>
        </w:rPr>
        <w:t xml:space="preserve"> stipulates that </w:t>
      </w:r>
      <w:r w:rsidRPr="008D3C26">
        <w:rPr>
          <w:rFonts w:ascii="Times New Roman" w:hAnsi="Times New Roman" w:cs="Times New Roman"/>
          <w:i/>
          <w:sz w:val="24"/>
          <w:szCs w:val="24"/>
        </w:rPr>
        <w:t>“</w:t>
      </w:r>
      <w:r w:rsidR="00AA637F" w:rsidRPr="008D3C26">
        <w:rPr>
          <w:rFonts w:ascii="Times New Roman" w:hAnsi="Times New Roman" w:cs="Times New Roman"/>
          <w:i/>
          <w:sz w:val="24"/>
          <w:szCs w:val="24"/>
        </w:rPr>
        <w:t>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w:t>
      </w:r>
      <w:r w:rsidRPr="008D3C26">
        <w:rPr>
          <w:rFonts w:ascii="Times New Roman" w:hAnsi="Times New Roman" w:cs="Times New Roman"/>
          <w:i/>
          <w:sz w:val="24"/>
          <w:szCs w:val="24"/>
        </w:rPr>
        <w:t>”</w:t>
      </w:r>
      <w:r w:rsidR="00AA637F" w:rsidRPr="008D3C26">
        <w:rPr>
          <w:rFonts w:ascii="Times New Roman" w:hAnsi="Times New Roman" w:cs="Times New Roman"/>
          <w:i/>
          <w:sz w:val="24"/>
          <w:szCs w:val="24"/>
        </w:rPr>
        <w:t xml:space="preserve">. </w:t>
      </w:r>
    </w:p>
    <w:p w14:paraId="16054A64" w14:textId="77777777" w:rsidR="00AA637F" w:rsidRPr="008D3C26" w:rsidRDefault="00AA637F" w:rsidP="00AA637F">
      <w:pPr>
        <w:rPr>
          <w:rFonts w:ascii="Times New Roman" w:hAnsi="Times New Roman" w:cs="Times New Roman"/>
          <w:sz w:val="24"/>
          <w:szCs w:val="24"/>
        </w:rPr>
      </w:pPr>
      <w:r w:rsidRPr="008D3C26">
        <w:rPr>
          <w:rFonts w:ascii="Times New Roman" w:hAnsi="Times New Roman" w:cs="Times New Roman"/>
          <w:sz w:val="24"/>
          <w:szCs w:val="24"/>
        </w:rPr>
        <w:t>The Committee oversees the implementation of the following Acts:</w:t>
      </w:r>
    </w:p>
    <w:p w14:paraId="64039433" w14:textId="77777777" w:rsidR="00AA637F" w:rsidRPr="008D3C26" w:rsidRDefault="00AA637F" w:rsidP="00E35D32">
      <w:pPr>
        <w:rPr>
          <w:rFonts w:ascii="Times New Roman" w:hAnsi="Times New Roman" w:cs="Times New Roman"/>
          <w:sz w:val="24"/>
          <w:szCs w:val="24"/>
        </w:rPr>
      </w:pPr>
      <w:r w:rsidRPr="008D3C26">
        <w:rPr>
          <w:rFonts w:ascii="Times New Roman" w:hAnsi="Times New Roman" w:cs="Times New Roman"/>
          <w:sz w:val="24"/>
          <w:szCs w:val="24"/>
        </w:rPr>
        <w:t xml:space="preserve">Higher Education Act, 1997 (Act No.101 of 1997), National Student Financial Scheme Act, 1999 (Act No. 56 of 1999), Continuing Education and Training Act, 2006 (Act No. 16 of 2006), National Qualifications Framework Act, 2008 (Act No. 67 of 2008), Skills </w:t>
      </w:r>
      <w:r w:rsidRPr="008D3C26">
        <w:rPr>
          <w:rFonts w:ascii="Times New Roman" w:hAnsi="Times New Roman" w:cs="Times New Roman"/>
          <w:sz w:val="24"/>
          <w:szCs w:val="24"/>
        </w:rPr>
        <w:lastRenderedPageBreak/>
        <w:t>Development Act, 1998 (Act No. 97 of 1998), Skills Dev</w:t>
      </w:r>
      <w:r w:rsidR="009319A3" w:rsidRPr="008D3C26">
        <w:rPr>
          <w:rFonts w:ascii="Times New Roman" w:hAnsi="Times New Roman" w:cs="Times New Roman"/>
          <w:sz w:val="24"/>
          <w:szCs w:val="24"/>
        </w:rPr>
        <w:t>elopment Levies Act, 1999 (Act N</w:t>
      </w:r>
      <w:r w:rsidRPr="008D3C26">
        <w:rPr>
          <w:rFonts w:ascii="Times New Roman" w:hAnsi="Times New Roman" w:cs="Times New Roman"/>
          <w:sz w:val="24"/>
          <w:szCs w:val="24"/>
        </w:rPr>
        <w:t>o. 9 of 1999) and General and Further Education and Training Quality Assurance Act, 2001 (Act No. 58 of 2001). The Department of Higher Education and Training oversees the SETAs in terms of the Skills Development Act and the Skills Levies Act.</w:t>
      </w:r>
      <w:r w:rsidR="00644E92" w:rsidRPr="008D3C26">
        <w:rPr>
          <w:rFonts w:ascii="Times New Roman" w:hAnsi="Times New Roman" w:cs="Times New Roman"/>
          <w:sz w:val="24"/>
          <w:szCs w:val="24"/>
        </w:rPr>
        <w:t xml:space="preserve"> </w:t>
      </w:r>
    </w:p>
    <w:p w14:paraId="7859595E" w14:textId="77777777" w:rsidR="006B00A8" w:rsidRPr="008D3C26" w:rsidRDefault="006B00A8" w:rsidP="00E10FEB">
      <w:pPr>
        <w:spacing w:after="0"/>
        <w:rPr>
          <w:rFonts w:ascii="Times New Roman" w:hAnsi="Times New Roman" w:cs="Times New Roman"/>
          <w:sz w:val="24"/>
          <w:szCs w:val="24"/>
        </w:rPr>
      </w:pPr>
    </w:p>
    <w:p w14:paraId="16C65A1F" w14:textId="77777777" w:rsidR="000211D2" w:rsidRPr="008D3C26" w:rsidRDefault="00894A0C" w:rsidP="000211D2">
      <w:pPr>
        <w:rPr>
          <w:rFonts w:ascii="Times New Roman" w:hAnsi="Times New Roman" w:cs="Times New Roman"/>
          <w:b/>
          <w:sz w:val="24"/>
          <w:szCs w:val="24"/>
        </w:rPr>
      </w:pPr>
      <w:r w:rsidRPr="008D3C26">
        <w:rPr>
          <w:rFonts w:ascii="Times New Roman" w:hAnsi="Times New Roman" w:cs="Times New Roman"/>
          <w:b/>
          <w:sz w:val="24"/>
          <w:szCs w:val="24"/>
        </w:rPr>
        <w:t>1.</w:t>
      </w:r>
      <w:r w:rsidR="003A7C29" w:rsidRPr="008D3C26">
        <w:rPr>
          <w:rFonts w:ascii="Times New Roman" w:hAnsi="Times New Roman" w:cs="Times New Roman"/>
          <w:b/>
          <w:sz w:val="24"/>
          <w:szCs w:val="24"/>
        </w:rPr>
        <w:t>3</w:t>
      </w:r>
      <w:r w:rsidR="000211D2" w:rsidRPr="008D3C26">
        <w:rPr>
          <w:rFonts w:ascii="Times New Roman" w:hAnsi="Times New Roman" w:cs="Times New Roman"/>
          <w:b/>
          <w:sz w:val="24"/>
          <w:szCs w:val="24"/>
        </w:rPr>
        <w:t>. Purpose of the BRR Report</w:t>
      </w:r>
    </w:p>
    <w:p w14:paraId="527C0B30" w14:textId="77777777" w:rsidR="00607439" w:rsidRPr="008D3C26" w:rsidRDefault="00446C7A" w:rsidP="00446C7A">
      <w:pPr>
        <w:rPr>
          <w:rFonts w:ascii="Times New Roman" w:hAnsi="Times New Roman" w:cs="Times New Roman"/>
          <w:sz w:val="24"/>
          <w:szCs w:val="24"/>
        </w:rPr>
      </w:pPr>
      <w:r w:rsidRPr="008D3C26">
        <w:rPr>
          <w:rFonts w:ascii="Times New Roman" w:hAnsi="Times New Roman" w:cs="Times New Roman"/>
          <w:sz w:val="24"/>
          <w:szCs w:val="24"/>
        </w:rPr>
        <w:t xml:space="preserve">The purpose of this report is to </w:t>
      </w:r>
      <w:r w:rsidR="00EF0064" w:rsidRPr="008D3C26">
        <w:rPr>
          <w:rFonts w:ascii="Times New Roman" w:hAnsi="Times New Roman" w:cs="Times New Roman"/>
          <w:sz w:val="24"/>
          <w:szCs w:val="24"/>
        </w:rPr>
        <w:t>account</w:t>
      </w:r>
      <w:r w:rsidRPr="008D3C26">
        <w:rPr>
          <w:rFonts w:ascii="Times New Roman" w:hAnsi="Times New Roman" w:cs="Times New Roman"/>
          <w:sz w:val="24"/>
          <w:szCs w:val="24"/>
        </w:rPr>
        <w:t xml:space="preserve"> in accordance with Rule 166 of the Rules of the National Assembly for work done by the Committee in </w:t>
      </w:r>
      <w:r w:rsidR="008B23CC" w:rsidRPr="008D3C26">
        <w:rPr>
          <w:rFonts w:ascii="Times New Roman" w:hAnsi="Times New Roman" w:cs="Times New Roman"/>
          <w:sz w:val="24"/>
          <w:szCs w:val="24"/>
        </w:rPr>
        <w:t>considering</w:t>
      </w:r>
      <w:r w:rsidRPr="008D3C26">
        <w:rPr>
          <w:rFonts w:ascii="Times New Roman" w:hAnsi="Times New Roman" w:cs="Times New Roman"/>
          <w:sz w:val="24"/>
          <w:szCs w:val="24"/>
        </w:rPr>
        <w:t xml:space="preserve"> the 2016/17 Annual Report of the Department </w:t>
      </w:r>
      <w:r w:rsidR="00B518C7" w:rsidRPr="008D3C26">
        <w:rPr>
          <w:rFonts w:ascii="Times New Roman" w:hAnsi="Times New Roman" w:cs="Times New Roman"/>
          <w:sz w:val="24"/>
          <w:szCs w:val="24"/>
        </w:rPr>
        <w:t>which was submitted</w:t>
      </w:r>
      <w:r w:rsidRPr="008D3C26">
        <w:rPr>
          <w:rFonts w:ascii="Times New Roman" w:hAnsi="Times New Roman" w:cs="Times New Roman"/>
          <w:sz w:val="24"/>
          <w:szCs w:val="24"/>
        </w:rPr>
        <w:t xml:space="preserve"> in accordance with </w:t>
      </w:r>
      <w:r w:rsidR="00F076C3" w:rsidRPr="008D3C26">
        <w:rPr>
          <w:rFonts w:ascii="Times New Roman" w:hAnsi="Times New Roman" w:cs="Times New Roman"/>
          <w:sz w:val="24"/>
          <w:szCs w:val="24"/>
        </w:rPr>
        <w:t xml:space="preserve">Section 40 </w:t>
      </w:r>
      <w:r w:rsidR="00807FD5" w:rsidRPr="008D3C26">
        <w:rPr>
          <w:rFonts w:ascii="Times New Roman" w:hAnsi="Times New Roman" w:cs="Times New Roman"/>
          <w:sz w:val="24"/>
          <w:szCs w:val="24"/>
        </w:rPr>
        <w:t>(1</w:t>
      </w:r>
      <w:r w:rsidR="00B518C7" w:rsidRPr="008D3C26">
        <w:rPr>
          <w:rFonts w:ascii="Times New Roman" w:hAnsi="Times New Roman" w:cs="Times New Roman"/>
          <w:sz w:val="24"/>
          <w:szCs w:val="24"/>
        </w:rPr>
        <w:t>) of</w:t>
      </w:r>
      <w:r w:rsidR="00F076C3" w:rsidRPr="008D3C26">
        <w:rPr>
          <w:rFonts w:ascii="Times New Roman" w:hAnsi="Times New Roman" w:cs="Times New Roman"/>
          <w:sz w:val="24"/>
          <w:szCs w:val="24"/>
        </w:rPr>
        <w:t xml:space="preserve"> the PFMA</w:t>
      </w:r>
      <w:r w:rsidR="008B23CC" w:rsidRPr="008D3C26">
        <w:rPr>
          <w:rFonts w:ascii="Times New Roman" w:hAnsi="Times New Roman" w:cs="Times New Roman"/>
          <w:sz w:val="24"/>
          <w:szCs w:val="24"/>
        </w:rPr>
        <w:t xml:space="preserve">; and as referred by the Speaker </w:t>
      </w:r>
      <w:r w:rsidR="003F00AE" w:rsidRPr="008D3C26">
        <w:rPr>
          <w:rFonts w:ascii="Times New Roman" w:hAnsi="Times New Roman" w:cs="Times New Roman"/>
          <w:sz w:val="24"/>
          <w:szCs w:val="24"/>
        </w:rPr>
        <w:t xml:space="preserve">of the National Assembly </w:t>
      </w:r>
      <w:r w:rsidR="008B23CC" w:rsidRPr="008D3C26">
        <w:rPr>
          <w:rFonts w:ascii="Times New Roman" w:hAnsi="Times New Roman" w:cs="Times New Roman"/>
          <w:sz w:val="24"/>
          <w:szCs w:val="24"/>
        </w:rPr>
        <w:t>to the Committee in terms of Rule 338</w:t>
      </w:r>
      <w:r w:rsidRPr="008D3C26">
        <w:rPr>
          <w:rFonts w:ascii="Times New Roman" w:hAnsi="Times New Roman" w:cs="Times New Roman"/>
          <w:sz w:val="24"/>
          <w:szCs w:val="24"/>
        </w:rPr>
        <w:t xml:space="preserve">. </w:t>
      </w:r>
    </w:p>
    <w:p w14:paraId="7BC6058D" w14:textId="77777777" w:rsidR="000211D2" w:rsidRPr="008D3C26" w:rsidRDefault="00894A0C" w:rsidP="000211D2">
      <w:pPr>
        <w:rPr>
          <w:rFonts w:ascii="Times New Roman" w:hAnsi="Times New Roman" w:cs="Times New Roman"/>
          <w:b/>
          <w:sz w:val="24"/>
          <w:szCs w:val="24"/>
        </w:rPr>
      </w:pPr>
      <w:r w:rsidRPr="008D3C26">
        <w:rPr>
          <w:rFonts w:ascii="Times New Roman" w:hAnsi="Times New Roman" w:cs="Times New Roman"/>
          <w:b/>
          <w:sz w:val="24"/>
          <w:szCs w:val="24"/>
        </w:rPr>
        <w:t>1.</w:t>
      </w:r>
      <w:r w:rsidR="003A7C29" w:rsidRPr="008D3C26">
        <w:rPr>
          <w:rFonts w:ascii="Times New Roman" w:hAnsi="Times New Roman" w:cs="Times New Roman"/>
          <w:b/>
          <w:sz w:val="24"/>
          <w:szCs w:val="24"/>
        </w:rPr>
        <w:t>4</w:t>
      </w:r>
      <w:r w:rsidR="000211D2" w:rsidRPr="008D3C26">
        <w:rPr>
          <w:rFonts w:ascii="Times New Roman" w:hAnsi="Times New Roman" w:cs="Times New Roman"/>
          <w:b/>
          <w:sz w:val="24"/>
          <w:szCs w:val="24"/>
        </w:rPr>
        <w:t>. Method</w:t>
      </w:r>
    </w:p>
    <w:p w14:paraId="76CFFF9C" w14:textId="77777777" w:rsidR="002832FA" w:rsidRPr="008D3C26" w:rsidRDefault="002832FA" w:rsidP="002832FA">
      <w:pPr>
        <w:pStyle w:val="ListParagraph"/>
        <w:spacing w:after="0"/>
        <w:ind w:left="0"/>
        <w:rPr>
          <w:rFonts w:ascii="Times New Roman" w:hAnsi="Times New Roman" w:cs="Times New Roman"/>
          <w:iCs/>
          <w:sz w:val="24"/>
          <w:szCs w:val="24"/>
        </w:rPr>
      </w:pPr>
      <w:r w:rsidRPr="008D3C26">
        <w:rPr>
          <w:rFonts w:ascii="Times New Roman" w:hAnsi="Times New Roman" w:cs="Times New Roman"/>
          <w:iCs/>
          <w:sz w:val="24"/>
          <w:szCs w:val="24"/>
        </w:rPr>
        <w:t>In preparation for the consideration of the</w:t>
      </w:r>
      <w:r w:rsidR="00B259CF" w:rsidRPr="008D3C26">
        <w:rPr>
          <w:rFonts w:ascii="Times New Roman" w:hAnsi="Times New Roman" w:cs="Times New Roman"/>
          <w:iCs/>
          <w:sz w:val="24"/>
          <w:szCs w:val="24"/>
        </w:rPr>
        <w:t xml:space="preserve"> Department’s</w:t>
      </w:r>
      <w:r w:rsidRPr="008D3C26">
        <w:rPr>
          <w:rFonts w:ascii="Times New Roman" w:hAnsi="Times New Roman" w:cs="Times New Roman"/>
          <w:iCs/>
          <w:sz w:val="24"/>
          <w:szCs w:val="24"/>
        </w:rPr>
        <w:t xml:space="preserve"> 2016/17 Annual Report, the Committee considered key government policy documents relevant to the work of the Depa</w:t>
      </w:r>
      <w:r w:rsidR="00B259CF" w:rsidRPr="008D3C26">
        <w:rPr>
          <w:rFonts w:ascii="Times New Roman" w:hAnsi="Times New Roman" w:cs="Times New Roman"/>
          <w:iCs/>
          <w:sz w:val="24"/>
          <w:szCs w:val="24"/>
        </w:rPr>
        <w:t>rtment, including, among others:</w:t>
      </w:r>
      <w:r w:rsidRPr="008D3C26">
        <w:rPr>
          <w:rFonts w:ascii="Times New Roman" w:hAnsi="Times New Roman" w:cs="Times New Roman"/>
          <w:iCs/>
          <w:sz w:val="24"/>
          <w:szCs w:val="24"/>
        </w:rPr>
        <w:t xml:space="preserve"> the Medium Term Strateg</w:t>
      </w:r>
      <w:r w:rsidR="00B259CF" w:rsidRPr="008D3C26">
        <w:rPr>
          <w:rFonts w:ascii="Times New Roman" w:hAnsi="Times New Roman" w:cs="Times New Roman"/>
          <w:iCs/>
          <w:sz w:val="24"/>
          <w:szCs w:val="24"/>
        </w:rPr>
        <w:t>ic Framework (MTSF) 2014 – 2019;</w:t>
      </w:r>
      <w:r w:rsidRPr="008D3C26">
        <w:rPr>
          <w:rFonts w:ascii="Times New Roman" w:hAnsi="Times New Roman" w:cs="Times New Roman"/>
          <w:iCs/>
          <w:sz w:val="24"/>
          <w:szCs w:val="24"/>
        </w:rPr>
        <w:t xml:space="preserve"> </w:t>
      </w:r>
      <w:r w:rsidR="00C424BA" w:rsidRPr="008D3C26">
        <w:rPr>
          <w:rFonts w:ascii="Times New Roman" w:hAnsi="Times New Roman" w:cs="Times New Roman"/>
          <w:iCs/>
          <w:sz w:val="24"/>
          <w:szCs w:val="24"/>
        </w:rPr>
        <w:t>the 2016 Sta</w:t>
      </w:r>
      <w:r w:rsidR="00B259CF" w:rsidRPr="008D3C26">
        <w:rPr>
          <w:rFonts w:ascii="Times New Roman" w:hAnsi="Times New Roman" w:cs="Times New Roman"/>
          <w:iCs/>
          <w:sz w:val="24"/>
          <w:szCs w:val="24"/>
        </w:rPr>
        <w:t>te of the Nation Address (SONA);</w:t>
      </w:r>
      <w:r w:rsidR="00C424BA" w:rsidRPr="008D3C26">
        <w:rPr>
          <w:rFonts w:ascii="Times New Roman" w:hAnsi="Times New Roman" w:cs="Times New Roman"/>
          <w:iCs/>
          <w:sz w:val="24"/>
          <w:szCs w:val="24"/>
        </w:rPr>
        <w:t xml:space="preserve"> </w:t>
      </w:r>
      <w:r w:rsidRPr="008D3C26">
        <w:rPr>
          <w:rFonts w:ascii="Times New Roman" w:hAnsi="Times New Roman" w:cs="Times New Roman"/>
          <w:iCs/>
          <w:sz w:val="24"/>
          <w:szCs w:val="24"/>
        </w:rPr>
        <w:t xml:space="preserve">2016/17 </w:t>
      </w:r>
      <w:r w:rsidR="00B259CF" w:rsidRPr="008D3C26">
        <w:rPr>
          <w:rFonts w:ascii="Times New Roman" w:hAnsi="Times New Roman" w:cs="Times New Roman"/>
          <w:iCs/>
          <w:sz w:val="24"/>
          <w:szCs w:val="24"/>
        </w:rPr>
        <w:t>Annual Report of the Department;</w:t>
      </w:r>
      <w:r w:rsidRPr="008D3C26">
        <w:rPr>
          <w:rFonts w:ascii="Times New Roman" w:hAnsi="Times New Roman" w:cs="Times New Roman"/>
          <w:iCs/>
          <w:sz w:val="24"/>
          <w:szCs w:val="24"/>
        </w:rPr>
        <w:t xml:space="preserve"> the 2016/17 Annual Performance Plan</w:t>
      </w:r>
      <w:r w:rsidR="003F00AE" w:rsidRPr="008D3C26">
        <w:rPr>
          <w:rFonts w:ascii="Times New Roman" w:hAnsi="Times New Roman" w:cs="Times New Roman"/>
          <w:iCs/>
          <w:sz w:val="24"/>
          <w:szCs w:val="24"/>
        </w:rPr>
        <w:t xml:space="preserve"> of the Department</w:t>
      </w:r>
      <w:r w:rsidR="00B259CF" w:rsidRPr="008D3C26">
        <w:rPr>
          <w:rFonts w:ascii="Times New Roman" w:hAnsi="Times New Roman" w:cs="Times New Roman"/>
          <w:iCs/>
          <w:sz w:val="24"/>
          <w:szCs w:val="24"/>
        </w:rPr>
        <w:t xml:space="preserve"> and</w:t>
      </w:r>
      <w:r w:rsidRPr="008D3C26">
        <w:rPr>
          <w:rFonts w:ascii="Times New Roman" w:hAnsi="Times New Roman" w:cs="Times New Roman"/>
          <w:iCs/>
          <w:sz w:val="24"/>
          <w:szCs w:val="24"/>
        </w:rPr>
        <w:t xml:space="preserve"> the Committee’s </w:t>
      </w:r>
      <w:r w:rsidR="00C424BA" w:rsidRPr="008D3C26">
        <w:rPr>
          <w:rFonts w:ascii="Times New Roman" w:hAnsi="Times New Roman" w:cs="Times New Roman"/>
          <w:iCs/>
          <w:sz w:val="24"/>
          <w:szCs w:val="24"/>
        </w:rPr>
        <w:t xml:space="preserve">2016/17 financial year in-year monitoring </w:t>
      </w:r>
      <w:r w:rsidR="00B518C7" w:rsidRPr="008D3C26">
        <w:rPr>
          <w:rFonts w:ascii="Times New Roman" w:hAnsi="Times New Roman" w:cs="Times New Roman"/>
          <w:iCs/>
          <w:sz w:val="24"/>
          <w:szCs w:val="24"/>
        </w:rPr>
        <w:t>in terms of</w:t>
      </w:r>
      <w:r w:rsidR="00C424BA" w:rsidRPr="008D3C26">
        <w:rPr>
          <w:rFonts w:ascii="Times New Roman" w:hAnsi="Times New Roman" w:cs="Times New Roman"/>
          <w:iCs/>
          <w:sz w:val="24"/>
          <w:szCs w:val="24"/>
        </w:rPr>
        <w:t xml:space="preserve"> section 32 Reports</w:t>
      </w:r>
      <w:r w:rsidR="00B32D64" w:rsidRPr="008D3C26">
        <w:rPr>
          <w:rFonts w:ascii="Times New Roman" w:hAnsi="Times New Roman" w:cs="Times New Roman"/>
          <w:iCs/>
          <w:sz w:val="24"/>
          <w:szCs w:val="24"/>
        </w:rPr>
        <w:t xml:space="preserve"> of the PFMA.</w:t>
      </w:r>
      <w:r w:rsidR="00C424BA" w:rsidRPr="008D3C26">
        <w:rPr>
          <w:rFonts w:ascii="Times New Roman" w:hAnsi="Times New Roman" w:cs="Times New Roman"/>
          <w:iCs/>
          <w:sz w:val="24"/>
          <w:szCs w:val="24"/>
        </w:rPr>
        <w:t xml:space="preserve">  </w:t>
      </w:r>
    </w:p>
    <w:p w14:paraId="248DFA96" w14:textId="77777777" w:rsidR="00890C70" w:rsidRPr="008D3C26" w:rsidRDefault="00890C70" w:rsidP="002832FA">
      <w:pPr>
        <w:pStyle w:val="ListParagraph"/>
        <w:spacing w:after="0"/>
        <w:ind w:left="0"/>
        <w:rPr>
          <w:rFonts w:ascii="Times New Roman" w:hAnsi="Times New Roman" w:cs="Times New Roman"/>
          <w:iCs/>
          <w:sz w:val="24"/>
          <w:szCs w:val="24"/>
        </w:rPr>
      </w:pPr>
    </w:p>
    <w:p w14:paraId="75D30A28" w14:textId="77777777" w:rsidR="002832FA" w:rsidRPr="008D3C26" w:rsidRDefault="002832FA" w:rsidP="002832FA">
      <w:pPr>
        <w:pStyle w:val="ListParagraph"/>
        <w:spacing w:after="0"/>
        <w:ind w:left="0"/>
        <w:rPr>
          <w:rFonts w:ascii="Times New Roman" w:hAnsi="Times New Roman" w:cs="Times New Roman"/>
          <w:iCs/>
          <w:sz w:val="24"/>
          <w:szCs w:val="24"/>
        </w:rPr>
      </w:pPr>
      <w:r w:rsidRPr="008D3C26">
        <w:rPr>
          <w:rFonts w:ascii="Times New Roman" w:hAnsi="Times New Roman" w:cs="Times New Roman"/>
          <w:iCs/>
          <w:sz w:val="24"/>
          <w:szCs w:val="24"/>
        </w:rPr>
        <w:t>The Committee had a briefing session with the Auditor-General of South Africa (AGSA) on the 201</w:t>
      </w:r>
      <w:r w:rsidR="00890C70" w:rsidRPr="008D3C26">
        <w:rPr>
          <w:rFonts w:ascii="Times New Roman" w:hAnsi="Times New Roman" w:cs="Times New Roman"/>
          <w:iCs/>
          <w:sz w:val="24"/>
          <w:szCs w:val="24"/>
        </w:rPr>
        <w:t>6</w:t>
      </w:r>
      <w:r w:rsidRPr="008D3C26">
        <w:rPr>
          <w:rFonts w:ascii="Times New Roman" w:hAnsi="Times New Roman" w:cs="Times New Roman"/>
          <w:iCs/>
          <w:sz w:val="24"/>
          <w:szCs w:val="24"/>
        </w:rPr>
        <w:t>/1</w:t>
      </w:r>
      <w:r w:rsidR="00890C70" w:rsidRPr="008D3C26">
        <w:rPr>
          <w:rFonts w:ascii="Times New Roman" w:hAnsi="Times New Roman" w:cs="Times New Roman"/>
          <w:iCs/>
          <w:sz w:val="24"/>
          <w:szCs w:val="24"/>
        </w:rPr>
        <w:t>7</w:t>
      </w:r>
      <w:r w:rsidRPr="008D3C26">
        <w:rPr>
          <w:rFonts w:ascii="Times New Roman" w:hAnsi="Times New Roman" w:cs="Times New Roman"/>
          <w:iCs/>
          <w:sz w:val="24"/>
          <w:szCs w:val="24"/>
        </w:rPr>
        <w:t xml:space="preserve"> audit outcomes of the </w:t>
      </w:r>
      <w:r w:rsidR="00890C70" w:rsidRPr="008D3C26">
        <w:rPr>
          <w:rFonts w:ascii="Times New Roman" w:hAnsi="Times New Roman" w:cs="Times New Roman"/>
          <w:iCs/>
          <w:sz w:val="24"/>
          <w:szCs w:val="24"/>
        </w:rPr>
        <w:t xml:space="preserve">Higher Education and Training Portfolio. </w:t>
      </w:r>
      <w:r w:rsidRPr="008D3C26">
        <w:rPr>
          <w:rFonts w:ascii="Times New Roman" w:hAnsi="Times New Roman" w:cs="Times New Roman"/>
          <w:iCs/>
          <w:sz w:val="24"/>
          <w:szCs w:val="24"/>
        </w:rPr>
        <w:t xml:space="preserve">The Committee </w:t>
      </w:r>
      <w:r w:rsidR="00890C70" w:rsidRPr="008D3C26">
        <w:rPr>
          <w:rFonts w:ascii="Times New Roman" w:hAnsi="Times New Roman" w:cs="Times New Roman"/>
          <w:iCs/>
          <w:sz w:val="24"/>
          <w:szCs w:val="24"/>
        </w:rPr>
        <w:t>also invited external stakeholders, the Department of P</w:t>
      </w:r>
      <w:r w:rsidR="003F00AE" w:rsidRPr="008D3C26">
        <w:rPr>
          <w:rFonts w:ascii="Times New Roman" w:hAnsi="Times New Roman" w:cs="Times New Roman"/>
          <w:iCs/>
          <w:sz w:val="24"/>
          <w:szCs w:val="24"/>
        </w:rPr>
        <w:t>lanning</w:t>
      </w:r>
      <w:r w:rsidR="00890C70" w:rsidRPr="008D3C26">
        <w:rPr>
          <w:rFonts w:ascii="Times New Roman" w:hAnsi="Times New Roman" w:cs="Times New Roman"/>
          <w:iCs/>
          <w:sz w:val="24"/>
          <w:szCs w:val="24"/>
        </w:rPr>
        <w:t xml:space="preserve">, Monitoring and Evaluation (DPME) and the Technical and Vocational Education and Training Colleges Governors Council (TVETCGC) to provide independent input on the </w:t>
      </w:r>
      <w:r w:rsidRPr="008D3C26">
        <w:rPr>
          <w:rFonts w:ascii="Times New Roman" w:hAnsi="Times New Roman" w:cs="Times New Roman"/>
          <w:iCs/>
          <w:sz w:val="24"/>
          <w:szCs w:val="24"/>
        </w:rPr>
        <w:t>assessment and analysis of the Department’s 201</w:t>
      </w:r>
      <w:r w:rsidR="00890C70" w:rsidRPr="008D3C26">
        <w:rPr>
          <w:rFonts w:ascii="Times New Roman" w:hAnsi="Times New Roman" w:cs="Times New Roman"/>
          <w:iCs/>
          <w:sz w:val="24"/>
          <w:szCs w:val="24"/>
        </w:rPr>
        <w:t>6</w:t>
      </w:r>
      <w:r w:rsidRPr="008D3C26">
        <w:rPr>
          <w:rFonts w:ascii="Times New Roman" w:hAnsi="Times New Roman" w:cs="Times New Roman"/>
          <w:iCs/>
          <w:sz w:val="24"/>
          <w:szCs w:val="24"/>
        </w:rPr>
        <w:t>/1</w:t>
      </w:r>
      <w:r w:rsidR="00890C70" w:rsidRPr="008D3C26">
        <w:rPr>
          <w:rFonts w:ascii="Times New Roman" w:hAnsi="Times New Roman" w:cs="Times New Roman"/>
          <w:iCs/>
          <w:sz w:val="24"/>
          <w:szCs w:val="24"/>
        </w:rPr>
        <w:t>7</w:t>
      </w:r>
      <w:r w:rsidRPr="008D3C26">
        <w:rPr>
          <w:rFonts w:ascii="Times New Roman" w:hAnsi="Times New Roman" w:cs="Times New Roman"/>
          <w:iCs/>
          <w:sz w:val="24"/>
          <w:szCs w:val="24"/>
        </w:rPr>
        <w:t xml:space="preserve"> financial and non-financial performance.</w:t>
      </w:r>
      <w:r w:rsidR="00890C70" w:rsidRPr="008D3C26">
        <w:rPr>
          <w:rFonts w:ascii="Times New Roman" w:hAnsi="Times New Roman" w:cs="Times New Roman"/>
          <w:iCs/>
          <w:sz w:val="24"/>
          <w:szCs w:val="24"/>
        </w:rPr>
        <w:t xml:space="preserve"> Furthermore, the Committee considered t</w:t>
      </w:r>
      <w:r w:rsidR="0087099E" w:rsidRPr="008D3C26">
        <w:rPr>
          <w:rFonts w:ascii="Times New Roman" w:hAnsi="Times New Roman" w:cs="Times New Roman"/>
          <w:iCs/>
          <w:sz w:val="24"/>
          <w:szCs w:val="24"/>
        </w:rPr>
        <w:t>he</w:t>
      </w:r>
      <w:r w:rsidR="00890C70" w:rsidRPr="008D3C26">
        <w:rPr>
          <w:rFonts w:ascii="Times New Roman" w:hAnsi="Times New Roman" w:cs="Times New Roman"/>
          <w:iCs/>
          <w:sz w:val="24"/>
          <w:szCs w:val="24"/>
        </w:rPr>
        <w:t xml:space="preserve"> Parliamentary Budget Office (PBO)’s assessment of the Department’s performance.</w:t>
      </w:r>
    </w:p>
    <w:p w14:paraId="3C398D2E" w14:textId="77777777" w:rsidR="000211D2" w:rsidRPr="008D3C26" w:rsidRDefault="000211D2" w:rsidP="000211D2">
      <w:pPr>
        <w:rPr>
          <w:rFonts w:ascii="Times New Roman" w:hAnsi="Times New Roman" w:cs="Times New Roman"/>
          <w:sz w:val="24"/>
          <w:szCs w:val="24"/>
        </w:rPr>
      </w:pPr>
    </w:p>
    <w:p w14:paraId="06E9DFE0" w14:textId="77777777" w:rsidR="000211D2" w:rsidRPr="008D3C26" w:rsidRDefault="000211D2" w:rsidP="000211D2">
      <w:pPr>
        <w:rPr>
          <w:rFonts w:ascii="Times New Roman" w:hAnsi="Times New Roman" w:cs="Times New Roman"/>
          <w:b/>
          <w:sz w:val="24"/>
          <w:szCs w:val="24"/>
        </w:rPr>
      </w:pPr>
      <w:r w:rsidRPr="008D3C26">
        <w:rPr>
          <w:rFonts w:ascii="Times New Roman" w:hAnsi="Times New Roman" w:cs="Times New Roman"/>
          <w:b/>
          <w:sz w:val="24"/>
          <w:szCs w:val="24"/>
        </w:rPr>
        <w:t>2. OVERVIEW OF THE KEY RELEVANT POLICY FOCUS AREAS</w:t>
      </w:r>
    </w:p>
    <w:p w14:paraId="553E56C3" w14:textId="77777777" w:rsidR="009319A3" w:rsidRPr="008D3C26" w:rsidRDefault="000211D2" w:rsidP="00890578">
      <w:pPr>
        <w:rPr>
          <w:rFonts w:ascii="Times New Roman" w:hAnsi="Times New Roman" w:cs="Times New Roman"/>
          <w:b/>
          <w:sz w:val="24"/>
          <w:szCs w:val="24"/>
        </w:rPr>
      </w:pPr>
      <w:r w:rsidRPr="008D3C26">
        <w:rPr>
          <w:rFonts w:ascii="Times New Roman" w:hAnsi="Times New Roman" w:cs="Times New Roman"/>
          <w:b/>
          <w:sz w:val="24"/>
          <w:szCs w:val="24"/>
        </w:rPr>
        <w:t xml:space="preserve">2.1. </w:t>
      </w:r>
      <w:r w:rsidR="00CA3870" w:rsidRPr="008D3C26">
        <w:rPr>
          <w:rFonts w:ascii="Times New Roman" w:hAnsi="Times New Roman" w:cs="Times New Roman"/>
          <w:b/>
          <w:sz w:val="24"/>
          <w:szCs w:val="24"/>
        </w:rPr>
        <w:t xml:space="preserve">Relevant </w:t>
      </w:r>
      <w:r w:rsidRPr="008D3C26">
        <w:rPr>
          <w:rFonts w:ascii="Times New Roman" w:hAnsi="Times New Roman" w:cs="Times New Roman"/>
          <w:b/>
          <w:sz w:val="24"/>
          <w:szCs w:val="24"/>
        </w:rPr>
        <w:t>Government policy documents</w:t>
      </w:r>
    </w:p>
    <w:p w14:paraId="53934E21" w14:textId="77777777" w:rsidR="00890578" w:rsidRPr="008D3C26" w:rsidRDefault="00890578" w:rsidP="00890578">
      <w:pPr>
        <w:rPr>
          <w:rFonts w:ascii="Times New Roman" w:hAnsi="Times New Roman" w:cs="Times New Roman"/>
          <w:b/>
          <w:sz w:val="24"/>
          <w:szCs w:val="24"/>
        </w:rPr>
      </w:pPr>
      <w:r w:rsidRPr="008D3C26">
        <w:rPr>
          <w:rFonts w:ascii="Times New Roman" w:hAnsi="Times New Roman" w:cs="Times New Roman"/>
          <w:b/>
          <w:sz w:val="24"/>
          <w:szCs w:val="24"/>
        </w:rPr>
        <w:t>2.1.1. The National Development Plan (NDP), Vision 2030</w:t>
      </w:r>
    </w:p>
    <w:p w14:paraId="55293947" w14:textId="77777777" w:rsidR="00C21EB6" w:rsidRPr="008D3C26" w:rsidRDefault="00890578" w:rsidP="00890578">
      <w:pPr>
        <w:rPr>
          <w:rFonts w:ascii="Times New Roman" w:hAnsi="Times New Roman" w:cs="Times New Roman"/>
          <w:sz w:val="24"/>
          <w:szCs w:val="24"/>
        </w:rPr>
      </w:pPr>
      <w:r w:rsidRPr="008D3C26">
        <w:rPr>
          <w:rFonts w:ascii="Times New Roman" w:hAnsi="Times New Roman" w:cs="Times New Roman"/>
          <w:sz w:val="24"/>
          <w:szCs w:val="24"/>
        </w:rPr>
        <w:lastRenderedPageBreak/>
        <w:t>The NDP provides the framework for achieving the radical socio-economic agenda. It identifies decent work, education and the capacity of the state as particularly important priorities. For the post-school education and training sector, the NDP envisages that by 2030, South Africans should have access to education and training of the highest quality. The education, training and innovation system should cater for different needs and produce highly skilled individuals; and that the graduates of the post-school system should have adequate skills and knowledge to meet the current and future needs of the economy and society.</w:t>
      </w:r>
    </w:p>
    <w:p w14:paraId="29874B36" w14:textId="77777777" w:rsidR="009319A3" w:rsidRPr="008D3C26" w:rsidRDefault="009319A3" w:rsidP="00890578">
      <w:pPr>
        <w:rPr>
          <w:rFonts w:ascii="Times New Roman" w:hAnsi="Times New Roman" w:cs="Times New Roman"/>
          <w:b/>
          <w:sz w:val="24"/>
          <w:szCs w:val="24"/>
        </w:rPr>
      </w:pPr>
    </w:p>
    <w:p w14:paraId="465D181B" w14:textId="77777777" w:rsidR="009319A3" w:rsidRPr="008D3C26" w:rsidRDefault="009319A3" w:rsidP="00890578">
      <w:pPr>
        <w:rPr>
          <w:rFonts w:ascii="Times New Roman" w:hAnsi="Times New Roman" w:cs="Times New Roman"/>
          <w:b/>
          <w:sz w:val="24"/>
          <w:szCs w:val="24"/>
        </w:rPr>
      </w:pPr>
    </w:p>
    <w:p w14:paraId="7C729434" w14:textId="77777777" w:rsidR="00890578" w:rsidRPr="008D3C26" w:rsidRDefault="00890578" w:rsidP="00890578">
      <w:pPr>
        <w:rPr>
          <w:rFonts w:ascii="Times New Roman" w:hAnsi="Times New Roman" w:cs="Times New Roman"/>
          <w:b/>
          <w:sz w:val="24"/>
          <w:szCs w:val="24"/>
        </w:rPr>
      </w:pPr>
      <w:r w:rsidRPr="008D3C26">
        <w:rPr>
          <w:rFonts w:ascii="Times New Roman" w:hAnsi="Times New Roman" w:cs="Times New Roman"/>
          <w:b/>
          <w:sz w:val="24"/>
          <w:szCs w:val="24"/>
        </w:rPr>
        <w:t>2.1.2</w:t>
      </w:r>
      <w:r w:rsidRPr="008D3C26">
        <w:rPr>
          <w:rFonts w:ascii="Times New Roman" w:hAnsi="Times New Roman" w:cs="Times New Roman"/>
          <w:sz w:val="24"/>
          <w:szCs w:val="24"/>
        </w:rPr>
        <w:t xml:space="preserve">. </w:t>
      </w:r>
      <w:r w:rsidRPr="008D3C26">
        <w:rPr>
          <w:rFonts w:ascii="Times New Roman" w:hAnsi="Times New Roman" w:cs="Times New Roman"/>
          <w:b/>
          <w:sz w:val="24"/>
          <w:szCs w:val="24"/>
        </w:rPr>
        <w:t>The 2014 – 2019 Medium Term Strategic Framework (MTSF)</w:t>
      </w:r>
    </w:p>
    <w:p w14:paraId="52AC8B45" w14:textId="77777777" w:rsidR="00890578" w:rsidRPr="008D3C26" w:rsidRDefault="00890578" w:rsidP="00890578">
      <w:pPr>
        <w:rPr>
          <w:rFonts w:ascii="Times New Roman" w:hAnsi="Times New Roman" w:cs="Times New Roman"/>
          <w:sz w:val="24"/>
          <w:szCs w:val="24"/>
        </w:rPr>
      </w:pPr>
      <w:r w:rsidRPr="008D3C26">
        <w:rPr>
          <w:rFonts w:ascii="Times New Roman" w:hAnsi="Times New Roman" w:cs="Times New Roman"/>
          <w:sz w:val="24"/>
          <w:szCs w:val="24"/>
        </w:rPr>
        <w:t>The 2014-2019 MTSF</w:t>
      </w:r>
      <w:r w:rsidR="00D64446" w:rsidRPr="008D3C26">
        <w:rPr>
          <w:rFonts w:ascii="Times New Roman" w:hAnsi="Times New Roman" w:cs="Times New Roman"/>
          <w:sz w:val="24"/>
          <w:szCs w:val="24"/>
        </w:rPr>
        <w:t>,</w:t>
      </w:r>
      <w:r w:rsidRPr="008D3C26">
        <w:rPr>
          <w:rFonts w:ascii="Times New Roman" w:hAnsi="Times New Roman" w:cs="Times New Roman"/>
          <w:sz w:val="24"/>
          <w:szCs w:val="24"/>
        </w:rPr>
        <w:t xml:space="preserve"> which is a five-year strategic plan of government</w:t>
      </w:r>
      <w:r w:rsidR="00D64446" w:rsidRPr="008D3C26">
        <w:rPr>
          <w:rFonts w:ascii="Times New Roman" w:hAnsi="Times New Roman" w:cs="Times New Roman"/>
          <w:sz w:val="24"/>
          <w:szCs w:val="24"/>
        </w:rPr>
        <w:t>,</w:t>
      </w:r>
      <w:r w:rsidRPr="008D3C26">
        <w:rPr>
          <w:rFonts w:ascii="Times New Roman" w:hAnsi="Times New Roman" w:cs="Times New Roman"/>
          <w:sz w:val="24"/>
          <w:szCs w:val="24"/>
        </w:rPr>
        <w:t xml:space="preserve"> forms the first five-year implementation phase of the NDP. The aim of the Framework is to ensure policy coherence, alignment and coordination across government plans as well as alignment with the budgeting process. The MTSF is structured around 14 priority outcomes</w:t>
      </w:r>
      <w:r w:rsidR="00F7539B" w:rsidRPr="008D3C26">
        <w:rPr>
          <w:rFonts w:ascii="Times New Roman" w:hAnsi="Times New Roman" w:cs="Times New Roman"/>
          <w:sz w:val="24"/>
          <w:szCs w:val="24"/>
        </w:rPr>
        <w:t>.</w:t>
      </w:r>
      <w:r w:rsidRPr="008D3C26">
        <w:rPr>
          <w:rFonts w:ascii="Times New Roman" w:hAnsi="Times New Roman" w:cs="Times New Roman"/>
          <w:sz w:val="24"/>
          <w:szCs w:val="24"/>
        </w:rPr>
        <w:t xml:space="preserve"> The Department is responsible for Outcome 5: “</w:t>
      </w:r>
      <w:r w:rsidRPr="008D3C26">
        <w:rPr>
          <w:rFonts w:ascii="Times New Roman" w:hAnsi="Times New Roman" w:cs="Times New Roman"/>
          <w:i/>
          <w:sz w:val="24"/>
          <w:szCs w:val="24"/>
        </w:rPr>
        <w:t>A skilled and capable workforce to support an inclusive growth path”</w:t>
      </w:r>
      <w:r w:rsidRPr="008D3C26">
        <w:rPr>
          <w:rFonts w:ascii="Times New Roman" w:hAnsi="Times New Roman" w:cs="Times New Roman"/>
          <w:sz w:val="24"/>
          <w:szCs w:val="24"/>
        </w:rPr>
        <w:t xml:space="preserve">. </w:t>
      </w:r>
    </w:p>
    <w:p w14:paraId="4067C3FD" w14:textId="77777777" w:rsidR="00890578" w:rsidRPr="008D3C26" w:rsidRDefault="00890578" w:rsidP="00890578">
      <w:pPr>
        <w:rPr>
          <w:rFonts w:ascii="Times New Roman" w:hAnsi="Times New Roman" w:cs="Times New Roman"/>
          <w:sz w:val="24"/>
          <w:szCs w:val="24"/>
        </w:rPr>
      </w:pPr>
      <w:r w:rsidRPr="008D3C26">
        <w:rPr>
          <w:rFonts w:ascii="Times New Roman" w:hAnsi="Times New Roman" w:cs="Times New Roman"/>
          <w:sz w:val="24"/>
          <w:szCs w:val="24"/>
        </w:rPr>
        <w:t>In terms of the implementation of Outcome 5</w:t>
      </w:r>
      <w:r w:rsidR="00D64446" w:rsidRPr="008D3C26">
        <w:rPr>
          <w:rFonts w:ascii="Times New Roman" w:hAnsi="Times New Roman" w:cs="Times New Roman"/>
          <w:sz w:val="24"/>
          <w:szCs w:val="24"/>
        </w:rPr>
        <w:t>,</w:t>
      </w:r>
      <w:r w:rsidRPr="008D3C26">
        <w:rPr>
          <w:rFonts w:ascii="Times New Roman" w:hAnsi="Times New Roman" w:cs="Times New Roman"/>
          <w:sz w:val="24"/>
          <w:szCs w:val="24"/>
        </w:rPr>
        <w:t xml:space="preserve"> the following MTSF sub-outcomes have been identified for this Outcome:</w:t>
      </w:r>
    </w:p>
    <w:p w14:paraId="67D6864B" w14:textId="77777777" w:rsidR="00890578" w:rsidRPr="008D3C26" w:rsidRDefault="0087099E" w:rsidP="00890578">
      <w:pPr>
        <w:numPr>
          <w:ilvl w:val="0"/>
          <w:numId w:val="34"/>
        </w:numPr>
        <w:spacing w:after="0"/>
        <w:rPr>
          <w:rFonts w:ascii="Times New Roman" w:hAnsi="Times New Roman" w:cs="Times New Roman"/>
          <w:sz w:val="24"/>
          <w:szCs w:val="24"/>
        </w:rPr>
      </w:pPr>
      <w:r w:rsidRPr="008D3C26">
        <w:rPr>
          <w:rFonts w:ascii="Times New Roman" w:hAnsi="Times New Roman" w:cs="Times New Roman"/>
          <w:sz w:val="24"/>
          <w:szCs w:val="24"/>
        </w:rPr>
        <w:t>A c</w:t>
      </w:r>
      <w:r w:rsidR="00890578" w:rsidRPr="008D3C26">
        <w:rPr>
          <w:rFonts w:ascii="Times New Roman" w:hAnsi="Times New Roman" w:cs="Times New Roman"/>
          <w:sz w:val="24"/>
          <w:szCs w:val="24"/>
        </w:rPr>
        <w:t>redible institutional mechanism for labour market and skills planning;</w:t>
      </w:r>
    </w:p>
    <w:p w14:paraId="2BEACCBB" w14:textId="77777777" w:rsidR="00890578" w:rsidRPr="008D3C26" w:rsidRDefault="00890578" w:rsidP="00890578">
      <w:pPr>
        <w:numPr>
          <w:ilvl w:val="0"/>
          <w:numId w:val="34"/>
        </w:numPr>
        <w:spacing w:after="0"/>
        <w:rPr>
          <w:rFonts w:ascii="Times New Roman" w:hAnsi="Times New Roman" w:cs="Times New Roman"/>
          <w:sz w:val="24"/>
          <w:szCs w:val="24"/>
        </w:rPr>
      </w:pPr>
      <w:r w:rsidRPr="008D3C26">
        <w:rPr>
          <w:rFonts w:ascii="Times New Roman" w:hAnsi="Times New Roman" w:cs="Times New Roman"/>
          <w:sz w:val="24"/>
          <w:szCs w:val="24"/>
        </w:rPr>
        <w:t>Increased access and success in programmes leading to intermediate and high level learning;</w:t>
      </w:r>
    </w:p>
    <w:p w14:paraId="69BCE178" w14:textId="77777777" w:rsidR="00890578" w:rsidRPr="008D3C26" w:rsidRDefault="00890578" w:rsidP="00890578">
      <w:pPr>
        <w:numPr>
          <w:ilvl w:val="0"/>
          <w:numId w:val="34"/>
        </w:numPr>
        <w:spacing w:after="0"/>
        <w:rPr>
          <w:rFonts w:ascii="Times New Roman" w:hAnsi="Times New Roman" w:cs="Times New Roman"/>
          <w:sz w:val="24"/>
          <w:szCs w:val="24"/>
        </w:rPr>
      </w:pPr>
      <w:r w:rsidRPr="008D3C26">
        <w:rPr>
          <w:rFonts w:ascii="Times New Roman" w:hAnsi="Times New Roman" w:cs="Times New Roman"/>
          <w:sz w:val="24"/>
          <w:szCs w:val="24"/>
        </w:rPr>
        <w:t>Increased access to and efficiency of high-level occupationally directed programmes in needed areas; and</w:t>
      </w:r>
    </w:p>
    <w:p w14:paraId="0E22BA00" w14:textId="77777777" w:rsidR="00890578" w:rsidRPr="008D3C26" w:rsidRDefault="00890578" w:rsidP="00890578">
      <w:pPr>
        <w:numPr>
          <w:ilvl w:val="0"/>
          <w:numId w:val="34"/>
        </w:numPr>
        <w:spacing w:after="0"/>
        <w:rPr>
          <w:rFonts w:ascii="Times New Roman" w:hAnsi="Times New Roman" w:cs="Times New Roman"/>
          <w:sz w:val="24"/>
          <w:szCs w:val="24"/>
        </w:rPr>
      </w:pPr>
      <w:r w:rsidRPr="008D3C26">
        <w:rPr>
          <w:rFonts w:ascii="Times New Roman" w:hAnsi="Times New Roman" w:cs="Times New Roman"/>
          <w:sz w:val="24"/>
          <w:szCs w:val="24"/>
        </w:rPr>
        <w:t>Increased access to occupationally directed programmes in needed areas and thereby expand the availability of intermediate level skills with a special focus on artisan skills.</w:t>
      </w:r>
    </w:p>
    <w:p w14:paraId="654639B6" w14:textId="77777777" w:rsidR="00104EE2" w:rsidRPr="008D3C26" w:rsidRDefault="00104EE2" w:rsidP="00104EE2">
      <w:pPr>
        <w:spacing w:after="0"/>
        <w:rPr>
          <w:rFonts w:ascii="Times New Roman" w:hAnsi="Times New Roman" w:cs="Times New Roman"/>
          <w:sz w:val="24"/>
          <w:szCs w:val="24"/>
        </w:rPr>
      </w:pPr>
    </w:p>
    <w:p w14:paraId="5220DF4C" w14:textId="77777777" w:rsidR="00104EE2" w:rsidRPr="008D3C26" w:rsidRDefault="00104EE2" w:rsidP="00104EE2">
      <w:pPr>
        <w:spacing w:after="0"/>
        <w:rPr>
          <w:rFonts w:ascii="Times New Roman" w:hAnsi="Times New Roman" w:cs="Times New Roman"/>
          <w:b/>
          <w:sz w:val="24"/>
          <w:szCs w:val="24"/>
        </w:rPr>
      </w:pPr>
      <w:r w:rsidRPr="008D3C26">
        <w:rPr>
          <w:rFonts w:ascii="Times New Roman" w:hAnsi="Times New Roman" w:cs="Times New Roman"/>
          <w:b/>
          <w:sz w:val="24"/>
          <w:szCs w:val="24"/>
        </w:rPr>
        <w:t>2.1.3. 2016 State of the Nation Address (SONA)</w:t>
      </w:r>
    </w:p>
    <w:p w14:paraId="52233AD4" w14:textId="77777777" w:rsidR="002832CA" w:rsidRPr="008D3C26" w:rsidRDefault="00104EE2" w:rsidP="00DB031C">
      <w:pPr>
        <w:spacing w:after="0"/>
        <w:rPr>
          <w:rFonts w:ascii="Times New Roman" w:hAnsi="Times New Roman" w:cs="Times New Roman"/>
          <w:sz w:val="24"/>
          <w:szCs w:val="24"/>
        </w:rPr>
      </w:pPr>
      <w:r w:rsidRPr="008D3C26">
        <w:rPr>
          <w:rFonts w:ascii="Times New Roman" w:hAnsi="Times New Roman" w:cs="Times New Roman"/>
          <w:sz w:val="24"/>
          <w:szCs w:val="24"/>
        </w:rPr>
        <w:t>The President pronounced in the State of the Nation Address that government ha</w:t>
      </w:r>
      <w:r w:rsidR="00FA2057" w:rsidRPr="008D3C26">
        <w:rPr>
          <w:rFonts w:ascii="Times New Roman" w:hAnsi="Times New Roman" w:cs="Times New Roman"/>
          <w:sz w:val="24"/>
          <w:szCs w:val="24"/>
        </w:rPr>
        <w:t>d</w:t>
      </w:r>
      <w:r w:rsidRPr="008D3C26">
        <w:rPr>
          <w:rFonts w:ascii="Times New Roman" w:hAnsi="Times New Roman" w:cs="Times New Roman"/>
          <w:sz w:val="24"/>
          <w:szCs w:val="24"/>
        </w:rPr>
        <w:t xml:space="preserve"> responded to the financial shortfall arising from the zero per cent university fee increases, as agreed with </w:t>
      </w:r>
      <w:r w:rsidR="0087099E"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students and </w:t>
      </w:r>
      <w:r w:rsidR="0087099E" w:rsidRPr="008D3C26">
        <w:rPr>
          <w:rFonts w:ascii="Times New Roman" w:hAnsi="Times New Roman" w:cs="Times New Roman"/>
          <w:sz w:val="24"/>
          <w:szCs w:val="24"/>
        </w:rPr>
        <w:t xml:space="preserve">the </w:t>
      </w:r>
      <w:r w:rsidR="00952076" w:rsidRPr="008D3C26">
        <w:rPr>
          <w:rFonts w:ascii="Times New Roman" w:hAnsi="Times New Roman" w:cs="Times New Roman"/>
          <w:sz w:val="24"/>
          <w:szCs w:val="24"/>
        </w:rPr>
        <w:t>universities’</w:t>
      </w:r>
      <w:r w:rsidRPr="008D3C26">
        <w:rPr>
          <w:rFonts w:ascii="Times New Roman" w:hAnsi="Times New Roman" w:cs="Times New Roman"/>
          <w:sz w:val="24"/>
          <w:szCs w:val="24"/>
        </w:rPr>
        <w:t xml:space="preserve"> vice-chancellors </w:t>
      </w:r>
      <w:r w:rsidR="003F00AE" w:rsidRPr="008D3C26">
        <w:rPr>
          <w:rFonts w:ascii="Times New Roman" w:hAnsi="Times New Roman" w:cs="Times New Roman"/>
          <w:sz w:val="24"/>
          <w:szCs w:val="24"/>
        </w:rPr>
        <w:t xml:space="preserve">at </w:t>
      </w:r>
      <w:r w:rsidRPr="008D3C26">
        <w:rPr>
          <w:rFonts w:ascii="Times New Roman" w:hAnsi="Times New Roman" w:cs="Times New Roman"/>
          <w:sz w:val="24"/>
          <w:szCs w:val="24"/>
        </w:rPr>
        <w:t>a meeting held i</w:t>
      </w:r>
      <w:r w:rsidR="00F7539B" w:rsidRPr="008D3C26">
        <w:rPr>
          <w:rFonts w:ascii="Times New Roman" w:hAnsi="Times New Roman" w:cs="Times New Roman"/>
          <w:sz w:val="24"/>
          <w:szCs w:val="24"/>
        </w:rPr>
        <w:t xml:space="preserve">n 2015. The President </w:t>
      </w:r>
      <w:r w:rsidRPr="008D3C26">
        <w:rPr>
          <w:rFonts w:ascii="Times New Roman" w:hAnsi="Times New Roman" w:cs="Times New Roman"/>
          <w:sz w:val="24"/>
          <w:szCs w:val="24"/>
        </w:rPr>
        <w:lastRenderedPageBreak/>
        <w:t>also pronounced the appointment of the</w:t>
      </w:r>
      <w:r w:rsidR="00F7539B" w:rsidRPr="008D3C26">
        <w:rPr>
          <w:rFonts w:ascii="Times New Roman" w:hAnsi="Times New Roman" w:cs="Times New Roman"/>
          <w:sz w:val="24"/>
          <w:szCs w:val="24"/>
        </w:rPr>
        <w:t xml:space="preserve"> Heher Commission</w:t>
      </w:r>
      <w:r w:rsidRPr="008D3C26">
        <w:rPr>
          <w:rFonts w:ascii="Times New Roman" w:hAnsi="Times New Roman" w:cs="Times New Roman"/>
          <w:sz w:val="24"/>
          <w:szCs w:val="24"/>
        </w:rPr>
        <w:t xml:space="preserve"> </w:t>
      </w:r>
      <w:r w:rsidR="00F7539B" w:rsidRPr="008D3C26">
        <w:rPr>
          <w:rFonts w:ascii="Times New Roman" w:hAnsi="Times New Roman" w:cs="Times New Roman"/>
          <w:sz w:val="24"/>
          <w:szCs w:val="24"/>
        </w:rPr>
        <w:t>(</w:t>
      </w:r>
      <w:r w:rsidRPr="008D3C26">
        <w:rPr>
          <w:rFonts w:ascii="Times New Roman" w:hAnsi="Times New Roman" w:cs="Times New Roman"/>
          <w:sz w:val="24"/>
          <w:szCs w:val="24"/>
        </w:rPr>
        <w:t>Judicial Commission of Inquiry into higher education</w:t>
      </w:r>
      <w:r w:rsidR="00F7539B" w:rsidRPr="008D3C26">
        <w:rPr>
          <w:rFonts w:ascii="Times New Roman" w:hAnsi="Times New Roman" w:cs="Times New Roman"/>
          <w:sz w:val="24"/>
          <w:szCs w:val="24"/>
        </w:rPr>
        <w:t xml:space="preserve"> funding)</w:t>
      </w:r>
      <w:r w:rsidRPr="008D3C26">
        <w:rPr>
          <w:rFonts w:ascii="Times New Roman" w:hAnsi="Times New Roman" w:cs="Times New Roman"/>
          <w:sz w:val="24"/>
          <w:szCs w:val="24"/>
        </w:rPr>
        <w:t xml:space="preserve"> and urged stakeholder</w:t>
      </w:r>
      <w:r w:rsidR="00E868FA" w:rsidRPr="008D3C26">
        <w:rPr>
          <w:rFonts w:ascii="Times New Roman" w:hAnsi="Times New Roman" w:cs="Times New Roman"/>
          <w:sz w:val="24"/>
          <w:szCs w:val="24"/>
        </w:rPr>
        <w:t>s</w:t>
      </w:r>
      <w:r w:rsidRPr="008D3C26">
        <w:rPr>
          <w:rFonts w:ascii="Times New Roman" w:hAnsi="Times New Roman" w:cs="Times New Roman"/>
          <w:sz w:val="24"/>
          <w:szCs w:val="24"/>
        </w:rPr>
        <w:t xml:space="preserve"> to cooperate with the Commission to ensure its success. </w:t>
      </w:r>
    </w:p>
    <w:p w14:paraId="2C94B726" w14:textId="77777777" w:rsidR="002832CA" w:rsidRPr="008D3C26" w:rsidRDefault="002832CA" w:rsidP="00DB031C">
      <w:pPr>
        <w:spacing w:after="0"/>
        <w:rPr>
          <w:rFonts w:ascii="Times New Roman" w:hAnsi="Times New Roman" w:cs="Times New Roman"/>
          <w:sz w:val="24"/>
          <w:szCs w:val="24"/>
        </w:rPr>
      </w:pPr>
    </w:p>
    <w:p w14:paraId="6043085E" w14:textId="77777777" w:rsidR="00DB031C" w:rsidRPr="008D3C26" w:rsidRDefault="00DB031C" w:rsidP="00DB031C">
      <w:pPr>
        <w:spacing w:after="0"/>
        <w:rPr>
          <w:rFonts w:ascii="Times New Roman" w:eastAsia="Times New Roman" w:hAnsi="Times New Roman" w:cs="Times New Roman"/>
          <w:sz w:val="24"/>
          <w:szCs w:val="24"/>
          <w:lang w:eastAsia="en-ZA"/>
        </w:rPr>
      </w:pPr>
      <w:r w:rsidRPr="008D3C26">
        <w:rPr>
          <w:rFonts w:ascii="Times New Roman" w:hAnsi="Times New Roman" w:cs="Times New Roman"/>
          <w:sz w:val="24"/>
          <w:szCs w:val="24"/>
        </w:rPr>
        <w:t xml:space="preserve">The Minister of Finance reported in the 2016 budget speech that the Department of Higher Education and Training received an </w:t>
      </w:r>
      <w:r w:rsidRPr="008D3C26">
        <w:rPr>
          <w:rFonts w:ascii="Times New Roman" w:eastAsia="Times New Roman" w:hAnsi="Times New Roman" w:cs="Times New Roman"/>
          <w:sz w:val="24"/>
          <w:szCs w:val="24"/>
          <w:lang w:eastAsia="en-ZA"/>
        </w:rPr>
        <w:t xml:space="preserve">additional R16.3 billion for higher education over the next three years. R5.7 billion of this </w:t>
      </w:r>
      <w:r w:rsidR="00D64446" w:rsidRPr="008D3C26">
        <w:rPr>
          <w:rFonts w:ascii="Times New Roman" w:eastAsia="Times New Roman" w:hAnsi="Times New Roman" w:cs="Times New Roman"/>
          <w:sz w:val="24"/>
          <w:szCs w:val="24"/>
          <w:lang w:eastAsia="en-ZA"/>
        </w:rPr>
        <w:t xml:space="preserve">would </w:t>
      </w:r>
      <w:r w:rsidRPr="008D3C26">
        <w:rPr>
          <w:rFonts w:ascii="Times New Roman" w:eastAsia="Times New Roman" w:hAnsi="Times New Roman" w:cs="Times New Roman"/>
          <w:sz w:val="24"/>
          <w:szCs w:val="24"/>
          <w:lang w:eastAsia="en-ZA"/>
        </w:rPr>
        <w:t xml:space="preserve">address the </w:t>
      </w:r>
      <w:r w:rsidR="00E868FA" w:rsidRPr="008D3C26">
        <w:rPr>
          <w:rFonts w:ascii="Times New Roman" w:eastAsia="Times New Roman" w:hAnsi="Times New Roman" w:cs="Times New Roman"/>
          <w:sz w:val="24"/>
          <w:szCs w:val="24"/>
          <w:lang w:eastAsia="en-ZA"/>
        </w:rPr>
        <w:t>zero per cent fee increment for the 2016 academic year</w:t>
      </w:r>
      <w:r w:rsidRPr="008D3C26">
        <w:rPr>
          <w:rFonts w:ascii="Times New Roman" w:eastAsia="Times New Roman" w:hAnsi="Times New Roman" w:cs="Times New Roman"/>
          <w:sz w:val="24"/>
          <w:szCs w:val="24"/>
          <w:lang w:eastAsia="en-ZA"/>
        </w:rPr>
        <w:t xml:space="preserve">, and the carry-through costs over the MTEF period. R2.5 billion </w:t>
      </w:r>
      <w:r w:rsidR="003F00AE" w:rsidRPr="008D3C26">
        <w:rPr>
          <w:rFonts w:ascii="Times New Roman" w:eastAsia="Times New Roman" w:hAnsi="Times New Roman" w:cs="Times New Roman"/>
          <w:sz w:val="24"/>
          <w:szCs w:val="24"/>
          <w:lang w:eastAsia="en-ZA"/>
        </w:rPr>
        <w:t>allocated</w:t>
      </w:r>
      <w:r w:rsidRPr="008D3C26">
        <w:rPr>
          <w:rFonts w:ascii="Times New Roman" w:eastAsia="Times New Roman" w:hAnsi="Times New Roman" w:cs="Times New Roman"/>
          <w:sz w:val="24"/>
          <w:szCs w:val="24"/>
          <w:lang w:eastAsia="en-ZA"/>
        </w:rPr>
        <w:t xml:space="preserve"> to the National Student Financial Aid Scheme </w:t>
      </w:r>
      <w:r w:rsidR="003F00AE" w:rsidRPr="008D3C26">
        <w:rPr>
          <w:rFonts w:ascii="Times New Roman" w:eastAsia="Times New Roman" w:hAnsi="Times New Roman" w:cs="Times New Roman"/>
          <w:sz w:val="24"/>
          <w:szCs w:val="24"/>
          <w:lang w:eastAsia="en-ZA"/>
        </w:rPr>
        <w:t xml:space="preserve">(NSFAS) </w:t>
      </w:r>
      <w:r w:rsidRPr="008D3C26">
        <w:rPr>
          <w:rFonts w:ascii="Times New Roman" w:eastAsia="Times New Roman" w:hAnsi="Times New Roman" w:cs="Times New Roman"/>
          <w:sz w:val="24"/>
          <w:szCs w:val="24"/>
          <w:lang w:eastAsia="en-ZA"/>
        </w:rPr>
        <w:t xml:space="preserve">to clear outstanding student </w:t>
      </w:r>
      <w:r w:rsidR="003F00AE" w:rsidRPr="008D3C26">
        <w:rPr>
          <w:rFonts w:ascii="Times New Roman" w:eastAsia="Times New Roman" w:hAnsi="Times New Roman" w:cs="Times New Roman"/>
          <w:sz w:val="24"/>
          <w:szCs w:val="24"/>
          <w:lang w:eastAsia="en-ZA"/>
        </w:rPr>
        <w:t xml:space="preserve">historic </w:t>
      </w:r>
      <w:r w:rsidRPr="008D3C26">
        <w:rPr>
          <w:rFonts w:ascii="Times New Roman" w:eastAsia="Times New Roman" w:hAnsi="Times New Roman" w:cs="Times New Roman"/>
          <w:sz w:val="24"/>
          <w:szCs w:val="24"/>
          <w:lang w:eastAsia="en-ZA"/>
        </w:rPr>
        <w:t xml:space="preserve">debt, along with a further R8 billion over the medium term to enable current students to complete their studies. </w:t>
      </w:r>
      <w:r w:rsidR="0081293B" w:rsidRPr="008D3C26">
        <w:rPr>
          <w:rFonts w:ascii="Times New Roman" w:eastAsia="Times New Roman" w:hAnsi="Times New Roman" w:cs="Times New Roman"/>
          <w:sz w:val="24"/>
          <w:szCs w:val="24"/>
          <w:lang w:eastAsia="en-ZA"/>
        </w:rPr>
        <w:t>This was to ensure that financial need does not become a barrier to access.</w:t>
      </w:r>
    </w:p>
    <w:p w14:paraId="06A4D6A4" w14:textId="77777777" w:rsidR="00CB777A" w:rsidRPr="008D3C26" w:rsidRDefault="00CB777A" w:rsidP="00480F1E">
      <w:pPr>
        <w:pStyle w:val="ListParagraph"/>
        <w:spacing w:after="0" w:line="280" w:lineRule="exact"/>
        <w:ind w:left="0"/>
        <w:rPr>
          <w:rFonts w:ascii="Times New Roman" w:hAnsi="Times New Roman" w:cs="Times New Roman"/>
          <w:sz w:val="24"/>
          <w:szCs w:val="24"/>
        </w:rPr>
      </w:pPr>
    </w:p>
    <w:p w14:paraId="7CCB18E8" w14:textId="77777777" w:rsidR="00E868FA" w:rsidRPr="008D3C26" w:rsidRDefault="00E868FA" w:rsidP="00E42E4F">
      <w:pPr>
        <w:rPr>
          <w:rFonts w:ascii="Times New Roman" w:hAnsi="Times New Roman" w:cs="Times New Roman"/>
          <w:b/>
          <w:sz w:val="24"/>
          <w:szCs w:val="24"/>
        </w:rPr>
      </w:pPr>
    </w:p>
    <w:p w14:paraId="1687797D" w14:textId="77777777" w:rsidR="00E96DD9" w:rsidRPr="008D3C26" w:rsidRDefault="00CD5FC2" w:rsidP="00E42E4F">
      <w:pPr>
        <w:rPr>
          <w:rFonts w:ascii="Times New Roman" w:hAnsi="Times New Roman" w:cs="Times New Roman"/>
          <w:b/>
          <w:sz w:val="24"/>
          <w:szCs w:val="24"/>
        </w:rPr>
      </w:pPr>
      <w:r w:rsidRPr="008D3C26">
        <w:rPr>
          <w:rFonts w:ascii="Times New Roman" w:hAnsi="Times New Roman" w:cs="Times New Roman"/>
          <w:b/>
          <w:sz w:val="24"/>
          <w:szCs w:val="24"/>
        </w:rPr>
        <w:t xml:space="preserve">3. </w:t>
      </w:r>
      <w:r w:rsidR="002C50F4" w:rsidRPr="008D3C26">
        <w:rPr>
          <w:rFonts w:ascii="Times New Roman" w:hAnsi="Times New Roman" w:cs="Times New Roman"/>
          <w:b/>
          <w:sz w:val="24"/>
          <w:szCs w:val="24"/>
        </w:rPr>
        <w:t xml:space="preserve">SUMMARY OF THE PREVIOUS KEY FINANCIAL AND NON-FINANCIAL PERFORMANCE RECOMMENDATIONS OF THE PORTFOLIO COMMITTEE </w:t>
      </w:r>
    </w:p>
    <w:p w14:paraId="664C77F7" w14:textId="77777777" w:rsidR="002E3E89" w:rsidRPr="008D3C26" w:rsidRDefault="007E0474" w:rsidP="002E3E89">
      <w:pPr>
        <w:rPr>
          <w:rFonts w:ascii="Times New Roman" w:hAnsi="Times New Roman" w:cs="Times New Roman"/>
          <w:b/>
          <w:sz w:val="24"/>
          <w:szCs w:val="24"/>
        </w:rPr>
      </w:pPr>
      <w:r w:rsidRPr="008D3C26">
        <w:rPr>
          <w:rFonts w:ascii="Times New Roman" w:hAnsi="Times New Roman" w:cs="Times New Roman"/>
          <w:b/>
          <w:sz w:val="24"/>
          <w:szCs w:val="24"/>
        </w:rPr>
        <w:t>3.1. 201</w:t>
      </w:r>
      <w:r w:rsidR="00B641CA" w:rsidRPr="008D3C26">
        <w:rPr>
          <w:rFonts w:ascii="Times New Roman" w:hAnsi="Times New Roman" w:cs="Times New Roman"/>
          <w:b/>
          <w:sz w:val="24"/>
          <w:szCs w:val="24"/>
        </w:rPr>
        <w:t>6</w:t>
      </w:r>
      <w:r w:rsidR="00525756" w:rsidRPr="008D3C26">
        <w:rPr>
          <w:rFonts w:ascii="Times New Roman" w:hAnsi="Times New Roman" w:cs="Times New Roman"/>
          <w:b/>
          <w:sz w:val="24"/>
          <w:szCs w:val="24"/>
        </w:rPr>
        <w:t xml:space="preserve"> BRR </w:t>
      </w:r>
      <w:r w:rsidR="002C50F4" w:rsidRPr="008D3C26">
        <w:rPr>
          <w:rFonts w:ascii="Times New Roman" w:hAnsi="Times New Roman" w:cs="Times New Roman"/>
          <w:b/>
          <w:sz w:val="24"/>
          <w:szCs w:val="24"/>
        </w:rPr>
        <w:t xml:space="preserve">Recommendations and the response of the Minister of Higher Education and Training </w:t>
      </w:r>
    </w:p>
    <w:p w14:paraId="1EA32A7B" w14:textId="77777777" w:rsidR="003F542E" w:rsidRPr="008D3C26" w:rsidRDefault="009773EB" w:rsidP="003F542E">
      <w:pPr>
        <w:rPr>
          <w:rFonts w:ascii="Times New Roman" w:hAnsi="Times New Roman" w:cs="Times New Roman"/>
          <w:sz w:val="24"/>
          <w:szCs w:val="24"/>
        </w:rPr>
      </w:pPr>
      <w:r w:rsidRPr="008D3C26">
        <w:rPr>
          <w:rFonts w:ascii="Times New Roman" w:hAnsi="Times New Roman" w:cs="Times New Roman"/>
          <w:sz w:val="24"/>
          <w:szCs w:val="24"/>
        </w:rPr>
        <w:t xml:space="preserve">This section </w:t>
      </w:r>
      <w:r w:rsidR="007079CB" w:rsidRPr="008D3C26">
        <w:rPr>
          <w:rFonts w:ascii="Times New Roman" w:hAnsi="Times New Roman" w:cs="Times New Roman"/>
          <w:sz w:val="24"/>
          <w:szCs w:val="24"/>
        </w:rPr>
        <w:t>briefly summarises the 201</w:t>
      </w:r>
      <w:r w:rsidR="00091B4D" w:rsidRPr="008D3C26">
        <w:rPr>
          <w:rFonts w:ascii="Times New Roman" w:hAnsi="Times New Roman" w:cs="Times New Roman"/>
          <w:sz w:val="24"/>
          <w:szCs w:val="24"/>
        </w:rPr>
        <w:t>6</w:t>
      </w:r>
      <w:r w:rsidR="007079CB" w:rsidRPr="008D3C26">
        <w:rPr>
          <w:rFonts w:ascii="Times New Roman" w:hAnsi="Times New Roman" w:cs="Times New Roman"/>
          <w:sz w:val="24"/>
          <w:szCs w:val="24"/>
        </w:rPr>
        <w:t xml:space="preserve"> recommendations and subsequent progress and challenges in 201</w:t>
      </w:r>
      <w:r w:rsidR="00091B4D" w:rsidRPr="008D3C26">
        <w:rPr>
          <w:rFonts w:ascii="Times New Roman" w:hAnsi="Times New Roman" w:cs="Times New Roman"/>
          <w:sz w:val="24"/>
          <w:szCs w:val="24"/>
        </w:rPr>
        <w:t>7/18</w:t>
      </w:r>
      <w:r w:rsidR="00B641CA" w:rsidRPr="008D3C26">
        <w:rPr>
          <w:rFonts w:ascii="Times New Roman" w:hAnsi="Times New Roman" w:cs="Times New Roman"/>
          <w:sz w:val="24"/>
          <w:szCs w:val="24"/>
        </w:rPr>
        <w:t>.</w:t>
      </w:r>
    </w:p>
    <w:p w14:paraId="74A16BCD" w14:textId="77777777" w:rsidR="00817CD7" w:rsidRPr="008D3C26" w:rsidRDefault="002C50F4" w:rsidP="002C50F4">
      <w:pPr>
        <w:spacing w:before="60" w:after="60"/>
        <w:rPr>
          <w:rFonts w:ascii="Times New Roman" w:hAnsi="Times New Roman" w:cs="Times New Roman"/>
          <w:sz w:val="24"/>
          <w:szCs w:val="24"/>
        </w:rPr>
      </w:pPr>
      <w:r w:rsidRPr="008D3C26">
        <w:rPr>
          <w:rFonts w:ascii="Times New Roman" w:hAnsi="Times New Roman" w:cs="Times New Roman"/>
          <w:b/>
          <w:sz w:val="24"/>
          <w:szCs w:val="24"/>
        </w:rPr>
        <w:t xml:space="preserve">3.1.1. </w:t>
      </w:r>
      <w:r w:rsidR="009252E5" w:rsidRPr="008D3C26">
        <w:rPr>
          <w:rFonts w:ascii="Times New Roman" w:hAnsi="Times New Roman" w:cs="Times New Roman"/>
          <w:b/>
          <w:sz w:val="24"/>
          <w:szCs w:val="24"/>
        </w:rPr>
        <w:t>The filling of funded outstanding vacancies should be pri</w:t>
      </w:r>
      <w:r w:rsidR="003F542E" w:rsidRPr="008D3C26">
        <w:rPr>
          <w:rFonts w:ascii="Times New Roman" w:hAnsi="Times New Roman" w:cs="Times New Roman"/>
          <w:b/>
          <w:sz w:val="24"/>
          <w:szCs w:val="24"/>
        </w:rPr>
        <w:t xml:space="preserve">oritised, especially the Deputy </w:t>
      </w:r>
      <w:r w:rsidR="009252E5" w:rsidRPr="008D3C26">
        <w:rPr>
          <w:rFonts w:ascii="Times New Roman" w:hAnsi="Times New Roman" w:cs="Times New Roman"/>
          <w:b/>
          <w:sz w:val="24"/>
          <w:szCs w:val="24"/>
        </w:rPr>
        <w:t>Director-General posts.</w:t>
      </w:r>
      <w:r w:rsidR="00D842AB" w:rsidRPr="008D3C26">
        <w:rPr>
          <w:rFonts w:ascii="Times New Roman" w:hAnsi="Times New Roman" w:cs="Times New Roman"/>
          <w:sz w:val="24"/>
          <w:szCs w:val="24"/>
        </w:rPr>
        <w:t xml:space="preserve"> </w:t>
      </w:r>
    </w:p>
    <w:p w14:paraId="6FB17D5F" w14:textId="77777777" w:rsidR="00B641CA" w:rsidRPr="008D3C26" w:rsidRDefault="00D842AB" w:rsidP="00817CD7">
      <w:pPr>
        <w:spacing w:before="60" w:after="60"/>
        <w:rPr>
          <w:rFonts w:ascii="Times New Roman" w:hAnsi="Times New Roman" w:cs="Times New Roman"/>
          <w:color w:val="000000" w:themeColor="text1"/>
          <w:sz w:val="24"/>
          <w:szCs w:val="24"/>
        </w:rPr>
      </w:pPr>
      <w:r w:rsidRPr="008D3C26">
        <w:rPr>
          <w:rFonts w:ascii="Times New Roman" w:hAnsi="Times New Roman" w:cs="Times New Roman"/>
          <w:sz w:val="24"/>
          <w:szCs w:val="24"/>
        </w:rPr>
        <w:t xml:space="preserve">The Department reported </w:t>
      </w:r>
      <w:r w:rsidR="00910152" w:rsidRPr="008D3C26">
        <w:rPr>
          <w:rFonts w:ascii="Times New Roman" w:hAnsi="Times New Roman" w:cs="Times New Roman"/>
          <w:sz w:val="24"/>
          <w:szCs w:val="24"/>
        </w:rPr>
        <w:t xml:space="preserve">that </w:t>
      </w:r>
      <w:r w:rsidRPr="008D3C26">
        <w:rPr>
          <w:rFonts w:ascii="Times New Roman" w:hAnsi="Times New Roman" w:cs="Times New Roman"/>
          <w:sz w:val="24"/>
          <w:szCs w:val="24"/>
        </w:rPr>
        <w:t xml:space="preserve">a process to fill the vacancies was underway. The </w:t>
      </w:r>
      <w:r w:rsidRPr="008D3C26">
        <w:rPr>
          <w:rFonts w:ascii="Times New Roman" w:hAnsi="Times New Roman" w:cs="Times New Roman"/>
          <w:color w:val="000000" w:themeColor="text1"/>
          <w:sz w:val="24"/>
          <w:szCs w:val="24"/>
        </w:rPr>
        <w:t xml:space="preserve">position of DDG: Planning, Policy and Strategy had been filled on a contractual basis and advertised. </w:t>
      </w:r>
      <w:r w:rsidR="00910152" w:rsidRPr="008D3C26">
        <w:rPr>
          <w:rFonts w:ascii="Times New Roman" w:hAnsi="Times New Roman" w:cs="Times New Roman"/>
          <w:color w:val="000000" w:themeColor="text1"/>
          <w:sz w:val="24"/>
          <w:szCs w:val="24"/>
        </w:rPr>
        <w:t>The s</w:t>
      </w:r>
      <w:r w:rsidRPr="008D3C26">
        <w:rPr>
          <w:rFonts w:ascii="Times New Roman" w:hAnsi="Times New Roman" w:cs="Times New Roman"/>
          <w:color w:val="000000" w:themeColor="text1"/>
          <w:sz w:val="24"/>
          <w:szCs w:val="24"/>
        </w:rPr>
        <w:t xml:space="preserve">hortlisting process was </w:t>
      </w:r>
      <w:r w:rsidR="00910152" w:rsidRPr="008D3C26">
        <w:rPr>
          <w:rFonts w:ascii="Times New Roman" w:hAnsi="Times New Roman" w:cs="Times New Roman"/>
          <w:color w:val="000000" w:themeColor="text1"/>
          <w:sz w:val="24"/>
          <w:szCs w:val="24"/>
        </w:rPr>
        <w:t xml:space="preserve">completed </w:t>
      </w:r>
      <w:r w:rsidRPr="008D3C26">
        <w:rPr>
          <w:rFonts w:ascii="Times New Roman" w:hAnsi="Times New Roman" w:cs="Times New Roman"/>
          <w:color w:val="000000" w:themeColor="text1"/>
          <w:sz w:val="24"/>
          <w:szCs w:val="24"/>
        </w:rPr>
        <w:t xml:space="preserve">and </w:t>
      </w:r>
      <w:r w:rsidR="00910152" w:rsidRPr="008D3C26">
        <w:rPr>
          <w:rFonts w:ascii="Times New Roman" w:hAnsi="Times New Roman" w:cs="Times New Roman"/>
          <w:color w:val="000000" w:themeColor="text1"/>
          <w:sz w:val="24"/>
          <w:szCs w:val="24"/>
        </w:rPr>
        <w:t xml:space="preserve">the </w:t>
      </w:r>
      <w:r w:rsidRPr="008D3C26">
        <w:rPr>
          <w:rFonts w:ascii="Times New Roman" w:hAnsi="Times New Roman" w:cs="Times New Roman"/>
          <w:color w:val="000000" w:themeColor="text1"/>
          <w:sz w:val="24"/>
          <w:szCs w:val="24"/>
        </w:rPr>
        <w:t xml:space="preserve"> finalisation of interview dates</w:t>
      </w:r>
      <w:r w:rsidR="00910152" w:rsidRPr="008D3C26">
        <w:rPr>
          <w:rFonts w:ascii="Times New Roman" w:hAnsi="Times New Roman" w:cs="Times New Roman"/>
          <w:color w:val="000000" w:themeColor="text1"/>
          <w:sz w:val="24"/>
          <w:szCs w:val="24"/>
        </w:rPr>
        <w:t xml:space="preserve"> was under way</w:t>
      </w:r>
      <w:r w:rsidRPr="008D3C26">
        <w:rPr>
          <w:rFonts w:ascii="Times New Roman" w:hAnsi="Times New Roman" w:cs="Times New Roman"/>
          <w:color w:val="000000" w:themeColor="text1"/>
          <w:sz w:val="24"/>
          <w:szCs w:val="24"/>
        </w:rPr>
        <w:t>.</w:t>
      </w:r>
      <w:r w:rsidR="00817CD7" w:rsidRPr="008D3C26">
        <w:rPr>
          <w:rFonts w:ascii="Times New Roman" w:hAnsi="Times New Roman" w:cs="Times New Roman"/>
          <w:color w:val="000000" w:themeColor="text1"/>
          <w:sz w:val="24"/>
          <w:szCs w:val="24"/>
        </w:rPr>
        <w:t xml:space="preserve"> </w:t>
      </w:r>
      <w:r w:rsidRPr="008D3C26">
        <w:rPr>
          <w:rFonts w:ascii="Times New Roman" w:hAnsi="Times New Roman" w:cs="Times New Roman"/>
          <w:color w:val="000000" w:themeColor="text1"/>
          <w:sz w:val="24"/>
          <w:szCs w:val="24"/>
        </w:rPr>
        <w:t>The post of DDG: C</w:t>
      </w:r>
      <w:r w:rsidR="00AE2BB0" w:rsidRPr="008D3C26">
        <w:rPr>
          <w:rFonts w:ascii="Times New Roman" w:hAnsi="Times New Roman" w:cs="Times New Roman"/>
          <w:color w:val="000000" w:themeColor="text1"/>
          <w:sz w:val="24"/>
          <w:szCs w:val="24"/>
        </w:rPr>
        <w:t xml:space="preserve">ommunity </w:t>
      </w:r>
      <w:r w:rsidRPr="008D3C26">
        <w:rPr>
          <w:rFonts w:ascii="Times New Roman" w:hAnsi="Times New Roman" w:cs="Times New Roman"/>
          <w:color w:val="000000" w:themeColor="text1"/>
          <w:sz w:val="24"/>
          <w:szCs w:val="24"/>
        </w:rPr>
        <w:t>E</w:t>
      </w:r>
      <w:r w:rsidR="00AE2BB0" w:rsidRPr="008D3C26">
        <w:rPr>
          <w:rFonts w:ascii="Times New Roman" w:hAnsi="Times New Roman" w:cs="Times New Roman"/>
          <w:color w:val="000000" w:themeColor="text1"/>
          <w:sz w:val="24"/>
          <w:szCs w:val="24"/>
        </w:rPr>
        <w:t xml:space="preserve">ducation and </w:t>
      </w:r>
      <w:r w:rsidRPr="008D3C26">
        <w:rPr>
          <w:rFonts w:ascii="Times New Roman" w:hAnsi="Times New Roman" w:cs="Times New Roman"/>
          <w:color w:val="000000" w:themeColor="text1"/>
          <w:sz w:val="24"/>
          <w:szCs w:val="24"/>
        </w:rPr>
        <w:t>T</w:t>
      </w:r>
      <w:r w:rsidR="00AE2BB0" w:rsidRPr="008D3C26">
        <w:rPr>
          <w:rFonts w:ascii="Times New Roman" w:hAnsi="Times New Roman" w:cs="Times New Roman"/>
          <w:color w:val="000000" w:themeColor="text1"/>
          <w:sz w:val="24"/>
          <w:szCs w:val="24"/>
        </w:rPr>
        <w:t xml:space="preserve">raining would be advertised </w:t>
      </w:r>
      <w:r w:rsidRPr="008D3C26">
        <w:rPr>
          <w:rFonts w:ascii="Times New Roman" w:hAnsi="Times New Roman" w:cs="Times New Roman"/>
          <w:color w:val="000000" w:themeColor="text1"/>
          <w:sz w:val="24"/>
          <w:szCs w:val="24"/>
        </w:rPr>
        <w:t xml:space="preserve">during the month of October 2017. </w:t>
      </w:r>
      <w:r w:rsidR="00910152" w:rsidRPr="008D3C26">
        <w:rPr>
          <w:rFonts w:ascii="Times New Roman" w:hAnsi="Times New Roman" w:cs="Times New Roman"/>
          <w:color w:val="000000" w:themeColor="text1"/>
          <w:sz w:val="24"/>
          <w:szCs w:val="24"/>
        </w:rPr>
        <w:t xml:space="preserve">An </w:t>
      </w:r>
      <w:r w:rsidR="00AE2BB0" w:rsidRPr="008D3C26">
        <w:rPr>
          <w:rFonts w:ascii="Times New Roman" w:hAnsi="Times New Roman" w:cs="Times New Roman"/>
          <w:color w:val="000000" w:themeColor="text1"/>
          <w:sz w:val="24"/>
          <w:szCs w:val="24"/>
        </w:rPr>
        <w:t>A</w:t>
      </w:r>
      <w:r w:rsidRPr="008D3C26">
        <w:rPr>
          <w:rFonts w:ascii="Times New Roman" w:hAnsi="Times New Roman" w:cs="Times New Roman"/>
          <w:color w:val="000000" w:themeColor="text1"/>
          <w:sz w:val="24"/>
          <w:szCs w:val="24"/>
        </w:rPr>
        <w:t>cting DDG ha</w:t>
      </w:r>
      <w:r w:rsidR="00AE2BB0" w:rsidRPr="008D3C26">
        <w:rPr>
          <w:rFonts w:ascii="Times New Roman" w:hAnsi="Times New Roman" w:cs="Times New Roman"/>
          <w:color w:val="000000" w:themeColor="text1"/>
          <w:sz w:val="24"/>
          <w:szCs w:val="24"/>
        </w:rPr>
        <w:t>d</w:t>
      </w:r>
      <w:r w:rsidRPr="008D3C26">
        <w:rPr>
          <w:rFonts w:ascii="Times New Roman" w:hAnsi="Times New Roman" w:cs="Times New Roman"/>
          <w:color w:val="000000" w:themeColor="text1"/>
          <w:sz w:val="24"/>
          <w:szCs w:val="24"/>
        </w:rPr>
        <w:t xml:space="preserve"> been appointed to ensure smooth running of the Branch.</w:t>
      </w:r>
      <w:r w:rsidR="00AE2BB0" w:rsidRPr="008D3C26">
        <w:rPr>
          <w:rFonts w:ascii="Times New Roman" w:hAnsi="Times New Roman" w:cs="Times New Roman"/>
          <w:color w:val="000000" w:themeColor="text1"/>
          <w:sz w:val="24"/>
          <w:szCs w:val="24"/>
        </w:rPr>
        <w:t xml:space="preserve"> It should be noted that the Acting DDG has acted in the position for more than 12 months. A process to fill this vacancy should be expedited to ensure stability at Senior Management Level of the Department. </w:t>
      </w:r>
    </w:p>
    <w:p w14:paraId="0723A6EB" w14:textId="77777777" w:rsidR="009252E5" w:rsidRPr="008D3C26" w:rsidRDefault="002C50F4" w:rsidP="002C50F4">
      <w:pPr>
        <w:rPr>
          <w:rFonts w:ascii="Times New Roman" w:hAnsi="Times New Roman" w:cs="Times New Roman"/>
          <w:b/>
          <w:sz w:val="24"/>
          <w:szCs w:val="24"/>
        </w:rPr>
      </w:pPr>
      <w:r w:rsidRPr="008D3C26">
        <w:rPr>
          <w:rFonts w:ascii="Times New Roman" w:hAnsi="Times New Roman" w:cs="Times New Roman"/>
          <w:b/>
          <w:sz w:val="24"/>
          <w:szCs w:val="24"/>
        </w:rPr>
        <w:t xml:space="preserve">3.1.2. </w:t>
      </w:r>
      <w:r w:rsidR="00BB1586" w:rsidRPr="008D3C26">
        <w:rPr>
          <w:rFonts w:ascii="Times New Roman" w:hAnsi="Times New Roman" w:cs="Times New Roman"/>
          <w:b/>
          <w:sz w:val="24"/>
          <w:szCs w:val="24"/>
        </w:rPr>
        <w:t>The human resource capacity of the Department should be improved</w:t>
      </w:r>
      <w:r w:rsidR="00062214" w:rsidRPr="008D3C26">
        <w:rPr>
          <w:rFonts w:ascii="Times New Roman" w:hAnsi="Times New Roman" w:cs="Times New Roman"/>
          <w:b/>
          <w:sz w:val="24"/>
          <w:szCs w:val="24"/>
        </w:rPr>
        <w:t xml:space="preserve">. </w:t>
      </w:r>
    </w:p>
    <w:p w14:paraId="7DC72D28" w14:textId="77777777" w:rsidR="00062214" w:rsidRPr="008D3C26" w:rsidRDefault="00062214" w:rsidP="00E42E4F">
      <w:pPr>
        <w:rPr>
          <w:rFonts w:ascii="Times New Roman" w:hAnsi="Times New Roman" w:cs="Times New Roman"/>
          <w:sz w:val="24"/>
          <w:szCs w:val="24"/>
        </w:rPr>
      </w:pPr>
      <w:r w:rsidRPr="008D3C26">
        <w:rPr>
          <w:rFonts w:ascii="Times New Roman" w:hAnsi="Times New Roman" w:cs="Times New Roman"/>
          <w:sz w:val="24"/>
          <w:szCs w:val="24"/>
        </w:rPr>
        <w:lastRenderedPageBreak/>
        <w:t xml:space="preserve">The </w:t>
      </w:r>
      <w:r w:rsidR="008709EA" w:rsidRPr="008D3C26">
        <w:rPr>
          <w:rFonts w:ascii="Times New Roman" w:hAnsi="Times New Roman" w:cs="Times New Roman"/>
          <w:sz w:val="24"/>
          <w:szCs w:val="24"/>
        </w:rPr>
        <w:t>D</w:t>
      </w:r>
      <w:r w:rsidRPr="008D3C26">
        <w:rPr>
          <w:rFonts w:ascii="Times New Roman" w:hAnsi="Times New Roman" w:cs="Times New Roman"/>
          <w:sz w:val="24"/>
          <w:szCs w:val="24"/>
        </w:rPr>
        <w:t xml:space="preserve">epartment </w:t>
      </w:r>
      <w:r w:rsidR="008709EA" w:rsidRPr="008D3C26">
        <w:rPr>
          <w:rFonts w:ascii="Times New Roman" w:hAnsi="Times New Roman" w:cs="Times New Roman"/>
          <w:sz w:val="24"/>
          <w:szCs w:val="24"/>
        </w:rPr>
        <w:t xml:space="preserve">noted that it could not </w:t>
      </w:r>
      <w:r w:rsidRPr="008D3C26">
        <w:rPr>
          <w:rFonts w:ascii="Times New Roman" w:hAnsi="Times New Roman" w:cs="Times New Roman"/>
          <w:sz w:val="24"/>
          <w:szCs w:val="24"/>
        </w:rPr>
        <w:t xml:space="preserve">fill additional posts that </w:t>
      </w:r>
      <w:r w:rsidR="008709EA" w:rsidRPr="008D3C26">
        <w:rPr>
          <w:rFonts w:ascii="Times New Roman" w:hAnsi="Times New Roman" w:cs="Times New Roman"/>
          <w:sz w:val="24"/>
          <w:szCs w:val="24"/>
        </w:rPr>
        <w:t>were</w:t>
      </w:r>
      <w:r w:rsidRPr="008D3C26">
        <w:rPr>
          <w:rFonts w:ascii="Times New Roman" w:hAnsi="Times New Roman" w:cs="Times New Roman"/>
          <w:sz w:val="24"/>
          <w:szCs w:val="24"/>
        </w:rPr>
        <w:t xml:space="preserve"> in the new organisational structure as the compensation </w:t>
      </w:r>
      <w:r w:rsidR="00910152" w:rsidRPr="008D3C26">
        <w:rPr>
          <w:rFonts w:ascii="Times New Roman" w:hAnsi="Times New Roman" w:cs="Times New Roman"/>
          <w:sz w:val="24"/>
          <w:szCs w:val="24"/>
        </w:rPr>
        <w:t xml:space="preserve">of employees </w:t>
      </w:r>
      <w:r w:rsidRPr="008D3C26">
        <w:rPr>
          <w:rFonts w:ascii="Times New Roman" w:hAnsi="Times New Roman" w:cs="Times New Roman"/>
          <w:sz w:val="24"/>
          <w:szCs w:val="24"/>
        </w:rPr>
        <w:t>budget ha</w:t>
      </w:r>
      <w:r w:rsidR="008709EA" w:rsidRPr="008D3C26">
        <w:rPr>
          <w:rFonts w:ascii="Times New Roman" w:hAnsi="Times New Roman" w:cs="Times New Roman"/>
          <w:sz w:val="24"/>
          <w:szCs w:val="24"/>
        </w:rPr>
        <w:t>d</w:t>
      </w:r>
      <w:r w:rsidRPr="008D3C26">
        <w:rPr>
          <w:rFonts w:ascii="Times New Roman" w:hAnsi="Times New Roman" w:cs="Times New Roman"/>
          <w:sz w:val="24"/>
          <w:szCs w:val="24"/>
        </w:rPr>
        <w:t xml:space="preserve"> been capped by National Treasury. Posts w</w:t>
      </w:r>
      <w:r w:rsidR="008709EA" w:rsidRPr="008D3C26">
        <w:rPr>
          <w:rFonts w:ascii="Times New Roman" w:hAnsi="Times New Roman" w:cs="Times New Roman"/>
          <w:sz w:val="24"/>
          <w:szCs w:val="24"/>
        </w:rPr>
        <w:t>ould</w:t>
      </w:r>
      <w:r w:rsidRPr="008D3C26">
        <w:rPr>
          <w:rFonts w:ascii="Times New Roman" w:hAnsi="Times New Roman" w:cs="Times New Roman"/>
          <w:sz w:val="24"/>
          <w:szCs w:val="24"/>
        </w:rPr>
        <w:t xml:space="preserve"> be filled gradually as new funds </w:t>
      </w:r>
      <w:r w:rsidR="008709EA" w:rsidRPr="008D3C26">
        <w:rPr>
          <w:rFonts w:ascii="Times New Roman" w:hAnsi="Times New Roman" w:cs="Times New Roman"/>
          <w:sz w:val="24"/>
          <w:szCs w:val="24"/>
        </w:rPr>
        <w:t>were</w:t>
      </w:r>
      <w:r w:rsidRPr="008D3C26">
        <w:rPr>
          <w:rFonts w:ascii="Times New Roman" w:hAnsi="Times New Roman" w:cs="Times New Roman"/>
          <w:sz w:val="24"/>
          <w:szCs w:val="24"/>
        </w:rPr>
        <w:t xml:space="preserve"> allocated over the M</w:t>
      </w:r>
      <w:r w:rsidR="008709EA" w:rsidRPr="008D3C26">
        <w:rPr>
          <w:rFonts w:ascii="Times New Roman" w:hAnsi="Times New Roman" w:cs="Times New Roman"/>
          <w:sz w:val="24"/>
          <w:szCs w:val="24"/>
        </w:rPr>
        <w:t xml:space="preserve">edium </w:t>
      </w:r>
      <w:r w:rsidRPr="008D3C26">
        <w:rPr>
          <w:rFonts w:ascii="Times New Roman" w:hAnsi="Times New Roman" w:cs="Times New Roman"/>
          <w:sz w:val="24"/>
          <w:szCs w:val="24"/>
        </w:rPr>
        <w:t>T</w:t>
      </w:r>
      <w:r w:rsidR="008709EA" w:rsidRPr="008D3C26">
        <w:rPr>
          <w:rFonts w:ascii="Times New Roman" w:hAnsi="Times New Roman" w:cs="Times New Roman"/>
          <w:sz w:val="24"/>
          <w:szCs w:val="24"/>
        </w:rPr>
        <w:t xml:space="preserve">erm </w:t>
      </w:r>
      <w:r w:rsidRPr="008D3C26">
        <w:rPr>
          <w:rFonts w:ascii="Times New Roman" w:hAnsi="Times New Roman" w:cs="Times New Roman"/>
          <w:sz w:val="24"/>
          <w:szCs w:val="24"/>
        </w:rPr>
        <w:t>E</w:t>
      </w:r>
      <w:r w:rsidR="008709EA" w:rsidRPr="008D3C26">
        <w:rPr>
          <w:rFonts w:ascii="Times New Roman" w:hAnsi="Times New Roman" w:cs="Times New Roman"/>
          <w:sz w:val="24"/>
          <w:szCs w:val="24"/>
        </w:rPr>
        <w:t xml:space="preserve">xpenditure </w:t>
      </w:r>
      <w:r w:rsidRPr="008D3C26">
        <w:rPr>
          <w:rFonts w:ascii="Times New Roman" w:hAnsi="Times New Roman" w:cs="Times New Roman"/>
          <w:sz w:val="24"/>
          <w:szCs w:val="24"/>
        </w:rPr>
        <w:t>F</w:t>
      </w:r>
      <w:r w:rsidR="008709EA" w:rsidRPr="008D3C26">
        <w:rPr>
          <w:rFonts w:ascii="Times New Roman" w:hAnsi="Times New Roman" w:cs="Times New Roman"/>
          <w:sz w:val="24"/>
          <w:szCs w:val="24"/>
        </w:rPr>
        <w:t>ramework (MTEF)</w:t>
      </w:r>
      <w:r w:rsidRPr="008D3C26">
        <w:rPr>
          <w:rFonts w:ascii="Times New Roman" w:hAnsi="Times New Roman" w:cs="Times New Roman"/>
          <w:sz w:val="24"/>
          <w:szCs w:val="24"/>
        </w:rPr>
        <w:t xml:space="preserve">. </w:t>
      </w:r>
      <w:r w:rsidR="00B010F8" w:rsidRPr="008D3C26">
        <w:rPr>
          <w:rFonts w:ascii="Times New Roman" w:hAnsi="Times New Roman" w:cs="Times New Roman"/>
          <w:sz w:val="24"/>
          <w:szCs w:val="24"/>
        </w:rPr>
        <w:t xml:space="preserve">The Department </w:t>
      </w:r>
      <w:r w:rsidR="00AE5952" w:rsidRPr="008D3C26">
        <w:rPr>
          <w:rFonts w:ascii="Times New Roman" w:hAnsi="Times New Roman" w:cs="Times New Roman"/>
          <w:sz w:val="24"/>
          <w:szCs w:val="24"/>
        </w:rPr>
        <w:t xml:space="preserve"> reported that a</w:t>
      </w:r>
      <w:r w:rsidRPr="008D3C26">
        <w:rPr>
          <w:rFonts w:ascii="Times New Roman" w:hAnsi="Times New Roman" w:cs="Times New Roman"/>
          <w:sz w:val="24"/>
          <w:szCs w:val="24"/>
        </w:rPr>
        <w:t>dditional capacity ha</w:t>
      </w:r>
      <w:r w:rsidR="00AE5952" w:rsidRPr="008D3C26">
        <w:rPr>
          <w:rFonts w:ascii="Times New Roman" w:hAnsi="Times New Roman" w:cs="Times New Roman"/>
          <w:sz w:val="24"/>
          <w:szCs w:val="24"/>
        </w:rPr>
        <w:t>d</w:t>
      </w:r>
      <w:r w:rsidRPr="008D3C26">
        <w:rPr>
          <w:rFonts w:ascii="Times New Roman" w:hAnsi="Times New Roman" w:cs="Times New Roman"/>
          <w:sz w:val="24"/>
          <w:szCs w:val="24"/>
        </w:rPr>
        <w:t xml:space="preserve"> been provided through the N</w:t>
      </w:r>
      <w:r w:rsidR="00AE5952" w:rsidRPr="008D3C26">
        <w:rPr>
          <w:rFonts w:ascii="Times New Roman" w:hAnsi="Times New Roman" w:cs="Times New Roman"/>
          <w:sz w:val="24"/>
          <w:szCs w:val="24"/>
        </w:rPr>
        <w:t xml:space="preserve">ational </w:t>
      </w:r>
      <w:r w:rsidRPr="008D3C26">
        <w:rPr>
          <w:rFonts w:ascii="Times New Roman" w:hAnsi="Times New Roman" w:cs="Times New Roman"/>
          <w:sz w:val="24"/>
          <w:szCs w:val="24"/>
        </w:rPr>
        <w:t>S</w:t>
      </w:r>
      <w:r w:rsidR="00AE5952" w:rsidRPr="008D3C26">
        <w:rPr>
          <w:rFonts w:ascii="Times New Roman" w:hAnsi="Times New Roman" w:cs="Times New Roman"/>
          <w:sz w:val="24"/>
          <w:szCs w:val="24"/>
        </w:rPr>
        <w:t xml:space="preserve">kills </w:t>
      </w:r>
      <w:r w:rsidRPr="008D3C26">
        <w:rPr>
          <w:rFonts w:ascii="Times New Roman" w:hAnsi="Times New Roman" w:cs="Times New Roman"/>
          <w:sz w:val="24"/>
          <w:szCs w:val="24"/>
        </w:rPr>
        <w:t>F</w:t>
      </w:r>
      <w:r w:rsidR="00AE5952" w:rsidRPr="008D3C26">
        <w:rPr>
          <w:rFonts w:ascii="Times New Roman" w:hAnsi="Times New Roman" w:cs="Times New Roman"/>
          <w:sz w:val="24"/>
          <w:szCs w:val="24"/>
        </w:rPr>
        <w:t>und (NSF)</w:t>
      </w:r>
      <w:r w:rsidRPr="008D3C26">
        <w:rPr>
          <w:rFonts w:ascii="Times New Roman" w:hAnsi="Times New Roman" w:cs="Times New Roman"/>
          <w:sz w:val="24"/>
          <w:szCs w:val="24"/>
        </w:rPr>
        <w:t xml:space="preserve"> capacity building allocation and the </w:t>
      </w:r>
      <w:r w:rsidR="00AE5952" w:rsidRPr="008D3C26">
        <w:rPr>
          <w:rFonts w:ascii="Times New Roman" w:hAnsi="Times New Roman" w:cs="Times New Roman"/>
          <w:sz w:val="24"/>
          <w:szCs w:val="24"/>
        </w:rPr>
        <w:t>South African Institute for Chartered Accountants (</w:t>
      </w:r>
      <w:r w:rsidRPr="008D3C26">
        <w:rPr>
          <w:rFonts w:ascii="Times New Roman" w:hAnsi="Times New Roman" w:cs="Times New Roman"/>
          <w:sz w:val="24"/>
          <w:szCs w:val="24"/>
        </w:rPr>
        <w:t>SAICA</w:t>
      </w:r>
      <w:r w:rsidR="00AE5952" w:rsidRPr="008D3C26">
        <w:rPr>
          <w:rFonts w:ascii="Times New Roman" w:hAnsi="Times New Roman" w:cs="Times New Roman"/>
          <w:sz w:val="24"/>
          <w:szCs w:val="24"/>
        </w:rPr>
        <w:t>)</w:t>
      </w:r>
      <w:r w:rsidRPr="008D3C26">
        <w:rPr>
          <w:rFonts w:ascii="Times New Roman" w:hAnsi="Times New Roman" w:cs="Times New Roman"/>
          <w:sz w:val="24"/>
          <w:szCs w:val="24"/>
        </w:rPr>
        <w:t xml:space="preserve"> Partnership agreement on Human Resource Management.</w:t>
      </w:r>
    </w:p>
    <w:p w14:paraId="5D1C42AD" w14:textId="77777777" w:rsidR="00817CD7" w:rsidRPr="008D3C26" w:rsidRDefault="002C50F4" w:rsidP="002C50F4">
      <w:pPr>
        <w:rPr>
          <w:rFonts w:ascii="Times New Roman" w:hAnsi="Times New Roman" w:cs="Times New Roman"/>
          <w:b/>
          <w:sz w:val="24"/>
          <w:szCs w:val="24"/>
        </w:rPr>
      </w:pPr>
      <w:r w:rsidRPr="008D3C26">
        <w:rPr>
          <w:rFonts w:ascii="Times New Roman" w:hAnsi="Times New Roman" w:cs="Times New Roman"/>
          <w:b/>
          <w:sz w:val="24"/>
          <w:szCs w:val="24"/>
        </w:rPr>
        <w:t xml:space="preserve">3.1.3. </w:t>
      </w:r>
      <w:r w:rsidR="00817CD7" w:rsidRPr="008D3C26">
        <w:rPr>
          <w:rFonts w:ascii="Times New Roman" w:hAnsi="Times New Roman" w:cs="Times New Roman"/>
          <w:b/>
          <w:sz w:val="24"/>
          <w:szCs w:val="24"/>
        </w:rPr>
        <w:t>The Department should report to the Committee on steps  tak</w:t>
      </w:r>
      <w:r w:rsidR="00B010F8" w:rsidRPr="008D3C26">
        <w:rPr>
          <w:rFonts w:ascii="Times New Roman" w:hAnsi="Times New Roman" w:cs="Times New Roman"/>
          <w:b/>
          <w:sz w:val="24"/>
          <w:szCs w:val="24"/>
        </w:rPr>
        <w:t>en</w:t>
      </w:r>
      <w:r w:rsidR="00817CD7" w:rsidRPr="008D3C26">
        <w:rPr>
          <w:rFonts w:ascii="Times New Roman" w:hAnsi="Times New Roman" w:cs="Times New Roman"/>
          <w:b/>
          <w:sz w:val="24"/>
          <w:szCs w:val="24"/>
        </w:rPr>
        <w:t xml:space="preserve"> to work towards achieving a clean audit.</w:t>
      </w:r>
    </w:p>
    <w:p w14:paraId="2036DD76" w14:textId="77777777" w:rsidR="00A33D84" w:rsidRPr="008D3C26" w:rsidRDefault="00F42FDA" w:rsidP="003F542E">
      <w:pPr>
        <w:rPr>
          <w:rFonts w:ascii="Times New Roman" w:hAnsi="Times New Roman" w:cs="Times New Roman"/>
          <w:sz w:val="24"/>
          <w:szCs w:val="24"/>
        </w:rPr>
      </w:pPr>
      <w:r w:rsidRPr="008D3C26">
        <w:rPr>
          <w:rFonts w:ascii="Times New Roman" w:hAnsi="Times New Roman" w:cs="Times New Roman"/>
          <w:sz w:val="24"/>
          <w:szCs w:val="24"/>
        </w:rPr>
        <w:t>It was noted that a</w:t>
      </w:r>
      <w:r w:rsidR="00817CD7" w:rsidRPr="008D3C26">
        <w:rPr>
          <w:rFonts w:ascii="Times New Roman" w:hAnsi="Times New Roman" w:cs="Times New Roman"/>
          <w:sz w:val="24"/>
          <w:szCs w:val="24"/>
        </w:rPr>
        <w:t xml:space="preserve">n </w:t>
      </w:r>
      <w:r w:rsidR="00B010F8" w:rsidRPr="008D3C26">
        <w:rPr>
          <w:rFonts w:ascii="Times New Roman" w:hAnsi="Times New Roman" w:cs="Times New Roman"/>
          <w:sz w:val="24"/>
          <w:szCs w:val="24"/>
        </w:rPr>
        <w:t>a</w:t>
      </w:r>
      <w:r w:rsidR="00817CD7" w:rsidRPr="008D3C26">
        <w:rPr>
          <w:rFonts w:ascii="Times New Roman" w:hAnsi="Times New Roman" w:cs="Times New Roman"/>
          <w:sz w:val="24"/>
          <w:szCs w:val="24"/>
        </w:rPr>
        <w:t xml:space="preserve">udit </w:t>
      </w:r>
      <w:r w:rsidR="00B010F8" w:rsidRPr="008D3C26">
        <w:rPr>
          <w:rFonts w:ascii="Times New Roman" w:hAnsi="Times New Roman" w:cs="Times New Roman"/>
          <w:sz w:val="24"/>
          <w:szCs w:val="24"/>
        </w:rPr>
        <w:t>a</w:t>
      </w:r>
      <w:r w:rsidR="00817CD7" w:rsidRPr="008D3C26">
        <w:rPr>
          <w:rFonts w:ascii="Times New Roman" w:hAnsi="Times New Roman" w:cs="Times New Roman"/>
          <w:sz w:val="24"/>
          <w:szCs w:val="24"/>
        </w:rPr>
        <w:t xml:space="preserve">ction plan that responds to the </w:t>
      </w:r>
      <w:r w:rsidRPr="008D3C26">
        <w:rPr>
          <w:rFonts w:ascii="Times New Roman" w:hAnsi="Times New Roman" w:cs="Times New Roman"/>
          <w:sz w:val="24"/>
          <w:szCs w:val="24"/>
        </w:rPr>
        <w:t>Auditor-General (</w:t>
      </w:r>
      <w:r w:rsidR="00817CD7" w:rsidRPr="008D3C26">
        <w:rPr>
          <w:rFonts w:ascii="Times New Roman" w:hAnsi="Times New Roman" w:cs="Times New Roman"/>
          <w:sz w:val="24"/>
          <w:szCs w:val="24"/>
        </w:rPr>
        <w:t>AG</w:t>
      </w:r>
      <w:r w:rsidRPr="008D3C26">
        <w:rPr>
          <w:rFonts w:ascii="Times New Roman" w:hAnsi="Times New Roman" w:cs="Times New Roman"/>
          <w:sz w:val="24"/>
          <w:szCs w:val="24"/>
        </w:rPr>
        <w:t>)’s</w:t>
      </w:r>
      <w:r w:rsidR="00817CD7" w:rsidRPr="008D3C26">
        <w:rPr>
          <w:rFonts w:ascii="Times New Roman" w:hAnsi="Times New Roman" w:cs="Times New Roman"/>
          <w:sz w:val="24"/>
          <w:szCs w:val="24"/>
        </w:rPr>
        <w:t xml:space="preserve"> recommendations with clear targets ha</w:t>
      </w:r>
      <w:r w:rsidRPr="008D3C26">
        <w:rPr>
          <w:rFonts w:ascii="Times New Roman" w:hAnsi="Times New Roman" w:cs="Times New Roman"/>
          <w:sz w:val="24"/>
          <w:szCs w:val="24"/>
        </w:rPr>
        <w:t>d</w:t>
      </w:r>
      <w:r w:rsidR="00817CD7" w:rsidRPr="008D3C26">
        <w:rPr>
          <w:rFonts w:ascii="Times New Roman" w:hAnsi="Times New Roman" w:cs="Times New Roman"/>
          <w:sz w:val="24"/>
          <w:szCs w:val="24"/>
        </w:rPr>
        <w:t xml:space="preserve"> been developed. The rolling out </w:t>
      </w:r>
      <w:r w:rsidRPr="008D3C26">
        <w:rPr>
          <w:rFonts w:ascii="Times New Roman" w:hAnsi="Times New Roman" w:cs="Times New Roman"/>
          <w:sz w:val="24"/>
          <w:szCs w:val="24"/>
        </w:rPr>
        <w:t xml:space="preserve">of </w:t>
      </w:r>
      <w:r w:rsidR="00817CD7" w:rsidRPr="008D3C26">
        <w:rPr>
          <w:rFonts w:ascii="Times New Roman" w:hAnsi="Times New Roman" w:cs="Times New Roman"/>
          <w:sz w:val="24"/>
          <w:szCs w:val="24"/>
        </w:rPr>
        <w:t>a project of scanning all personnel records that w</w:t>
      </w:r>
      <w:r w:rsidRPr="008D3C26">
        <w:rPr>
          <w:rFonts w:ascii="Times New Roman" w:hAnsi="Times New Roman" w:cs="Times New Roman"/>
          <w:sz w:val="24"/>
          <w:szCs w:val="24"/>
        </w:rPr>
        <w:t xml:space="preserve">ould </w:t>
      </w:r>
      <w:r w:rsidR="00817CD7" w:rsidRPr="008D3C26">
        <w:rPr>
          <w:rFonts w:ascii="Times New Roman" w:hAnsi="Times New Roman" w:cs="Times New Roman"/>
          <w:sz w:val="24"/>
          <w:szCs w:val="24"/>
        </w:rPr>
        <w:t>be followed by identifying, missing documents from the files</w:t>
      </w:r>
      <w:r w:rsidRPr="008D3C26">
        <w:rPr>
          <w:rFonts w:ascii="Times New Roman" w:hAnsi="Times New Roman" w:cs="Times New Roman"/>
          <w:sz w:val="24"/>
          <w:szCs w:val="24"/>
        </w:rPr>
        <w:t xml:space="preserve"> was underway</w:t>
      </w:r>
      <w:r w:rsidR="00817CD7" w:rsidRPr="008D3C26">
        <w:rPr>
          <w:rFonts w:ascii="Times New Roman" w:hAnsi="Times New Roman" w:cs="Times New Roman"/>
          <w:sz w:val="24"/>
          <w:szCs w:val="24"/>
        </w:rPr>
        <w:t>.</w:t>
      </w:r>
      <w:r w:rsidR="00A33D84" w:rsidRPr="008D3C26">
        <w:rPr>
          <w:rFonts w:ascii="Times New Roman" w:hAnsi="Times New Roman" w:cs="Times New Roman"/>
          <w:sz w:val="24"/>
          <w:szCs w:val="24"/>
        </w:rPr>
        <w:t xml:space="preserve"> Some areas like adherence to Supply Chain Management procedures w</w:t>
      </w:r>
      <w:r w:rsidR="0087099E" w:rsidRPr="008D3C26">
        <w:rPr>
          <w:rFonts w:ascii="Times New Roman" w:hAnsi="Times New Roman" w:cs="Times New Roman"/>
          <w:sz w:val="24"/>
          <w:szCs w:val="24"/>
        </w:rPr>
        <w:t>ere</w:t>
      </w:r>
      <w:r w:rsidR="00A33D84" w:rsidRPr="008D3C26">
        <w:rPr>
          <w:rFonts w:ascii="Times New Roman" w:hAnsi="Times New Roman" w:cs="Times New Roman"/>
          <w:sz w:val="24"/>
          <w:szCs w:val="24"/>
        </w:rPr>
        <w:t xml:space="preserve"> not attended </w:t>
      </w:r>
      <w:r w:rsidR="00B010F8" w:rsidRPr="008D3C26">
        <w:rPr>
          <w:rFonts w:ascii="Times New Roman" w:hAnsi="Times New Roman" w:cs="Times New Roman"/>
          <w:sz w:val="24"/>
          <w:szCs w:val="24"/>
        </w:rPr>
        <w:t>to  resulting in a</w:t>
      </w:r>
      <w:r w:rsidR="00A33D84" w:rsidRPr="008D3C26">
        <w:rPr>
          <w:rFonts w:ascii="Times New Roman" w:hAnsi="Times New Roman" w:cs="Times New Roman"/>
          <w:sz w:val="24"/>
          <w:szCs w:val="24"/>
        </w:rPr>
        <w:t xml:space="preserve"> recurrence of prior year findings. </w:t>
      </w:r>
    </w:p>
    <w:p w14:paraId="73DABFF2" w14:textId="77777777" w:rsidR="009319A3" w:rsidRPr="008D3C26" w:rsidRDefault="009319A3" w:rsidP="002C50F4">
      <w:pPr>
        <w:rPr>
          <w:rFonts w:ascii="Times New Roman" w:hAnsi="Times New Roman" w:cs="Times New Roman"/>
          <w:b/>
          <w:sz w:val="24"/>
          <w:szCs w:val="24"/>
        </w:rPr>
      </w:pPr>
    </w:p>
    <w:p w14:paraId="2A029D14" w14:textId="77777777" w:rsidR="00BB1586" w:rsidRPr="008D3C26" w:rsidRDefault="002C50F4" w:rsidP="002C50F4">
      <w:pPr>
        <w:rPr>
          <w:rFonts w:ascii="Times New Roman" w:hAnsi="Times New Roman" w:cs="Times New Roman"/>
          <w:b/>
          <w:sz w:val="24"/>
          <w:szCs w:val="24"/>
        </w:rPr>
      </w:pPr>
      <w:r w:rsidRPr="008D3C26">
        <w:rPr>
          <w:rFonts w:ascii="Times New Roman" w:hAnsi="Times New Roman" w:cs="Times New Roman"/>
          <w:b/>
          <w:sz w:val="24"/>
          <w:szCs w:val="24"/>
        </w:rPr>
        <w:t xml:space="preserve">3.1.4. </w:t>
      </w:r>
      <w:r w:rsidR="00BB1586" w:rsidRPr="008D3C26">
        <w:rPr>
          <w:rFonts w:ascii="Times New Roman" w:hAnsi="Times New Roman" w:cs="Times New Roman"/>
          <w:b/>
          <w:sz w:val="24"/>
          <w:szCs w:val="24"/>
        </w:rPr>
        <w:t>Future funding dispensation should not exclude the TVET and CET Colleges to create a viable environment for the production of critical and scarce skills required by the economy</w:t>
      </w:r>
      <w:r w:rsidR="00D3168D" w:rsidRPr="008D3C26">
        <w:rPr>
          <w:rFonts w:ascii="Times New Roman" w:hAnsi="Times New Roman" w:cs="Times New Roman"/>
          <w:b/>
          <w:sz w:val="24"/>
          <w:szCs w:val="24"/>
        </w:rPr>
        <w:t>, and that the costing of the White Paper for Post-School Education and Training targets should be properly costed and funded</w:t>
      </w:r>
      <w:r w:rsidR="00062214" w:rsidRPr="008D3C26">
        <w:rPr>
          <w:rFonts w:ascii="Times New Roman" w:hAnsi="Times New Roman" w:cs="Times New Roman"/>
          <w:b/>
          <w:sz w:val="24"/>
          <w:szCs w:val="24"/>
        </w:rPr>
        <w:t>.</w:t>
      </w:r>
      <w:r w:rsidR="00D3168D" w:rsidRPr="008D3C26">
        <w:rPr>
          <w:rFonts w:ascii="Times New Roman" w:hAnsi="Times New Roman" w:cs="Times New Roman"/>
          <w:b/>
          <w:sz w:val="24"/>
          <w:szCs w:val="24"/>
        </w:rPr>
        <w:t xml:space="preserve"> This costing should be inclusive of the entire PSET sector</w:t>
      </w:r>
      <w:r w:rsidR="00E524CB" w:rsidRPr="008D3C26">
        <w:rPr>
          <w:rFonts w:ascii="Times New Roman" w:hAnsi="Times New Roman" w:cs="Times New Roman"/>
          <w:b/>
          <w:sz w:val="24"/>
          <w:szCs w:val="24"/>
        </w:rPr>
        <w:t>.</w:t>
      </w:r>
    </w:p>
    <w:p w14:paraId="4150CCFA" w14:textId="77777777" w:rsidR="00062214" w:rsidRPr="008D3C26" w:rsidRDefault="00062214" w:rsidP="003F542E">
      <w:pPr>
        <w:rPr>
          <w:rFonts w:ascii="Times New Roman" w:hAnsi="Times New Roman" w:cs="Times New Roman"/>
          <w:sz w:val="24"/>
          <w:szCs w:val="24"/>
        </w:rPr>
      </w:pPr>
      <w:r w:rsidRPr="008D3C26">
        <w:rPr>
          <w:rFonts w:ascii="Times New Roman" w:hAnsi="Times New Roman" w:cs="Times New Roman"/>
          <w:color w:val="000000" w:themeColor="text1"/>
          <w:sz w:val="24"/>
          <w:szCs w:val="24"/>
        </w:rPr>
        <w:t xml:space="preserve">The Department </w:t>
      </w:r>
      <w:r w:rsidR="00D3168D" w:rsidRPr="008D3C26">
        <w:rPr>
          <w:rFonts w:ascii="Times New Roman" w:hAnsi="Times New Roman" w:cs="Times New Roman"/>
          <w:color w:val="000000" w:themeColor="text1"/>
          <w:sz w:val="24"/>
          <w:szCs w:val="24"/>
        </w:rPr>
        <w:t xml:space="preserve">reported that it </w:t>
      </w:r>
      <w:r w:rsidRPr="008D3C26">
        <w:rPr>
          <w:rFonts w:ascii="Times New Roman" w:hAnsi="Times New Roman" w:cs="Times New Roman"/>
          <w:color w:val="000000" w:themeColor="text1"/>
          <w:sz w:val="24"/>
          <w:szCs w:val="24"/>
        </w:rPr>
        <w:t>was attending to the funding requirements of the TVET and CET sectors within the budgetary processes as prescribed by National Treasury.</w:t>
      </w:r>
      <w:r w:rsidR="00D3168D" w:rsidRPr="008D3C26">
        <w:rPr>
          <w:rFonts w:ascii="Times New Roman" w:hAnsi="Times New Roman" w:cs="Times New Roman"/>
          <w:color w:val="000000" w:themeColor="text1"/>
          <w:sz w:val="24"/>
          <w:szCs w:val="24"/>
        </w:rPr>
        <w:t xml:space="preserve"> </w:t>
      </w:r>
      <w:r w:rsidR="00B010F8" w:rsidRPr="008D3C26">
        <w:rPr>
          <w:rFonts w:ascii="Times New Roman" w:hAnsi="Times New Roman" w:cs="Times New Roman"/>
          <w:color w:val="000000" w:themeColor="text1"/>
          <w:sz w:val="24"/>
          <w:szCs w:val="24"/>
        </w:rPr>
        <w:t>The Department reported</w:t>
      </w:r>
      <w:r w:rsidR="00D3168D" w:rsidRPr="008D3C26">
        <w:rPr>
          <w:rFonts w:ascii="Times New Roman" w:hAnsi="Times New Roman" w:cs="Times New Roman"/>
          <w:color w:val="000000" w:themeColor="text1"/>
          <w:sz w:val="24"/>
          <w:szCs w:val="24"/>
        </w:rPr>
        <w:t xml:space="preserve"> that the costing of the White Paper was receiving attention in collaboration with National Treasury and would be inclusive of the </w:t>
      </w:r>
      <w:r w:rsidR="00CA195B" w:rsidRPr="008D3C26">
        <w:rPr>
          <w:rFonts w:ascii="Times New Roman" w:hAnsi="Times New Roman" w:cs="Times New Roman"/>
          <w:color w:val="000000" w:themeColor="text1"/>
          <w:sz w:val="24"/>
          <w:szCs w:val="24"/>
        </w:rPr>
        <w:t>entire system</w:t>
      </w:r>
      <w:r w:rsidR="00D3168D" w:rsidRPr="008D3C26">
        <w:rPr>
          <w:rFonts w:ascii="Times New Roman" w:hAnsi="Times New Roman" w:cs="Times New Roman"/>
          <w:color w:val="000000" w:themeColor="text1"/>
          <w:sz w:val="24"/>
          <w:szCs w:val="24"/>
        </w:rPr>
        <w:t>.</w:t>
      </w:r>
    </w:p>
    <w:p w14:paraId="53D45BF3" w14:textId="77777777" w:rsidR="009C7BDE" w:rsidRPr="008D3C26" w:rsidRDefault="002C50F4" w:rsidP="002C50F4">
      <w:pPr>
        <w:rPr>
          <w:rFonts w:ascii="Times New Roman" w:hAnsi="Times New Roman" w:cs="Times New Roman"/>
          <w:b/>
          <w:sz w:val="24"/>
          <w:szCs w:val="24"/>
        </w:rPr>
      </w:pPr>
      <w:r w:rsidRPr="008D3C26">
        <w:rPr>
          <w:rFonts w:ascii="Times New Roman" w:hAnsi="Times New Roman" w:cs="Times New Roman"/>
          <w:b/>
          <w:sz w:val="24"/>
          <w:szCs w:val="24"/>
        </w:rPr>
        <w:t xml:space="preserve">3.1.5. </w:t>
      </w:r>
      <w:r w:rsidR="00AE4375" w:rsidRPr="008D3C26">
        <w:rPr>
          <w:rFonts w:ascii="Times New Roman" w:hAnsi="Times New Roman" w:cs="Times New Roman"/>
          <w:b/>
          <w:sz w:val="24"/>
          <w:szCs w:val="24"/>
        </w:rPr>
        <w:t>TVET Colleges are also not required in terms of the Continuing Education and Training Act</w:t>
      </w:r>
      <w:r w:rsidR="0018106A" w:rsidRPr="008D3C26">
        <w:rPr>
          <w:rFonts w:ascii="Times New Roman" w:hAnsi="Times New Roman" w:cs="Times New Roman"/>
          <w:b/>
          <w:sz w:val="24"/>
          <w:szCs w:val="24"/>
        </w:rPr>
        <w:t>, 2006</w:t>
      </w:r>
      <w:r w:rsidR="00AE4375" w:rsidRPr="008D3C26">
        <w:rPr>
          <w:rFonts w:ascii="Times New Roman" w:hAnsi="Times New Roman" w:cs="Times New Roman"/>
          <w:b/>
          <w:sz w:val="24"/>
          <w:szCs w:val="24"/>
        </w:rPr>
        <w:t xml:space="preserve"> (Act No. 16 of 2006) to report on their performance against predetermined objectives. There is a need to review this Act to ensure that Colleges report accordingly.</w:t>
      </w:r>
    </w:p>
    <w:p w14:paraId="14D85DE9" w14:textId="77777777" w:rsidR="00062214" w:rsidRPr="008D3C26" w:rsidRDefault="00062214" w:rsidP="00062214">
      <w:pPr>
        <w:rPr>
          <w:rFonts w:ascii="Times New Roman" w:hAnsi="Times New Roman" w:cs="Times New Roman"/>
          <w:sz w:val="24"/>
          <w:szCs w:val="24"/>
        </w:rPr>
      </w:pPr>
      <w:r w:rsidRPr="008D3C26">
        <w:rPr>
          <w:rFonts w:ascii="Times New Roman" w:hAnsi="Times New Roman" w:cs="Times New Roman"/>
          <w:sz w:val="24"/>
          <w:szCs w:val="24"/>
        </w:rPr>
        <w:t xml:space="preserve">It </w:t>
      </w:r>
      <w:r w:rsidR="00CA195B" w:rsidRPr="008D3C26">
        <w:rPr>
          <w:rFonts w:ascii="Times New Roman" w:hAnsi="Times New Roman" w:cs="Times New Roman"/>
          <w:sz w:val="24"/>
          <w:szCs w:val="24"/>
        </w:rPr>
        <w:t>was</w:t>
      </w:r>
      <w:r w:rsidRPr="008D3C26">
        <w:rPr>
          <w:rFonts w:ascii="Times New Roman" w:hAnsi="Times New Roman" w:cs="Times New Roman"/>
          <w:sz w:val="24"/>
          <w:szCs w:val="24"/>
        </w:rPr>
        <w:t xml:space="preserve"> the considered view of the Chief Directorate: Legal and Legislative Services that there </w:t>
      </w:r>
      <w:r w:rsidR="00CA195B" w:rsidRPr="008D3C26">
        <w:rPr>
          <w:rFonts w:ascii="Times New Roman" w:hAnsi="Times New Roman" w:cs="Times New Roman"/>
          <w:sz w:val="24"/>
          <w:szCs w:val="24"/>
        </w:rPr>
        <w:t>was</w:t>
      </w:r>
      <w:r w:rsidRPr="008D3C26">
        <w:rPr>
          <w:rFonts w:ascii="Times New Roman" w:hAnsi="Times New Roman" w:cs="Times New Roman"/>
          <w:sz w:val="24"/>
          <w:szCs w:val="24"/>
        </w:rPr>
        <w:t xml:space="preserve"> no need for engagement with other relevant Departments on this issue for the following reasons:</w:t>
      </w:r>
    </w:p>
    <w:p w14:paraId="4B9764F2" w14:textId="77777777" w:rsidR="00062214" w:rsidRPr="008D3C26" w:rsidRDefault="00062214" w:rsidP="00062214">
      <w:pPr>
        <w:pStyle w:val="ListParagraph"/>
        <w:numPr>
          <w:ilvl w:val="0"/>
          <w:numId w:val="18"/>
        </w:numPr>
        <w:spacing w:after="0"/>
        <w:ind w:left="524" w:hanging="524"/>
        <w:rPr>
          <w:rFonts w:ascii="Times New Roman" w:hAnsi="Times New Roman" w:cs="Times New Roman"/>
          <w:sz w:val="24"/>
          <w:szCs w:val="24"/>
        </w:rPr>
      </w:pPr>
      <w:r w:rsidRPr="008D3C26">
        <w:rPr>
          <w:rFonts w:ascii="Times New Roman" w:hAnsi="Times New Roman" w:cs="Times New Roman"/>
          <w:sz w:val="24"/>
          <w:szCs w:val="24"/>
        </w:rPr>
        <w:lastRenderedPageBreak/>
        <w:t>Section 47(4)(c) of the Public Finance Management Act, 1999 (PFMA) specifically provides that the Minister may not list</w:t>
      </w:r>
      <w:r w:rsidRPr="008D3C26">
        <w:rPr>
          <w:rFonts w:ascii="Times New Roman" w:hAnsi="Times New Roman" w:cs="Times New Roman"/>
          <w:b/>
          <w:sz w:val="24"/>
          <w:szCs w:val="24"/>
        </w:rPr>
        <w:t xml:space="preserve"> </w:t>
      </w:r>
      <w:r w:rsidRPr="008D3C26">
        <w:rPr>
          <w:rFonts w:ascii="Times New Roman" w:hAnsi="Times New Roman" w:cs="Times New Roman"/>
          <w:sz w:val="24"/>
          <w:szCs w:val="24"/>
        </w:rPr>
        <w:t>any institution of higher education in Schedule 3. Furthermore, the Minister cannot list higher education institutions under Schedules 1 and/or 2 to the PFMA because higher educations are neither Constitutional Institutions as contemplated in the Constitution and this Act nor are they public entities as defined in the PFMA. Therefore, the Minister cannot bring higher education institutions under the purview of the PFMA.</w:t>
      </w:r>
    </w:p>
    <w:p w14:paraId="0A0885B0" w14:textId="77777777" w:rsidR="00062214" w:rsidRPr="008D3C26" w:rsidRDefault="00062214" w:rsidP="00062214">
      <w:pPr>
        <w:pStyle w:val="ListParagraph"/>
        <w:numPr>
          <w:ilvl w:val="0"/>
          <w:numId w:val="18"/>
        </w:numPr>
        <w:spacing w:after="0"/>
        <w:ind w:left="524" w:hanging="524"/>
        <w:rPr>
          <w:rFonts w:ascii="Times New Roman" w:hAnsi="Times New Roman" w:cs="Times New Roman"/>
          <w:sz w:val="24"/>
          <w:szCs w:val="24"/>
        </w:rPr>
      </w:pPr>
      <w:r w:rsidRPr="008D3C26">
        <w:rPr>
          <w:rFonts w:ascii="Times New Roman" w:hAnsi="Times New Roman" w:cs="Times New Roman"/>
          <w:sz w:val="24"/>
          <w:szCs w:val="24"/>
        </w:rPr>
        <w:t>Section 25(1)(c) of the Continuing Education and Training Act, 2006 (Act No. 16 of 2006) (“the C</w:t>
      </w:r>
      <w:r w:rsidR="00CA195B" w:rsidRPr="008D3C26">
        <w:rPr>
          <w:rFonts w:ascii="Times New Roman" w:hAnsi="Times New Roman" w:cs="Times New Roman"/>
          <w:sz w:val="24"/>
          <w:szCs w:val="24"/>
        </w:rPr>
        <w:t xml:space="preserve">ommunity </w:t>
      </w:r>
      <w:r w:rsidRPr="008D3C26">
        <w:rPr>
          <w:rFonts w:ascii="Times New Roman" w:hAnsi="Times New Roman" w:cs="Times New Roman"/>
          <w:sz w:val="24"/>
          <w:szCs w:val="24"/>
        </w:rPr>
        <w:t>E</w:t>
      </w:r>
      <w:r w:rsidR="00CA195B" w:rsidRPr="008D3C26">
        <w:rPr>
          <w:rFonts w:ascii="Times New Roman" w:hAnsi="Times New Roman" w:cs="Times New Roman"/>
          <w:sz w:val="24"/>
          <w:szCs w:val="24"/>
        </w:rPr>
        <w:t xml:space="preserve">ducation and </w:t>
      </w:r>
      <w:r w:rsidRPr="008D3C26">
        <w:rPr>
          <w:rFonts w:ascii="Times New Roman" w:hAnsi="Times New Roman" w:cs="Times New Roman"/>
          <w:sz w:val="24"/>
          <w:szCs w:val="24"/>
        </w:rPr>
        <w:t>T</w:t>
      </w:r>
      <w:r w:rsidR="00CA195B" w:rsidRPr="008D3C26">
        <w:rPr>
          <w:rFonts w:ascii="Times New Roman" w:hAnsi="Times New Roman" w:cs="Times New Roman"/>
          <w:sz w:val="24"/>
          <w:szCs w:val="24"/>
        </w:rPr>
        <w:t>raining</w:t>
      </w:r>
      <w:r w:rsidRPr="008D3C26">
        <w:rPr>
          <w:rFonts w:ascii="Times New Roman" w:hAnsi="Times New Roman" w:cs="Times New Roman"/>
          <w:sz w:val="24"/>
          <w:szCs w:val="24"/>
        </w:rPr>
        <w:t xml:space="preserve"> Act”), already makes </w:t>
      </w:r>
      <w:r w:rsidR="00CA195B" w:rsidRPr="008D3C26">
        <w:rPr>
          <w:rFonts w:ascii="Times New Roman" w:hAnsi="Times New Roman" w:cs="Times New Roman"/>
          <w:sz w:val="24"/>
          <w:szCs w:val="24"/>
        </w:rPr>
        <w:t>reference to the PFMA and enjoined</w:t>
      </w:r>
      <w:r w:rsidRPr="008D3C26">
        <w:rPr>
          <w:rFonts w:ascii="Times New Roman" w:hAnsi="Times New Roman" w:cs="Times New Roman"/>
          <w:sz w:val="24"/>
          <w:szCs w:val="24"/>
        </w:rPr>
        <w:t xml:space="preserve"> colleges to implement internal audit and risk management systems which </w:t>
      </w:r>
      <w:r w:rsidR="00CA195B" w:rsidRPr="008D3C26">
        <w:rPr>
          <w:rFonts w:ascii="Times New Roman" w:hAnsi="Times New Roman" w:cs="Times New Roman"/>
          <w:sz w:val="24"/>
          <w:szCs w:val="24"/>
        </w:rPr>
        <w:t>were</w:t>
      </w:r>
      <w:r w:rsidRPr="008D3C26">
        <w:rPr>
          <w:rFonts w:ascii="Times New Roman" w:hAnsi="Times New Roman" w:cs="Times New Roman"/>
          <w:sz w:val="24"/>
          <w:szCs w:val="24"/>
        </w:rPr>
        <w:t xml:space="preserve"> not inferior to the standards contained in the latter Act. With regard to universities, section 69 (c) of the H</w:t>
      </w:r>
      <w:r w:rsidR="00CA195B" w:rsidRPr="008D3C26">
        <w:rPr>
          <w:rFonts w:ascii="Times New Roman" w:hAnsi="Times New Roman" w:cs="Times New Roman"/>
          <w:sz w:val="24"/>
          <w:szCs w:val="24"/>
        </w:rPr>
        <w:t xml:space="preserve">igher </w:t>
      </w:r>
      <w:r w:rsidRPr="008D3C26">
        <w:rPr>
          <w:rFonts w:ascii="Times New Roman" w:hAnsi="Times New Roman" w:cs="Times New Roman"/>
          <w:sz w:val="24"/>
          <w:szCs w:val="24"/>
        </w:rPr>
        <w:t>E</w:t>
      </w:r>
      <w:r w:rsidR="00CA195B" w:rsidRPr="008D3C26">
        <w:rPr>
          <w:rFonts w:ascii="Times New Roman" w:hAnsi="Times New Roman" w:cs="Times New Roman"/>
          <w:sz w:val="24"/>
          <w:szCs w:val="24"/>
        </w:rPr>
        <w:t>ducation</w:t>
      </w:r>
      <w:r w:rsidRPr="008D3C26">
        <w:rPr>
          <w:rFonts w:ascii="Times New Roman" w:hAnsi="Times New Roman" w:cs="Times New Roman"/>
          <w:sz w:val="24"/>
          <w:szCs w:val="24"/>
        </w:rPr>
        <w:t xml:space="preserve"> Act, provides for the making of Regulations consistent with this Act by the Minister on the annual reporting framework. It </w:t>
      </w:r>
      <w:r w:rsidR="0010111F" w:rsidRPr="008D3C26">
        <w:rPr>
          <w:rFonts w:ascii="Times New Roman" w:hAnsi="Times New Roman" w:cs="Times New Roman"/>
          <w:sz w:val="24"/>
          <w:szCs w:val="24"/>
        </w:rPr>
        <w:t>was</w:t>
      </w:r>
      <w:r w:rsidRPr="008D3C26">
        <w:rPr>
          <w:rFonts w:ascii="Times New Roman" w:hAnsi="Times New Roman" w:cs="Times New Roman"/>
          <w:sz w:val="24"/>
          <w:szCs w:val="24"/>
        </w:rPr>
        <w:t xml:space="preserve"> thus submitted that the Regulations can adequately address any perceived accountability deficiencies or challenges.</w:t>
      </w:r>
      <w:r w:rsidRPr="008D3C26">
        <w:rPr>
          <w:rFonts w:ascii="Times New Roman" w:hAnsi="Times New Roman" w:cs="Times New Roman"/>
          <w:sz w:val="24"/>
          <w:szCs w:val="24"/>
        </w:rPr>
        <w:tab/>
      </w:r>
    </w:p>
    <w:p w14:paraId="03FD6863" w14:textId="77777777" w:rsidR="007A14AB" w:rsidRPr="008D3C26" w:rsidRDefault="007A14AB" w:rsidP="007A14AB">
      <w:pPr>
        <w:spacing w:after="0"/>
        <w:rPr>
          <w:rFonts w:ascii="Times New Roman" w:hAnsi="Times New Roman" w:cs="Times New Roman"/>
          <w:sz w:val="24"/>
          <w:szCs w:val="24"/>
        </w:rPr>
      </w:pPr>
      <w:r w:rsidRPr="008D3C26">
        <w:rPr>
          <w:rFonts w:ascii="Times New Roman" w:hAnsi="Times New Roman" w:cs="Times New Roman"/>
          <w:sz w:val="24"/>
          <w:szCs w:val="24"/>
        </w:rPr>
        <w:t xml:space="preserve">Despite these provisions in the PFMA, the Committee was still concerned that the institutions were not required to disclose in the </w:t>
      </w:r>
      <w:r w:rsidR="0063196B" w:rsidRPr="008D3C26">
        <w:rPr>
          <w:rFonts w:ascii="Times New Roman" w:hAnsi="Times New Roman" w:cs="Times New Roman"/>
          <w:sz w:val="24"/>
          <w:szCs w:val="24"/>
        </w:rPr>
        <w:t xml:space="preserve">annual </w:t>
      </w:r>
      <w:r w:rsidRPr="008D3C26">
        <w:rPr>
          <w:rFonts w:ascii="Times New Roman" w:hAnsi="Times New Roman" w:cs="Times New Roman"/>
          <w:sz w:val="24"/>
          <w:szCs w:val="24"/>
        </w:rPr>
        <w:t>financial statements, unauthorised, irregular, fruitless and wasteful expenditure</w:t>
      </w:r>
      <w:r w:rsidR="00BC2FFC" w:rsidRPr="008D3C26">
        <w:rPr>
          <w:rFonts w:ascii="Times New Roman" w:hAnsi="Times New Roman" w:cs="Times New Roman"/>
          <w:sz w:val="24"/>
          <w:szCs w:val="24"/>
        </w:rPr>
        <w:t xml:space="preserve"> </w:t>
      </w:r>
      <w:r w:rsidR="00A60CBC" w:rsidRPr="008D3C26">
        <w:rPr>
          <w:rFonts w:ascii="Times New Roman" w:hAnsi="Times New Roman" w:cs="Times New Roman"/>
          <w:sz w:val="24"/>
          <w:szCs w:val="24"/>
        </w:rPr>
        <w:t xml:space="preserve">and </w:t>
      </w:r>
      <w:r w:rsidR="0063196B" w:rsidRPr="008D3C26">
        <w:rPr>
          <w:rFonts w:ascii="Times New Roman" w:hAnsi="Times New Roman" w:cs="Times New Roman"/>
          <w:sz w:val="24"/>
          <w:szCs w:val="24"/>
        </w:rPr>
        <w:t xml:space="preserve">TVET and CET Colleges </w:t>
      </w:r>
      <w:r w:rsidR="00A60CBC" w:rsidRPr="008D3C26">
        <w:rPr>
          <w:rFonts w:ascii="Times New Roman" w:hAnsi="Times New Roman" w:cs="Times New Roman"/>
          <w:sz w:val="24"/>
          <w:szCs w:val="24"/>
        </w:rPr>
        <w:t xml:space="preserve">were also </w:t>
      </w:r>
      <w:r w:rsidR="0063196B" w:rsidRPr="008D3C26">
        <w:rPr>
          <w:rFonts w:ascii="Times New Roman" w:hAnsi="Times New Roman" w:cs="Times New Roman"/>
          <w:sz w:val="24"/>
          <w:szCs w:val="24"/>
        </w:rPr>
        <w:t xml:space="preserve">not required </w:t>
      </w:r>
      <w:r w:rsidRPr="008D3C26">
        <w:rPr>
          <w:rFonts w:ascii="Times New Roman" w:hAnsi="Times New Roman" w:cs="Times New Roman"/>
          <w:sz w:val="24"/>
          <w:szCs w:val="24"/>
        </w:rPr>
        <w:t>to report on performance</w:t>
      </w:r>
      <w:r w:rsidR="0063196B" w:rsidRPr="008D3C26">
        <w:rPr>
          <w:rFonts w:ascii="Times New Roman" w:hAnsi="Times New Roman" w:cs="Times New Roman"/>
          <w:sz w:val="24"/>
          <w:szCs w:val="24"/>
        </w:rPr>
        <w:t xml:space="preserve"> against predetermine</w:t>
      </w:r>
      <w:r w:rsidRPr="008D3C26">
        <w:rPr>
          <w:rFonts w:ascii="Times New Roman" w:hAnsi="Times New Roman" w:cs="Times New Roman"/>
          <w:sz w:val="24"/>
          <w:szCs w:val="24"/>
        </w:rPr>
        <w:t xml:space="preserve"> </w:t>
      </w:r>
      <w:r w:rsidR="0063196B" w:rsidRPr="008D3C26">
        <w:rPr>
          <w:rFonts w:ascii="Times New Roman" w:hAnsi="Times New Roman" w:cs="Times New Roman"/>
          <w:sz w:val="24"/>
          <w:szCs w:val="24"/>
        </w:rPr>
        <w:t>objectives</w:t>
      </w:r>
      <w:r w:rsidRPr="008D3C26">
        <w:rPr>
          <w:rFonts w:ascii="Times New Roman" w:hAnsi="Times New Roman" w:cs="Times New Roman"/>
          <w:sz w:val="24"/>
          <w:szCs w:val="24"/>
        </w:rPr>
        <w:t xml:space="preserve">. </w:t>
      </w:r>
      <w:r w:rsidR="0063196B" w:rsidRPr="008D3C26">
        <w:rPr>
          <w:rFonts w:ascii="Times New Roman" w:hAnsi="Times New Roman" w:cs="Times New Roman"/>
          <w:sz w:val="24"/>
          <w:szCs w:val="24"/>
        </w:rPr>
        <w:t xml:space="preserve">The Department was urged to include the disclosures in the reporting requirements of TVET and CET Colleges as well as disclosures in the financial statements. </w:t>
      </w:r>
    </w:p>
    <w:p w14:paraId="2B9A6154" w14:textId="77777777" w:rsidR="00062214" w:rsidRPr="008D3C26" w:rsidRDefault="00062214" w:rsidP="00062214">
      <w:pPr>
        <w:spacing w:after="0"/>
        <w:rPr>
          <w:rFonts w:ascii="Times New Roman" w:hAnsi="Times New Roman" w:cs="Times New Roman"/>
          <w:sz w:val="24"/>
          <w:szCs w:val="24"/>
        </w:rPr>
      </w:pPr>
    </w:p>
    <w:p w14:paraId="5C94924E" w14:textId="77777777" w:rsidR="00024704" w:rsidRPr="008D3C26" w:rsidRDefault="002C50F4" w:rsidP="002C50F4">
      <w:pPr>
        <w:rPr>
          <w:rFonts w:ascii="Times New Roman" w:hAnsi="Times New Roman" w:cs="Times New Roman"/>
          <w:b/>
          <w:sz w:val="24"/>
          <w:szCs w:val="24"/>
        </w:rPr>
      </w:pPr>
      <w:r w:rsidRPr="008D3C26">
        <w:rPr>
          <w:rFonts w:ascii="Times New Roman" w:hAnsi="Times New Roman" w:cs="Times New Roman"/>
          <w:b/>
          <w:sz w:val="24"/>
          <w:szCs w:val="24"/>
        </w:rPr>
        <w:t xml:space="preserve">3.1.6. </w:t>
      </w:r>
      <w:r w:rsidR="00024704" w:rsidRPr="008D3C26">
        <w:rPr>
          <w:rFonts w:ascii="Times New Roman" w:hAnsi="Times New Roman" w:cs="Times New Roman"/>
          <w:b/>
          <w:sz w:val="24"/>
          <w:szCs w:val="24"/>
        </w:rPr>
        <w:t>The Skills Development Levies Act should be reviewed to make provision for government departments to pay 1 percent skills levies, so as to ensure that government related SETAs are funded adequately to provide skills interventions relevant to building a capable and developmental state</w:t>
      </w:r>
      <w:r w:rsidR="006B266F" w:rsidRPr="008D3C26">
        <w:rPr>
          <w:rFonts w:ascii="Times New Roman" w:hAnsi="Times New Roman" w:cs="Times New Roman"/>
          <w:b/>
          <w:sz w:val="24"/>
          <w:szCs w:val="24"/>
        </w:rPr>
        <w:t>.</w:t>
      </w:r>
    </w:p>
    <w:p w14:paraId="4ABD9C6B" w14:textId="77777777" w:rsidR="00062214" w:rsidRPr="008D3C26" w:rsidRDefault="00024704" w:rsidP="00024704">
      <w:pPr>
        <w:rPr>
          <w:rFonts w:ascii="Times New Roman" w:hAnsi="Times New Roman" w:cs="Times New Roman"/>
          <w:sz w:val="24"/>
          <w:szCs w:val="24"/>
        </w:rPr>
      </w:pPr>
      <w:r w:rsidRPr="008D3C26">
        <w:rPr>
          <w:rFonts w:ascii="Times New Roman" w:hAnsi="Times New Roman" w:cs="Times New Roman"/>
          <w:sz w:val="24"/>
          <w:szCs w:val="24"/>
        </w:rPr>
        <w:t xml:space="preserve">The issue of the payment of one per cent skills levy towards the funding of the Sector Education and Training Authorities (SETAs) was already catered for in sections 30(a) and 30A of the </w:t>
      </w:r>
      <w:r w:rsidR="00531B9B" w:rsidRPr="008D3C26">
        <w:rPr>
          <w:rFonts w:ascii="Times New Roman" w:hAnsi="Times New Roman" w:cs="Times New Roman"/>
          <w:sz w:val="24"/>
          <w:szCs w:val="24"/>
        </w:rPr>
        <w:t>Skills Development Act (SDA)</w:t>
      </w:r>
      <w:r w:rsidRPr="008D3C26">
        <w:rPr>
          <w:rFonts w:ascii="Times New Roman" w:hAnsi="Times New Roman" w:cs="Times New Roman"/>
          <w:sz w:val="24"/>
          <w:szCs w:val="24"/>
        </w:rPr>
        <w:t xml:space="preserve">.  Section 30(a)(ii) of the </w:t>
      </w:r>
      <w:r w:rsidR="009F58E7" w:rsidRPr="008D3C26">
        <w:rPr>
          <w:rFonts w:ascii="Times New Roman" w:hAnsi="Times New Roman" w:cs="Times New Roman"/>
          <w:sz w:val="24"/>
          <w:szCs w:val="24"/>
        </w:rPr>
        <w:t>Skills Development Act (</w:t>
      </w:r>
      <w:r w:rsidRPr="008D3C26">
        <w:rPr>
          <w:rFonts w:ascii="Times New Roman" w:hAnsi="Times New Roman" w:cs="Times New Roman"/>
          <w:sz w:val="24"/>
          <w:szCs w:val="24"/>
        </w:rPr>
        <w:t>SDA</w:t>
      </w:r>
      <w:r w:rsidR="009F58E7" w:rsidRPr="008D3C26">
        <w:rPr>
          <w:rFonts w:ascii="Times New Roman" w:hAnsi="Times New Roman" w:cs="Times New Roman"/>
          <w:sz w:val="24"/>
          <w:szCs w:val="24"/>
        </w:rPr>
        <w:t>)</w:t>
      </w:r>
      <w:r w:rsidRPr="008D3C26">
        <w:rPr>
          <w:rFonts w:ascii="Times New Roman" w:hAnsi="Times New Roman" w:cs="Times New Roman"/>
          <w:sz w:val="24"/>
          <w:szCs w:val="24"/>
        </w:rPr>
        <w:t xml:space="preserve"> provides that each public service employer in the national and provincial sphere of government – must budget for </w:t>
      </w:r>
      <w:r w:rsidRPr="008D3C26">
        <w:rPr>
          <w:rFonts w:ascii="Times New Roman" w:hAnsi="Times New Roman" w:cs="Times New Roman"/>
          <w:sz w:val="24"/>
          <w:szCs w:val="24"/>
          <w:u w:val="single"/>
        </w:rPr>
        <w:t>at least</w:t>
      </w:r>
      <w:r w:rsidRPr="008D3C26">
        <w:rPr>
          <w:rFonts w:ascii="Times New Roman" w:hAnsi="Times New Roman" w:cs="Times New Roman"/>
          <w:sz w:val="24"/>
          <w:szCs w:val="24"/>
        </w:rPr>
        <w:t xml:space="preserve"> one percent of its payroll with effect from 1 April 2001 for the training and education of its employees; and (b) may contribute funds to a SETA. Section 30A has similar provisions in respect of national and provincial public entities. The </w:t>
      </w:r>
      <w:r w:rsidRPr="008D3C26">
        <w:rPr>
          <w:rFonts w:ascii="Times New Roman" w:hAnsi="Times New Roman" w:cs="Times New Roman"/>
          <w:sz w:val="24"/>
          <w:szCs w:val="24"/>
        </w:rPr>
        <w:lastRenderedPageBreak/>
        <w:t>Department noted that there was no need to review the Act for this specific purpose as provisions were already made in the current Act.</w:t>
      </w:r>
      <w:r w:rsidR="009D7AF7" w:rsidRPr="008D3C26">
        <w:rPr>
          <w:rFonts w:ascii="Times New Roman" w:hAnsi="Times New Roman" w:cs="Times New Roman"/>
          <w:sz w:val="24"/>
          <w:szCs w:val="24"/>
        </w:rPr>
        <w:t xml:space="preserve"> Despite the provisions in the Skills Development Act for payment of skills levies, the Committee, through engagements with SETAs noted non-compliance of government departments and entities in paying the levies to SETAs. </w:t>
      </w:r>
      <w:r w:rsidR="00FC3EDC" w:rsidRPr="008D3C26">
        <w:rPr>
          <w:rFonts w:ascii="Times New Roman" w:hAnsi="Times New Roman" w:cs="Times New Roman"/>
          <w:sz w:val="24"/>
          <w:szCs w:val="24"/>
        </w:rPr>
        <w:t xml:space="preserve">The Committee also noted with concern that there were no mechanisms in place to compel government departments and entities to pay the skills levies. </w:t>
      </w:r>
    </w:p>
    <w:p w14:paraId="672685CB" w14:textId="77777777" w:rsidR="00BA6B47" w:rsidRPr="008D3C26" w:rsidRDefault="002C50F4" w:rsidP="002C50F4">
      <w:pPr>
        <w:rPr>
          <w:rFonts w:ascii="Times New Roman" w:hAnsi="Times New Roman" w:cs="Times New Roman"/>
          <w:b/>
          <w:sz w:val="24"/>
          <w:szCs w:val="24"/>
        </w:rPr>
      </w:pPr>
      <w:r w:rsidRPr="008D3C26">
        <w:rPr>
          <w:rFonts w:ascii="Times New Roman" w:hAnsi="Times New Roman" w:cs="Times New Roman"/>
          <w:b/>
          <w:sz w:val="24"/>
          <w:szCs w:val="24"/>
        </w:rPr>
        <w:t xml:space="preserve">3.1.7. </w:t>
      </w:r>
      <w:r w:rsidR="00BA6B47" w:rsidRPr="008D3C26">
        <w:rPr>
          <w:rFonts w:ascii="Times New Roman" w:hAnsi="Times New Roman" w:cs="Times New Roman"/>
          <w:b/>
          <w:sz w:val="24"/>
          <w:szCs w:val="24"/>
        </w:rPr>
        <w:t xml:space="preserve">Increased enrolment in TVET Colleges should be supported </w:t>
      </w:r>
      <w:r w:rsidR="000130B3" w:rsidRPr="008D3C26">
        <w:rPr>
          <w:rFonts w:ascii="Times New Roman" w:hAnsi="Times New Roman" w:cs="Times New Roman"/>
          <w:b/>
          <w:sz w:val="24"/>
          <w:szCs w:val="24"/>
        </w:rPr>
        <w:t xml:space="preserve">through </w:t>
      </w:r>
      <w:r w:rsidR="00BA6B47" w:rsidRPr="008D3C26">
        <w:rPr>
          <w:rFonts w:ascii="Times New Roman" w:hAnsi="Times New Roman" w:cs="Times New Roman"/>
          <w:b/>
          <w:sz w:val="24"/>
          <w:szCs w:val="24"/>
        </w:rPr>
        <w:t>requisite funding</w:t>
      </w:r>
      <w:r w:rsidR="009319A3" w:rsidRPr="008D3C26">
        <w:rPr>
          <w:rFonts w:ascii="Times New Roman" w:hAnsi="Times New Roman" w:cs="Times New Roman"/>
          <w:b/>
          <w:sz w:val="24"/>
          <w:szCs w:val="24"/>
        </w:rPr>
        <w:t>.</w:t>
      </w:r>
    </w:p>
    <w:p w14:paraId="4BE79D2E" w14:textId="77777777" w:rsidR="00426588" w:rsidRPr="008D3C26" w:rsidRDefault="00BA6B47" w:rsidP="00426588">
      <w:pPr>
        <w:spacing w:before="60" w:after="60"/>
        <w:rPr>
          <w:rFonts w:ascii="Times New Roman" w:hAnsi="Times New Roman" w:cs="Times New Roman"/>
          <w:sz w:val="24"/>
          <w:szCs w:val="24"/>
        </w:rPr>
      </w:pPr>
      <w:r w:rsidRPr="008D3C26">
        <w:rPr>
          <w:rFonts w:ascii="Times New Roman" w:hAnsi="Times New Roman" w:cs="Times New Roman"/>
          <w:sz w:val="24"/>
          <w:szCs w:val="24"/>
        </w:rPr>
        <w:t xml:space="preserve">The Department noted that a Cabinet Memorandum had been prepared to request for additional funding to support the enrolment targets as set in the White Paper for Post-School Education and Training. This Cabinet Memorandum had been supported by the Social Cluster and would be submitted to Cabinet at the end of October 2017 for consideration. </w:t>
      </w:r>
      <w:r w:rsidR="000130B3" w:rsidRPr="008D3C26">
        <w:rPr>
          <w:rFonts w:ascii="Times New Roman" w:hAnsi="Times New Roman" w:cs="Times New Roman"/>
          <w:sz w:val="24"/>
          <w:szCs w:val="24"/>
        </w:rPr>
        <w:t>In a</w:t>
      </w:r>
      <w:r w:rsidRPr="008D3C26">
        <w:rPr>
          <w:rFonts w:ascii="Times New Roman" w:hAnsi="Times New Roman" w:cs="Times New Roman"/>
          <w:sz w:val="24"/>
          <w:szCs w:val="24"/>
        </w:rPr>
        <w:t xml:space="preserve">ddition to the Cabinet Memorandum, numerous </w:t>
      </w:r>
      <w:r w:rsidR="000130B3" w:rsidRPr="008D3C26">
        <w:rPr>
          <w:rFonts w:ascii="Times New Roman" w:hAnsi="Times New Roman" w:cs="Times New Roman"/>
          <w:sz w:val="24"/>
          <w:szCs w:val="24"/>
        </w:rPr>
        <w:t>b</w:t>
      </w:r>
      <w:r w:rsidRPr="008D3C26">
        <w:rPr>
          <w:rFonts w:ascii="Times New Roman" w:hAnsi="Times New Roman" w:cs="Times New Roman"/>
          <w:sz w:val="24"/>
          <w:szCs w:val="24"/>
        </w:rPr>
        <w:t xml:space="preserve">ids had been submitted, as well as consultations held with the National Treasury as well as </w:t>
      </w:r>
      <w:r w:rsidR="000130B3" w:rsidRPr="008D3C26">
        <w:rPr>
          <w:rFonts w:ascii="Times New Roman" w:hAnsi="Times New Roman" w:cs="Times New Roman"/>
          <w:sz w:val="24"/>
          <w:szCs w:val="24"/>
        </w:rPr>
        <w:t xml:space="preserve">with </w:t>
      </w:r>
      <w:r w:rsidRPr="008D3C26">
        <w:rPr>
          <w:rFonts w:ascii="Times New Roman" w:hAnsi="Times New Roman" w:cs="Times New Roman"/>
          <w:sz w:val="24"/>
          <w:szCs w:val="24"/>
        </w:rPr>
        <w:t xml:space="preserve">the Department of Performance Monitoring and Evaluation (DPME), without any funds been received by the Department. The Department had also met with the Heher Commission as well as the Portfolio Committee on Higher Education and Training to indicate the current funding shortfall in the TVET system and to request additional funding, of which no additional funds have been forthcoming. </w:t>
      </w:r>
    </w:p>
    <w:p w14:paraId="0F85BEC9" w14:textId="77777777" w:rsidR="00426588" w:rsidRPr="008D3C26" w:rsidRDefault="00426588" w:rsidP="00426588">
      <w:pPr>
        <w:spacing w:before="60" w:after="60"/>
        <w:rPr>
          <w:rFonts w:ascii="Times New Roman" w:hAnsi="Times New Roman" w:cs="Times New Roman"/>
          <w:sz w:val="24"/>
          <w:szCs w:val="24"/>
        </w:rPr>
      </w:pPr>
    </w:p>
    <w:p w14:paraId="18F4ED07" w14:textId="77777777" w:rsidR="009319A3" w:rsidRPr="008D3C26" w:rsidRDefault="009319A3" w:rsidP="00426588">
      <w:pPr>
        <w:spacing w:before="60" w:after="60"/>
        <w:rPr>
          <w:rFonts w:ascii="Times New Roman" w:hAnsi="Times New Roman" w:cs="Times New Roman"/>
          <w:sz w:val="24"/>
          <w:szCs w:val="24"/>
        </w:rPr>
      </w:pPr>
    </w:p>
    <w:p w14:paraId="0735EE61" w14:textId="77777777" w:rsidR="00A43A0D" w:rsidRPr="008D3C26" w:rsidRDefault="002E3E89" w:rsidP="00426588">
      <w:pPr>
        <w:spacing w:before="60" w:after="60"/>
        <w:rPr>
          <w:rFonts w:ascii="Times New Roman" w:hAnsi="Times New Roman" w:cs="Times New Roman"/>
          <w:sz w:val="24"/>
          <w:szCs w:val="24"/>
        </w:rPr>
      </w:pPr>
      <w:r w:rsidRPr="008D3C26">
        <w:rPr>
          <w:rFonts w:ascii="Times New Roman" w:hAnsi="Times New Roman" w:cs="Times New Roman"/>
          <w:b/>
          <w:sz w:val="24"/>
          <w:szCs w:val="24"/>
        </w:rPr>
        <w:t>3.2.</w:t>
      </w:r>
      <w:r w:rsidRPr="008D3C26">
        <w:rPr>
          <w:rFonts w:ascii="Times New Roman" w:hAnsi="Times New Roman" w:cs="Times New Roman"/>
          <w:sz w:val="24"/>
          <w:szCs w:val="24"/>
        </w:rPr>
        <w:t xml:space="preserve"> </w:t>
      </w:r>
      <w:r w:rsidR="00A43A0D" w:rsidRPr="008D3C26">
        <w:rPr>
          <w:rFonts w:ascii="Times New Roman" w:hAnsi="Times New Roman" w:cs="Times New Roman"/>
          <w:b/>
          <w:sz w:val="24"/>
          <w:szCs w:val="24"/>
        </w:rPr>
        <w:t>Evaluation of the response by the Department and Minister of Finance</w:t>
      </w:r>
      <w:r w:rsidR="00AD07CE" w:rsidRPr="008D3C26">
        <w:rPr>
          <w:rFonts w:ascii="Times New Roman" w:hAnsi="Times New Roman" w:cs="Times New Roman"/>
          <w:b/>
          <w:sz w:val="24"/>
          <w:szCs w:val="24"/>
        </w:rPr>
        <w:t xml:space="preserve"> to the Portfolio Committee on Higher Education’s 2016 BRR</w:t>
      </w:r>
      <w:r w:rsidR="00E868FA" w:rsidRPr="008D3C26">
        <w:rPr>
          <w:rFonts w:ascii="Times New Roman" w:hAnsi="Times New Roman" w:cs="Times New Roman"/>
          <w:b/>
          <w:sz w:val="24"/>
          <w:szCs w:val="24"/>
        </w:rPr>
        <w:t>R</w:t>
      </w:r>
      <w:r w:rsidR="00AD07CE" w:rsidRPr="008D3C26">
        <w:rPr>
          <w:rFonts w:ascii="Times New Roman" w:hAnsi="Times New Roman" w:cs="Times New Roman"/>
          <w:b/>
          <w:sz w:val="24"/>
          <w:szCs w:val="24"/>
        </w:rPr>
        <w:t xml:space="preserve"> </w:t>
      </w:r>
      <w:r w:rsidR="00E868FA" w:rsidRPr="008D3C26">
        <w:rPr>
          <w:rFonts w:ascii="Times New Roman" w:hAnsi="Times New Roman" w:cs="Times New Roman"/>
          <w:b/>
          <w:sz w:val="24"/>
          <w:szCs w:val="24"/>
        </w:rPr>
        <w:t>r</w:t>
      </w:r>
      <w:r w:rsidR="00AD07CE" w:rsidRPr="008D3C26">
        <w:rPr>
          <w:rFonts w:ascii="Times New Roman" w:hAnsi="Times New Roman" w:cs="Times New Roman"/>
          <w:b/>
          <w:sz w:val="24"/>
          <w:szCs w:val="24"/>
        </w:rPr>
        <w:t>ecommendations</w:t>
      </w:r>
    </w:p>
    <w:p w14:paraId="3B06A1A2" w14:textId="77777777" w:rsidR="00AD07CE" w:rsidRPr="008D3C26" w:rsidRDefault="003123D6" w:rsidP="00AD07CE">
      <w:pPr>
        <w:rPr>
          <w:rFonts w:ascii="Times New Roman" w:hAnsi="Times New Roman" w:cs="Times New Roman"/>
          <w:sz w:val="24"/>
          <w:szCs w:val="24"/>
        </w:rPr>
      </w:pPr>
      <w:r w:rsidRPr="008D3C26">
        <w:rPr>
          <w:rFonts w:ascii="Times New Roman" w:hAnsi="Times New Roman" w:cs="Times New Roman"/>
          <w:sz w:val="24"/>
          <w:szCs w:val="24"/>
        </w:rPr>
        <w:t>The Minister of Finance did not respond directly to the 2016 recommendations of the Portfolio Committee on Higher Education and Training</w:t>
      </w:r>
      <w:r w:rsidR="00AD07CE" w:rsidRPr="008D3C26">
        <w:rPr>
          <w:rFonts w:ascii="Times New Roman" w:hAnsi="Times New Roman" w:cs="Times New Roman"/>
          <w:sz w:val="24"/>
          <w:szCs w:val="24"/>
        </w:rPr>
        <w:t xml:space="preserve">. However, the Minister tabled </w:t>
      </w:r>
      <w:r w:rsidR="00E868FA" w:rsidRPr="008D3C26">
        <w:rPr>
          <w:rFonts w:ascii="Times New Roman" w:hAnsi="Times New Roman" w:cs="Times New Roman"/>
          <w:sz w:val="24"/>
          <w:szCs w:val="24"/>
        </w:rPr>
        <w:t>in</w:t>
      </w:r>
      <w:r w:rsidR="00AD07CE" w:rsidRPr="008D3C26">
        <w:rPr>
          <w:rFonts w:ascii="Times New Roman" w:hAnsi="Times New Roman" w:cs="Times New Roman"/>
          <w:sz w:val="24"/>
          <w:szCs w:val="24"/>
        </w:rPr>
        <w:t xml:space="preserve"> Parliament the </w:t>
      </w:r>
      <w:r w:rsidR="00B96096" w:rsidRPr="008D3C26">
        <w:rPr>
          <w:rFonts w:ascii="Times New Roman" w:hAnsi="Times New Roman" w:cs="Times New Roman"/>
          <w:sz w:val="24"/>
          <w:szCs w:val="24"/>
        </w:rPr>
        <w:t xml:space="preserve">Budget Review 2017 with </w:t>
      </w:r>
      <w:r w:rsidR="00AD07CE" w:rsidRPr="008D3C26">
        <w:rPr>
          <w:rFonts w:ascii="Times New Roman" w:hAnsi="Times New Roman" w:cs="Times New Roman"/>
          <w:sz w:val="24"/>
          <w:szCs w:val="24"/>
        </w:rPr>
        <w:t>responses to the 2016 recommendations of the Standing Committee on Appropriations on the Medium Term Budget Policy Statement (MTBPS)</w:t>
      </w:r>
      <w:r w:rsidR="00B96096" w:rsidRPr="008D3C26">
        <w:rPr>
          <w:rFonts w:ascii="Times New Roman" w:hAnsi="Times New Roman" w:cs="Times New Roman"/>
          <w:sz w:val="24"/>
          <w:szCs w:val="24"/>
        </w:rPr>
        <w:t xml:space="preserve"> and</w:t>
      </w:r>
      <w:r w:rsidR="00AD07CE" w:rsidRPr="008D3C26">
        <w:rPr>
          <w:rFonts w:ascii="Times New Roman" w:hAnsi="Times New Roman" w:cs="Times New Roman"/>
          <w:sz w:val="24"/>
          <w:szCs w:val="24"/>
        </w:rPr>
        <w:t xml:space="preserve"> the Select </w:t>
      </w:r>
      <w:r w:rsidR="00B96096" w:rsidRPr="008D3C26">
        <w:rPr>
          <w:rFonts w:ascii="Times New Roman" w:hAnsi="Times New Roman" w:cs="Times New Roman"/>
          <w:sz w:val="24"/>
          <w:szCs w:val="24"/>
        </w:rPr>
        <w:t xml:space="preserve">and Standing Committees of Finance recommendations to the </w:t>
      </w:r>
      <w:r w:rsidR="00AD07CE" w:rsidRPr="008D3C26">
        <w:rPr>
          <w:rFonts w:ascii="Times New Roman" w:hAnsi="Times New Roman" w:cs="Times New Roman"/>
          <w:sz w:val="24"/>
          <w:szCs w:val="24"/>
        </w:rPr>
        <w:t>201</w:t>
      </w:r>
      <w:r w:rsidR="00D72B38" w:rsidRPr="008D3C26">
        <w:rPr>
          <w:rFonts w:ascii="Times New Roman" w:hAnsi="Times New Roman" w:cs="Times New Roman"/>
          <w:sz w:val="24"/>
          <w:szCs w:val="24"/>
        </w:rPr>
        <w:t>6</w:t>
      </w:r>
      <w:r w:rsidR="00AD07CE" w:rsidRPr="008D3C26">
        <w:rPr>
          <w:rFonts w:ascii="Times New Roman" w:hAnsi="Times New Roman" w:cs="Times New Roman"/>
          <w:sz w:val="24"/>
          <w:szCs w:val="24"/>
        </w:rPr>
        <w:t xml:space="preserve"> Revised Fiscal Framework. </w:t>
      </w:r>
    </w:p>
    <w:p w14:paraId="087385A4" w14:textId="77777777" w:rsidR="00D72B38" w:rsidRPr="008D3C26" w:rsidRDefault="00D72B38" w:rsidP="00D72B38">
      <w:pPr>
        <w:rPr>
          <w:rFonts w:ascii="Times New Roman" w:hAnsi="Times New Roman" w:cs="Times New Roman"/>
          <w:b/>
          <w:bCs/>
          <w:sz w:val="24"/>
          <w:szCs w:val="24"/>
        </w:rPr>
      </w:pPr>
      <w:r w:rsidRPr="008D3C26">
        <w:rPr>
          <w:rFonts w:ascii="Times New Roman" w:hAnsi="Times New Roman" w:cs="Times New Roman"/>
          <w:b/>
          <w:bCs/>
          <w:sz w:val="24"/>
          <w:szCs w:val="24"/>
        </w:rPr>
        <w:t xml:space="preserve">3.2.1. Improving efficiency and effectiveness of spending on post-school education: </w:t>
      </w:r>
      <w:r w:rsidRPr="008D3C26">
        <w:rPr>
          <w:rFonts w:ascii="Times New Roman" w:hAnsi="Times New Roman" w:cs="Times New Roman"/>
          <w:iCs/>
          <w:sz w:val="24"/>
          <w:szCs w:val="24"/>
        </w:rPr>
        <w:t>The Minister of Finance and the Minister of Higher Education and Training should ensure</w:t>
      </w:r>
      <w:r w:rsidRPr="008D3C26">
        <w:rPr>
          <w:rFonts w:ascii="Times New Roman" w:hAnsi="Times New Roman" w:cs="Times New Roman"/>
          <w:b/>
          <w:bCs/>
          <w:sz w:val="24"/>
          <w:szCs w:val="24"/>
        </w:rPr>
        <w:t xml:space="preserve"> </w:t>
      </w:r>
      <w:r w:rsidRPr="008D3C26">
        <w:rPr>
          <w:rFonts w:ascii="Times New Roman" w:hAnsi="Times New Roman" w:cs="Times New Roman"/>
          <w:iCs/>
          <w:sz w:val="24"/>
          <w:szCs w:val="24"/>
        </w:rPr>
        <w:t>that the National Treasury and the Department of Higher Education and Training consider</w:t>
      </w:r>
      <w:r w:rsidRPr="008D3C26">
        <w:rPr>
          <w:rFonts w:ascii="Times New Roman" w:hAnsi="Times New Roman" w:cs="Times New Roman"/>
          <w:b/>
          <w:bCs/>
          <w:sz w:val="24"/>
          <w:szCs w:val="24"/>
        </w:rPr>
        <w:t xml:space="preserve"> </w:t>
      </w:r>
      <w:r w:rsidRPr="008D3C26">
        <w:rPr>
          <w:rFonts w:ascii="Times New Roman" w:hAnsi="Times New Roman" w:cs="Times New Roman"/>
          <w:iCs/>
          <w:sz w:val="24"/>
          <w:szCs w:val="24"/>
        </w:rPr>
        <w:t xml:space="preserve">the </w:t>
      </w:r>
      <w:r w:rsidRPr="008D3C26">
        <w:rPr>
          <w:rFonts w:ascii="Times New Roman" w:hAnsi="Times New Roman" w:cs="Times New Roman"/>
          <w:iCs/>
          <w:sz w:val="24"/>
          <w:szCs w:val="24"/>
        </w:rPr>
        <w:lastRenderedPageBreak/>
        <w:t>following to ensure efficiency, effectiveness and value for money in the post-school</w:t>
      </w:r>
      <w:r w:rsidRPr="008D3C26">
        <w:rPr>
          <w:rFonts w:ascii="Times New Roman" w:hAnsi="Times New Roman" w:cs="Times New Roman"/>
          <w:b/>
          <w:bCs/>
          <w:sz w:val="24"/>
          <w:szCs w:val="24"/>
        </w:rPr>
        <w:t xml:space="preserve"> </w:t>
      </w:r>
      <w:r w:rsidRPr="008D3C26">
        <w:rPr>
          <w:rFonts w:ascii="Times New Roman" w:hAnsi="Times New Roman" w:cs="Times New Roman"/>
          <w:iCs/>
          <w:sz w:val="24"/>
          <w:szCs w:val="24"/>
        </w:rPr>
        <w:t>sector given the very significant funding expansions proposed:</w:t>
      </w:r>
    </w:p>
    <w:p w14:paraId="52DAAA7C" w14:textId="77777777" w:rsidR="00D72B38" w:rsidRPr="008D3C26" w:rsidRDefault="00D72B38" w:rsidP="004D4833">
      <w:pPr>
        <w:pStyle w:val="ListParagraph"/>
        <w:numPr>
          <w:ilvl w:val="0"/>
          <w:numId w:val="21"/>
        </w:numPr>
        <w:rPr>
          <w:rFonts w:ascii="Times New Roman" w:hAnsi="Times New Roman" w:cs="Times New Roman"/>
          <w:b/>
          <w:bCs/>
          <w:sz w:val="24"/>
          <w:szCs w:val="24"/>
        </w:rPr>
      </w:pPr>
      <w:r w:rsidRPr="008D3C26">
        <w:rPr>
          <w:rFonts w:ascii="Times New Roman" w:hAnsi="Times New Roman" w:cs="Times New Roman"/>
          <w:iCs/>
          <w:sz w:val="24"/>
          <w:szCs w:val="24"/>
        </w:rPr>
        <w:t>Embarking on a comprehensive budget reprioritisation programme in all sector education</w:t>
      </w:r>
      <w:r w:rsidR="004D4833" w:rsidRPr="008D3C26">
        <w:rPr>
          <w:rFonts w:ascii="Times New Roman" w:hAnsi="Times New Roman" w:cs="Times New Roman"/>
          <w:iCs/>
          <w:sz w:val="24"/>
          <w:szCs w:val="24"/>
        </w:rPr>
        <w:t xml:space="preserve"> </w:t>
      </w:r>
      <w:r w:rsidRPr="008D3C26">
        <w:rPr>
          <w:rFonts w:ascii="Times New Roman" w:hAnsi="Times New Roman" w:cs="Times New Roman"/>
          <w:iCs/>
          <w:sz w:val="24"/>
          <w:szCs w:val="24"/>
        </w:rPr>
        <w:t xml:space="preserve">training authorities for maximum outlays towards training and supporting learners, artisans, apprentices and students. </w:t>
      </w:r>
    </w:p>
    <w:p w14:paraId="29CB42F2" w14:textId="77777777" w:rsidR="00D72B38" w:rsidRPr="008D3C26" w:rsidRDefault="00D72B38" w:rsidP="0087099E">
      <w:pPr>
        <w:pStyle w:val="ListParagraph"/>
        <w:numPr>
          <w:ilvl w:val="0"/>
          <w:numId w:val="21"/>
        </w:numPr>
        <w:autoSpaceDE w:val="0"/>
        <w:autoSpaceDN w:val="0"/>
        <w:adjustRightInd w:val="0"/>
        <w:spacing w:after="0"/>
        <w:rPr>
          <w:rFonts w:ascii="Times New Roman" w:hAnsi="Times New Roman" w:cs="Times New Roman"/>
          <w:iCs/>
          <w:sz w:val="24"/>
          <w:szCs w:val="24"/>
        </w:rPr>
      </w:pPr>
      <w:r w:rsidRPr="008D3C26">
        <w:rPr>
          <w:rFonts w:ascii="Times New Roman" w:hAnsi="Times New Roman" w:cs="Times New Roman"/>
          <w:iCs/>
          <w:sz w:val="24"/>
          <w:szCs w:val="24"/>
        </w:rPr>
        <w:t xml:space="preserve">That the Office of the Chief Procurement Officer conducts a comprehensive review of </w:t>
      </w:r>
      <w:r w:rsidR="0087099E" w:rsidRPr="008D3C26">
        <w:rPr>
          <w:rFonts w:ascii="Times New Roman" w:hAnsi="Times New Roman" w:cs="Times New Roman"/>
          <w:iCs/>
          <w:sz w:val="24"/>
          <w:szCs w:val="24"/>
        </w:rPr>
        <w:t xml:space="preserve">the </w:t>
      </w:r>
      <w:r w:rsidRPr="008D3C26">
        <w:rPr>
          <w:rFonts w:ascii="Times New Roman" w:hAnsi="Times New Roman" w:cs="Times New Roman"/>
          <w:iCs/>
          <w:sz w:val="24"/>
          <w:szCs w:val="24"/>
        </w:rPr>
        <w:t>major cost drivers within the post-school sector and all state entities in the post-school sector.</w:t>
      </w:r>
    </w:p>
    <w:p w14:paraId="75D406F7" w14:textId="77777777" w:rsidR="00D72B38" w:rsidRPr="008D3C26" w:rsidRDefault="00D72B38" w:rsidP="00D72B38">
      <w:pPr>
        <w:autoSpaceDE w:val="0"/>
        <w:autoSpaceDN w:val="0"/>
        <w:adjustRightInd w:val="0"/>
        <w:spacing w:after="0"/>
        <w:rPr>
          <w:rFonts w:ascii="Times New Roman" w:hAnsi="Times New Roman" w:cs="Times New Roman"/>
          <w:sz w:val="24"/>
          <w:szCs w:val="24"/>
        </w:rPr>
      </w:pPr>
      <w:r w:rsidRPr="008D3C26">
        <w:rPr>
          <w:rFonts w:ascii="Times New Roman" w:hAnsi="Times New Roman" w:cs="Times New Roman"/>
          <w:sz w:val="24"/>
          <w:szCs w:val="24"/>
        </w:rPr>
        <w:t xml:space="preserve">The Minister of Finance noted that most of the highlighted items were tasks that were best undertaken by the Department of Higher Education and Training and the relevant public entities and institutions. For example, the Department’s Sector Education and Training Authorities Coordination Unit in the Skills Development Branch should drive the budget reprioritisation process in conjunction with the boards of the training authorities. The National Treasury was prepared to assist the Department. The Office of the Chief Procurement Officer would support the department on the best procurement approaches once it submits a request to the National Treasury for help with the review of </w:t>
      </w:r>
      <w:r w:rsidR="0087099E" w:rsidRPr="008D3C26">
        <w:rPr>
          <w:rFonts w:ascii="Times New Roman" w:hAnsi="Times New Roman" w:cs="Times New Roman"/>
          <w:sz w:val="24"/>
          <w:szCs w:val="24"/>
        </w:rPr>
        <w:t xml:space="preserve">the </w:t>
      </w:r>
      <w:r w:rsidRPr="008D3C26">
        <w:rPr>
          <w:rFonts w:ascii="Times New Roman" w:hAnsi="Times New Roman" w:cs="Times New Roman"/>
          <w:sz w:val="24"/>
          <w:szCs w:val="24"/>
        </w:rPr>
        <w:t>major cost drivers in entities in the post-school sector.</w:t>
      </w:r>
    </w:p>
    <w:p w14:paraId="621C35C1" w14:textId="77777777" w:rsidR="0057273A" w:rsidRPr="008D3C26" w:rsidRDefault="0057273A" w:rsidP="00D72B38">
      <w:pPr>
        <w:autoSpaceDE w:val="0"/>
        <w:autoSpaceDN w:val="0"/>
        <w:adjustRightInd w:val="0"/>
        <w:spacing w:after="0"/>
        <w:rPr>
          <w:rFonts w:ascii="Times New Roman" w:hAnsi="Times New Roman" w:cs="Times New Roman"/>
          <w:b/>
          <w:sz w:val="24"/>
          <w:szCs w:val="24"/>
        </w:rPr>
      </w:pPr>
    </w:p>
    <w:p w14:paraId="6F47090C" w14:textId="77777777" w:rsidR="00D72B38" w:rsidRPr="008D3C26" w:rsidRDefault="00D72B38" w:rsidP="00D72B38">
      <w:pPr>
        <w:autoSpaceDE w:val="0"/>
        <w:autoSpaceDN w:val="0"/>
        <w:adjustRightInd w:val="0"/>
        <w:spacing w:after="0"/>
        <w:rPr>
          <w:rFonts w:ascii="Times New Roman" w:hAnsi="Times New Roman" w:cs="Times New Roman"/>
          <w:b/>
          <w:bCs/>
          <w:sz w:val="24"/>
          <w:szCs w:val="24"/>
        </w:rPr>
      </w:pPr>
      <w:r w:rsidRPr="008D3C26">
        <w:rPr>
          <w:rFonts w:ascii="Times New Roman" w:hAnsi="Times New Roman" w:cs="Times New Roman"/>
          <w:b/>
          <w:sz w:val="24"/>
          <w:szCs w:val="24"/>
        </w:rPr>
        <w:t xml:space="preserve">3.2.2. </w:t>
      </w:r>
      <w:r w:rsidR="00D04C71" w:rsidRPr="008D3C26">
        <w:rPr>
          <w:rFonts w:ascii="Times New Roman" w:hAnsi="Times New Roman" w:cs="Times New Roman"/>
          <w:b/>
          <w:bCs/>
          <w:sz w:val="24"/>
          <w:szCs w:val="24"/>
        </w:rPr>
        <w:t>Funding for post-school education</w:t>
      </w:r>
    </w:p>
    <w:p w14:paraId="13330CB2" w14:textId="77777777" w:rsidR="00766EA6" w:rsidRPr="008D3C26" w:rsidRDefault="00D04C71" w:rsidP="00D04C71">
      <w:pPr>
        <w:autoSpaceDE w:val="0"/>
        <w:autoSpaceDN w:val="0"/>
        <w:adjustRightInd w:val="0"/>
        <w:spacing w:after="0"/>
        <w:rPr>
          <w:rFonts w:ascii="Times New Roman" w:hAnsi="Times New Roman" w:cs="Times New Roman"/>
          <w:sz w:val="24"/>
          <w:szCs w:val="24"/>
        </w:rPr>
      </w:pPr>
      <w:r w:rsidRPr="008D3C26">
        <w:rPr>
          <w:rFonts w:ascii="Times New Roman" w:hAnsi="Times New Roman" w:cs="Times New Roman"/>
          <w:iCs/>
          <w:sz w:val="24"/>
          <w:szCs w:val="24"/>
        </w:rPr>
        <w:t>The Select and the Standing Committees of Finance recommend</w:t>
      </w:r>
      <w:r w:rsidR="000130B3" w:rsidRPr="008D3C26">
        <w:rPr>
          <w:rFonts w:ascii="Times New Roman" w:hAnsi="Times New Roman" w:cs="Times New Roman"/>
          <w:iCs/>
          <w:sz w:val="24"/>
          <w:szCs w:val="24"/>
        </w:rPr>
        <w:t>ed</w:t>
      </w:r>
      <w:r w:rsidRPr="008D3C26">
        <w:rPr>
          <w:rFonts w:ascii="Times New Roman" w:hAnsi="Times New Roman" w:cs="Times New Roman"/>
          <w:iCs/>
          <w:sz w:val="24"/>
          <w:szCs w:val="24"/>
        </w:rPr>
        <w:t xml:space="preserve"> that further allocations be considered for post-school education</w:t>
      </w:r>
      <w:r w:rsidR="000130B3" w:rsidRPr="008D3C26">
        <w:rPr>
          <w:rFonts w:ascii="Times New Roman" w:hAnsi="Times New Roman" w:cs="Times New Roman"/>
          <w:iCs/>
          <w:sz w:val="24"/>
          <w:szCs w:val="24"/>
        </w:rPr>
        <w:t>,</w:t>
      </w:r>
      <w:r w:rsidRPr="008D3C26">
        <w:rPr>
          <w:rFonts w:ascii="Times New Roman" w:hAnsi="Times New Roman" w:cs="Times New Roman"/>
          <w:iCs/>
          <w:sz w:val="24"/>
          <w:szCs w:val="24"/>
        </w:rPr>
        <w:t xml:space="preserve"> without prejudicing other key social programmes.</w:t>
      </w:r>
      <w:r w:rsidR="000130B3" w:rsidRPr="008D3C26">
        <w:rPr>
          <w:rFonts w:ascii="Times New Roman" w:hAnsi="Times New Roman" w:cs="Times New Roman"/>
          <w:iCs/>
          <w:sz w:val="24"/>
          <w:szCs w:val="24"/>
        </w:rPr>
        <w:t xml:space="preserve"> </w:t>
      </w:r>
      <w:r w:rsidRPr="008D3C26">
        <w:rPr>
          <w:rFonts w:ascii="Times New Roman" w:hAnsi="Times New Roman" w:cs="Times New Roman"/>
          <w:sz w:val="24"/>
          <w:szCs w:val="24"/>
        </w:rPr>
        <w:t xml:space="preserve">The Minister of Finance’s response </w:t>
      </w:r>
      <w:r w:rsidR="0087099E" w:rsidRPr="008D3C26">
        <w:rPr>
          <w:rFonts w:ascii="Times New Roman" w:hAnsi="Times New Roman" w:cs="Times New Roman"/>
          <w:sz w:val="24"/>
          <w:szCs w:val="24"/>
        </w:rPr>
        <w:t>to</w:t>
      </w:r>
      <w:r w:rsidRPr="008D3C26">
        <w:rPr>
          <w:rFonts w:ascii="Times New Roman" w:hAnsi="Times New Roman" w:cs="Times New Roman"/>
          <w:sz w:val="24"/>
          <w:szCs w:val="24"/>
        </w:rPr>
        <w:t xml:space="preserve"> the recommendation was that the 2017 Budget provided for additional allocations to the higher education sector through internal reprioritisation and baseline reductions, so ensuring increased allocations without affecting key social programmes and compromising expenditure limits. Further allocations to post-school education would have to be considered during the 2018 Budget process by the Ministers’ Committee on the Budget.</w:t>
      </w:r>
      <w:r w:rsidR="008C26B7" w:rsidRPr="008D3C26">
        <w:rPr>
          <w:rFonts w:ascii="Times New Roman" w:hAnsi="Times New Roman" w:cs="Times New Roman"/>
          <w:sz w:val="24"/>
          <w:szCs w:val="24"/>
        </w:rPr>
        <w:t xml:space="preserve"> </w:t>
      </w:r>
      <w:r w:rsidR="00A47809" w:rsidRPr="008D3C26">
        <w:rPr>
          <w:rFonts w:ascii="Times New Roman" w:hAnsi="Times New Roman" w:cs="Times New Roman"/>
          <w:sz w:val="24"/>
          <w:szCs w:val="24"/>
        </w:rPr>
        <w:t>Whilst reprioritisation and baseline reductions were effected within the Department’s budget, they could not cover the shortfalls mainly within the Department’s operational budget, TVET and CET funding shortfalls</w:t>
      </w:r>
      <w:r w:rsidR="00EC08DF" w:rsidRPr="008D3C26">
        <w:rPr>
          <w:rFonts w:ascii="Times New Roman" w:hAnsi="Times New Roman" w:cs="Times New Roman"/>
          <w:sz w:val="24"/>
          <w:szCs w:val="24"/>
        </w:rPr>
        <w:t>.</w:t>
      </w:r>
    </w:p>
    <w:p w14:paraId="287ABB8B" w14:textId="77777777" w:rsidR="004D4833" w:rsidRPr="008D3C26" w:rsidRDefault="004D4833" w:rsidP="009724AD">
      <w:pPr>
        <w:rPr>
          <w:rFonts w:ascii="Times New Roman" w:hAnsi="Times New Roman" w:cs="Times New Roman"/>
          <w:b/>
          <w:sz w:val="24"/>
          <w:szCs w:val="24"/>
        </w:rPr>
      </w:pPr>
    </w:p>
    <w:p w14:paraId="077983CA" w14:textId="77777777" w:rsidR="00525756" w:rsidRPr="008D3C26" w:rsidRDefault="00AD1937" w:rsidP="009724AD">
      <w:pPr>
        <w:rPr>
          <w:rFonts w:ascii="Times New Roman" w:hAnsi="Times New Roman" w:cs="Times New Roman"/>
          <w:b/>
          <w:sz w:val="24"/>
          <w:szCs w:val="24"/>
        </w:rPr>
      </w:pPr>
      <w:r w:rsidRPr="008D3C26">
        <w:rPr>
          <w:rFonts w:ascii="Times New Roman" w:hAnsi="Times New Roman" w:cs="Times New Roman"/>
          <w:b/>
          <w:sz w:val="24"/>
          <w:szCs w:val="24"/>
        </w:rPr>
        <w:t>3.</w:t>
      </w:r>
      <w:r w:rsidR="000168FA" w:rsidRPr="008D3C26">
        <w:rPr>
          <w:rFonts w:ascii="Times New Roman" w:hAnsi="Times New Roman" w:cs="Times New Roman"/>
          <w:b/>
          <w:sz w:val="24"/>
          <w:szCs w:val="24"/>
        </w:rPr>
        <w:t>3</w:t>
      </w:r>
      <w:r w:rsidRPr="008D3C26">
        <w:rPr>
          <w:rFonts w:ascii="Times New Roman" w:hAnsi="Times New Roman" w:cs="Times New Roman"/>
          <w:b/>
          <w:sz w:val="24"/>
          <w:szCs w:val="24"/>
        </w:rPr>
        <w:t>. 201</w:t>
      </w:r>
      <w:r w:rsidR="003107ED" w:rsidRPr="008D3C26">
        <w:rPr>
          <w:rFonts w:ascii="Times New Roman" w:hAnsi="Times New Roman" w:cs="Times New Roman"/>
          <w:b/>
          <w:sz w:val="24"/>
          <w:szCs w:val="24"/>
        </w:rPr>
        <w:t>7</w:t>
      </w:r>
      <w:r w:rsidRPr="008D3C26">
        <w:rPr>
          <w:rFonts w:ascii="Times New Roman" w:hAnsi="Times New Roman" w:cs="Times New Roman"/>
          <w:b/>
          <w:sz w:val="24"/>
          <w:szCs w:val="24"/>
        </w:rPr>
        <w:t>/1</w:t>
      </w:r>
      <w:r w:rsidR="003107ED" w:rsidRPr="008D3C26">
        <w:rPr>
          <w:rFonts w:ascii="Times New Roman" w:hAnsi="Times New Roman" w:cs="Times New Roman"/>
          <w:b/>
          <w:sz w:val="24"/>
          <w:szCs w:val="24"/>
        </w:rPr>
        <w:t>8</w:t>
      </w:r>
      <w:r w:rsidRPr="008D3C26">
        <w:rPr>
          <w:rFonts w:ascii="Times New Roman" w:hAnsi="Times New Roman" w:cs="Times New Roman"/>
          <w:b/>
          <w:sz w:val="24"/>
          <w:szCs w:val="24"/>
        </w:rPr>
        <w:t xml:space="preserve"> Committee Budget</w:t>
      </w:r>
      <w:r w:rsidR="00513A01" w:rsidRPr="008D3C26">
        <w:rPr>
          <w:rFonts w:ascii="Times New Roman" w:hAnsi="Times New Roman" w:cs="Times New Roman"/>
          <w:b/>
          <w:sz w:val="24"/>
          <w:szCs w:val="24"/>
        </w:rPr>
        <w:t xml:space="preserve"> Vote</w:t>
      </w:r>
      <w:r w:rsidRPr="008D3C26">
        <w:rPr>
          <w:rFonts w:ascii="Times New Roman" w:hAnsi="Times New Roman" w:cs="Times New Roman"/>
          <w:b/>
          <w:sz w:val="24"/>
          <w:szCs w:val="24"/>
        </w:rPr>
        <w:t xml:space="preserve"> Report</w:t>
      </w:r>
    </w:p>
    <w:p w14:paraId="5BC18A03" w14:textId="77777777" w:rsidR="00AD1937" w:rsidRPr="008D3C26" w:rsidRDefault="00AD1937" w:rsidP="009724AD">
      <w:pPr>
        <w:rPr>
          <w:rFonts w:ascii="Times New Roman" w:hAnsi="Times New Roman" w:cs="Times New Roman"/>
          <w:sz w:val="24"/>
          <w:szCs w:val="24"/>
        </w:rPr>
      </w:pPr>
      <w:r w:rsidRPr="008D3C26">
        <w:rPr>
          <w:rFonts w:ascii="Times New Roman" w:hAnsi="Times New Roman" w:cs="Times New Roman"/>
          <w:sz w:val="24"/>
          <w:szCs w:val="24"/>
        </w:rPr>
        <w:t>Summary of select</w:t>
      </w:r>
      <w:r w:rsidR="00282C8F" w:rsidRPr="008D3C26">
        <w:rPr>
          <w:rFonts w:ascii="Times New Roman" w:hAnsi="Times New Roman" w:cs="Times New Roman"/>
          <w:sz w:val="24"/>
          <w:szCs w:val="24"/>
        </w:rPr>
        <w:t>ed</w:t>
      </w:r>
      <w:r w:rsidRPr="008D3C26">
        <w:rPr>
          <w:rFonts w:ascii="Times New Roman" w:hAnsi="Times New Roman" w:cs="Times New Roman"/>
          <w:sz w:val="24"/>
          <w:szCs w:val="24"/>
        </w:rPr>
        <w:t xml:space="preserve"> 201</w:t>
      </w:r>
      <w:r w:rsidR="008E5CEB" w:rsidRPr="008D3C26">
        <w:rPr>
          <w:rFonts w:ascii="Times New Roman" w:hAnsi="Times New Roman" w:cs="Times New Roman"/>
          <w:sz w:val="24"/>
          <w:szCs w:val="24"/>
        </w:rPr>
        <w:t>7</w:t>
      </w:r>
      <w:r w:rsidR="00091B4D" w:rsidRPr="008D3C26">
        <w:rPr>
          <w:rFonts w:ascii="Times New Roman" w:hAnsi="Times New Roman" w:cs="Times New Roman"/>
          <w:sz w:val="24"/>
          <w:szCs w:val="24"/>
        </w:rPr>
        <w:t>/18</w:t>
      </w:r>
      <w:r w:rsidRPr="008D3C26">
        <w:rPr>
          <w:rFonts w:ascii="Times New Roman" w:hAnsi="Times New Roman" w:cs="Times New Roman"/>
          <w:sz w:val="24"/>
          <w:szCs w:val="24"/>
        </w:rPr>
        <w:t xml:space="preserve"> Committee Budget Vote Report Recommendations</w:t>
      </w:r>
    </w:p>
    <w:p w14:paraId="2AD886AF" w14:textId="77777777" w:rsidR="00062508" w:rsidRPr="008D3C26" w:rsidRDefault="00062508" w:rsidP="009724AD">
      <w:pPr>
        <w:rPr>
          <w:rFonts w:ascii="Times New Roman" w:hAnsi="Times New Roman" w:cs="Times New Roman"/>
          <w:sz w:val="24"/>
          <w:szCs w:val="24"/>
        </w:rPr>
      </w:pPr>
      <w:r w:rsidRPr="008D3C26">
        <w:rPr>
          <w:rFonts w:ascii="Times New Roman" w:hAnsi="Times New Roman" w:cs="Times New Roman"/>
          <w:sz w:val="24"/>
          <w:szCs w:val="24"/>
        </w:rPr>
        <w:lastRenderedPageBreak/>
        <w:t xml:space="preserve">The </w:t>
      </w:r>
      <w:r w:rsidR="00365FCE" w:rsidRPr="008D3C26">
        <w:rPr>
          <w:rFonts w:ascii="Times New Roman" w:hAnsi="Times New Roman" w:cs="Times New Roman"/>
          <w:sz w:val="24"/>
          <w:szCs w:val="24"/>
        </w:rPr>
        <w:t xml:space="preserve">Portfolio Committee on Higher Education considered the </w:t>
      </w:r>
      <w:r w:rsidRPr="008D3C26">
        <w:rPr>
          <w:rFonts w:ascii="Times New Roman" w:hAnsi="Times New Roman" w:cs="Times New Roman"/>
          <w:sz w:val="24"/>
          <w:szCs w:val="24"/>
        </w:rPr>
        <w:t xml:space="preserve">strategic plans, annual performance plans and budgets of the </w:t>
      </w:r>
      <w:r w:rsidR="008E5CEB" w:rsidRPr="008D3C26">
        <w:rPr>
          <w:rFonts w:ascii="Times New Roman" w:hAnsi="Times New Roman" w:cs="Times New Roman"/>
          <w:sz w:val="24"/>
          <w:szCs w:val="24"/>
        </w:rPr>
        <w:t>D</w:t>
      </w:r>
      <w:r w:rsidRPr="008D3C26">
        <w:rPr>
          <w:rFonts w:ascii="Times New Roman" w:hAnsi="Times New Roman" w:cs="Times New Roman"/>
          <w:sz w:val="24"/>
          <w:szCs w:val="24"/>
        </w:rPr>
        <w:t>epartment</w:t>
      </w:r>
      <w:r w:rsidR="008E5CEB" w:rsidRPr="008D3C26">
        <w:rPr>
          <w:rFonts w:ascii="Times New Roman" w:hAnsi="Times New Roman" w:cs="Times New Roman"/>
          <w:sz w:val="24"/>
          <w:szCs w:val="24"/>
        </w:rPr>
        <w:t xml:space="preserve"> of Higher Education and Training</w:t>
      </w:r>
      <w:r w:rsidR="00365FCE" w:rsidRPr="008D3C26">
        <w:rPr>
          <w:rFonts w:ascii="Times New Roman" w:hAnsi="Times New Roman" w:cs="Times New Roman"/>
          <w:sz w:val="24"/>
          <w:szCs w:val="24"/>
        </w:rPr>
        <w:t xml:space="preserve"> </w:t>
      </w:r>
      <w:r w:rsidR="007B342E" w:rsidRPr="008D3C26">
        <w:rPr>
          <w:rFonts w:ascii="Times New Roman" w:hAnsi="Times New Roman" w:cs="Times New Roman"/>
          <w:sz w:val="24"/>
          <w:szCs w:val="24"/>
        </w:rPr>
        <w:t xml:space="preserve">as </w:t>
      </w:r>
      <w:r w:rsidR="00365FCE" w:rsidRPr="008D3C26">
        <w:rPr>
          <w:rFonts w:ascii="Times New Roman" w:hAnsi="Times New Roman" w:cs="Times New Roman"/>
          <w:sz w:val="24"/>
          <w:szCs w:val="24"/>
        </w:rPr>
        <w:t xml:space="preserve">referred </w:t>
      </w:r>
      <w:r w:rsidR="007B342E" w:rsidRPr="008D3C26">
        <w:rPr>
          <w:rFonts w:ascii="Times New Roman" w:hAnsi="Times New Roman" w:cs="Times New Roman"/>
          <w:sz w:val="24"/>
          <w:szCs w:val="24"/>
        </w:rPr>
        <w:t xml:space="preserve">by the Speaker </w:t>
      </w:r>
      <w:r w:rsidR="00365FCE" w:rsidRPr="008D3C26">
        <w:rPr>
          <w:rFonts w:ascii="Times New Roman" w:hAnsi="Times New Roman" w:cs="Times New Roman"/>
          <w:sz w:val="24"/>
          <w:szCs w:val="24"/>
        </w:rPr>
        <w:t xml:space="preserve">terms of Rule 338 of the Rules of the National Assembly. The Committee reported in accordance with Rule 166 and made the following recommendations. </w:t>
      </w:r>
    </w:p>
    <w:p w14:paraId="4FB3A923" w14:textId="77777777" w:rsidR="00282C8F" w:rsidRPr="008D3C26" w:rsidRDefault="00282C8F" w:rsidP="00282C8F">
      <w:pPr>
        <w:ind w:left="630" w:hanging="630"/>
        <w:rPr>
          <w:rFonts w:ascii="Times New Roman" w:hAnsi="Times New Roman" w:cs="Times New Roman"/>
          <w:sz w:val="24"/>
          <w:szCs w:val="24"/>
        </w:rPr>
      </w:pPr>
      <w:r w:rsidRPr="008D3C26">
        <w:rPr>
          <w:rFonts w:ascii="Times New Roman" w:hAnsi="Times New Roman" w:cs="Times New Roman"/>
          <w:sz w:val="24"/>
          <w:szCs w:val="24"/>
          <w:lang w:val="en-US"/>
        </w:rPr>
        <w:t>3.</w:t>
      </w:r>
      <w:r w:rsidR="00766EA6" w:rsidRPr="008D3C26">
        <w:rPr>
          <w:rFonts w:ascii="Times New Roman" w:hAnsi="Times New Roman" w:cs="Times New Roman"/>
          <w:sz w:val="24"/>
          <w:szCs w:val="24"/>
          <w:lang w:val="en-US"/>
        </w:rPr>
        <w:t>3</w:t>
      </w:r>
      <w:r w:rsidRPr="008D3C26">
        <w:rPr>
          <w:rFonts w:ascii="Times New Roman" w:hAnsi="Times New Roman" w:cs="Times New Roman"/>
          <w:sz w:val="24"/>
          <w:szCs w:val="24"/>
          <w:lang w:val="en-US"/>
        </w:rPr>
        <w:t>.1.</w:t>
      </w:r>
      <w:r w:rsidRPr="008D3C26">
        <w:rPr>
          <w:rFonts w:ascii="Times New Roman" w:hAnsi="Times New Roman" w:cs="Times New Roman"/>
          <w:sz w:val="24"/>
          <w:szCs w:val="24"/>
          <w:lang w:val="en-US"/>
        </w:rPr>
        <w:tab/>
      </w:r>
      <w:r w:rsidRPr="008D3C26">
        <w:rPr>
          <w:rFonts w:ascii="Times New Roman" w:hAnsi="Times New Roman" w:cs="Times New Roman"/>
          <w:sz w:val="24"/>
          <w:szCs w:val="24"/>
        </w:rPr>
        <w:t>The Department should expedite its recruitment processes to ensure that all funded   vacant positions are filled within the required timeframes.</w:t>
      </w:r>
    </w:p>
    <w:p w14:paraId="3A6C7B15" w14:textId="77777777" w:rsidR="00282C8F" w:rsidRPr="008D3C26" w:rsidRDefault="00282C8F" w:rsidP="00282C8F">
      <w:pPr>
        <w:kinsoku w:val="0"/>
        <w:overflowPunct w:val="0"/>
        <w:spacing w:before="53" w:after="0"/>
        <w:textAlignment w:val="baseline"/>
        <w:rPr>
          <w:rFonts w:ascii="Times New Roman" w:hAnsi="Times New Roman" w:cs="Times New Roman"/>
          <w:sz w:val="24"/>
          <w:szCs w:val="24"/>
        </w:rPr>
      </w:pPr>
      <w:r w:rsidRPr="008D3C26">
        <w:rPr>
          <w:rFonts w:ascii="Times New Roman" w:hAnsi="Times New Roman" w:cs="Times New Roman"/>
          <w:sz w:val="24"/>
          <w:szCs w:val="24"/>
          <w:lang w:val="en-US"/>
        </w:rPr>
        <w:t>3.</w:t>
      </w:r>
      <w:r w:rsidR="00766EA6" w:rsidRPr="008D3C26">
        <w:rPr>
          <w:rFonts w:ascii="Times New Roman" w:hAnsi="Times New Roman" w:cs="Times New Roman"/>
          <w:sz w:val="24"/>
          <w:szCs w:val="24"/>
          <w:lang w:val="en-US"/>
        </w:rPr>
        <w:t>3</w:t>
      </w:r>
      <w:r w:rsidRPr="008D3C26">
        <w:rPr>
          <w:rFonts w:ascii="Times New Roman" w:hAnsi="Times New Roman" w:cs="Times New Roman"/>
          <w:sz w:val="24"/>
          <w:szCs w:val="24"/>
          <w:lang w:val="en-US"/>
        </w:rPr>
        <w:t>.2.</w:t>
      </w:r>
      <w:r w:rsidRPr="008D3C26">
        <w:rPr>
          <w:rFonts w:ascii="Times New Roman" w:hAnsi="Times New Roman" w:cs="Times New Roman"/>
          <w:sz w:val="24"/>
          <w:szCs w:val="24"/>
          <w:lang w:val="en-US"/>
        </w:rPr>
        <w:tab/>
      </w:r>
      <w:r w:rsidRPr="008D3C26">
        <w:rPr>
          <w:rFonts w:ascii="Times New Roman" w:hAnsi="Times New Roman" w:cs="Times New Roman"/>
          <w:sz w:val="24"/>
          <w:szCs w:val="24"/>
        </w:rPr>
        <w:t xml:space="preserve">The Department should look at what alternative capacitation is required for INDLELA </w:t>
      </w:r>
      <w:r w:rsidRPr="008D3C26">
        <w:rPr>
          <w:rFonts w:ascii="Times New Roman" w:hAnsi="Times New Roman" w:cs="Times New Roman"/>
          <w:sz w:val="24"/>
          <w:szCs w:val="24"/>
        </w:rPr>
        <w:tab/>
        <w:t>to accelerate trade test processes</w:t>
      </w:r>
    </w:p>
    <w:p w14:paraId="6EBAA686" w14:textId="77777777" w:rsidR="00282C8F" w:rsidRPr="008D3C26" w:rsidRDefault="00282C8F" w:rsidP="00282C8F">
      <w:pPr>
        <w:kinsoku w:val="0"/>
        <w:overflowPunct w:val="0"/>
        <w:spacing w:before="53" w:after="0"/>
        <w:textAlignment w:val="baseline"/>
        <w:rPr>
          <w:rFonts w:ascii="Times New Roman" w:hAnsi="Times New Roman" w:cs="Times New Roman"/>
          <w:color w:val="000000" w:themeColor="text1"/>
          <w:kern w:val="24"/>
          <w:sz w:val="24"/>
          <w:szCs w:val="24"/>
        </w:rPr>
      </w:pPr>
      <w:r w:rsidRPr="008D3C26">
        <w:rPr>
          <w:rFonts w:ascii="Times New Roman" w:hAnsi="Times New Roman" w:cs="Times New Roman"/>
          <w:sz w:val="24"/>
          <w:szCs w:val="24"/>
          <w:lang w:val="en-US"/>
        </w:rPr>
        <w:t>3.</w:t>
      </w:r>
      <w:r w:rsidR="00766EA6" w:rsidRPr="008D3C26">
        <w:rPr>
          <w:rFonts w:ascii="Times New Roman" w:hAnsi="Times New Roman" w:cs="Times New Roman"/>
          <w:sz w:val="24"/>
          <w:szCs w:val="24"/>
          <w:lang w:val="en-US"/>
        </w:rPr>
        <w:t>3</w:t>
      </w:r>
      <w:r w:rsidRPr="008D3C26">
        <w:rPr>
          <w:rFonts w:ascii="Times New Roman" w:hAnsi="Times New Roman" w:cs="Times New Roman"/>
          <w:sz w:val="24"/>
          <w:szCs w:val="24"/>
          <w:lang w:val="en-US"/>
        </w:rPr>
        <w:t>.3.</w:t>
      </w:r>
      <w:r w:rsidRPr="008D3C26">
        <w:rPr>
          <w:rFonts w:ascii="Times New Roman" w:hAnsi="Times New Roman" w:cs="Times New Roman"/>
          <w:sz w:val="24"/>
          <w:szCs w:val="24"/>
          <w:lang w:val="en-US"/>
        </w:rPr>
        <w:tab/>
      </w:r>
      <w:r w:rsidRPr="008D3C26">
        <w:rPr>
          <w:rFonts w:ascii="Times New Roman" w:hAnsi="Times New Roman" w:cs="Times New Roman"/>
          <w:color w:val="000000" w:themeColor="text1"/>
          <w:kern w:val="24"/>
          <w:sz w:val="24"/>
          <w:szCs w:val="24"/>
        </w:rPr>
        <w:t xml:space="preserve">The Department should consider reviewing upwards some of the targets, that were </w:t>
      </w:r>
      <w:r w:rsidRPr="008D3C26">
        <w:rPr>
          <w:rFonts w:ascii="Times New Roman" w:hAnsi="Times New Roman" w:cs="Times New Roman"/>
          <w:color w:val="000000" w:themeColor="text1"/>
          <w:kern w:val="24"/>
          <w:sz w:val="24"/>
          <w:szCs w:val="24"/>
        </w:rPr>
        <w:tab/>
        <w:t xml:space="preserve">too modest. These include: Universities offering accredited TVET College Lecturer </w:t>
      </w:r>
      <w:r w:rsidRPr="008D3C26">
        <w:rPr>
          <w:rFonts w:ascii="Times New Roman" w:hAnsi="Times New Roman" w:cs="Times New Roman"/>
          <w:color w:val="000000" w:themeColor="text1"/>
          <w:kern w:val="24"/>
          <w:sz w:val="24"/>
          <w:szCs w:val="24"/>
        </w:rPr>
        <w:tab/>
        <w:t xml:space="preserve">Qualifications, percentage of university academics with PhDs, proportion of SETAs </w:t>
      </w:r>
      <w:r w:rsidRPr="008D3C26">
        <w:rPr>
          <w:rFonts w:ascii="Times New Roman" w:hAnsi="Times New Roman" w:cs="Times New Roman"/>
          <w:color w:val="000000" w:themeColor="text1"/>
          <w:kern w:val="24"/>
          <w:sz w:val="24"/>
          <w:szCs w:val="24"/>
        </w:rPr>
        <w:tab/>
        <w:t>meeting standards of good governance.</w:t>
      </w:r>
    </w:p>
    <w:p w14:paraId="099350FA" w14:textId="77777777" w:rsidR="00282C8F" w:rsidRPr="008D3C26" w:rsidRDefault="00282C8F" w:rsidP="00282C8F">
      <w:pPr>
        <w:kinsoku w:val="0"/>
        <w:overflowPunct w:val="0"/>
        <w:spacing w:before="53" w:after="0"/>
        <w:textAlignment w:val="baseline"/>
        <w:rPr>
          <w:rFonts w:ascii="Times New Roman" w:hAnsi="Times New Roman" w:cs="Times New Roman"/>
          <w:sz w:val="24"/>
          <w:szCs w:val="24"/>
        </w:rPr>
      </w:pPr>
      <w:r w:rsidRPr="008D3C26">
        <w:rPr>
          <w:rFonts w:ascii="Times New Roman" w:hAnsi="Times New Roman" w:cs="Times New Roman"/>
          <w:color w:val="000000" w:themeColor="text1"/>
          <w:kern w:val="24"/>
          <w:sz w:val="24"/>
          <w:szCs w:val="24"/>
        </w:rPr>
        <w:t>3.</w:t>
      </w:r>
      <w:r w:rsidR="00766EA6" w:rsidRPr="008D3C26">
        <w:rPr>
          <w:rFonts w:ascii="Times New Roman" w:hAnsi="Times New Roman" w:cs="Times New Roman"/>
          <w:color w:val="000000" w:themeColor="text1"/>
          <w:kern w:val="24"/>
          <w:sz w:val="24"/>
          <w:szCs w:val="24"/>
        </w:rPr>
        <w:t>3</w:t>
      </w:r>
      <w:r w:rsidRPr="008D3C26">
        <w:rPr>
          <w:rFonts w:ascii="Times New Roman" w:hAnsi="Times New Roman" w:cs="Times New Roman"/>
          <w:color w:val="000000" w:themeColor="text1"/>
          <w:kern w:val="24"/>
          <w:sz w:val="24"/>
          <w:szCs w:val="24"/>
        </w:rPr>
        <w:t>.4.</w:t>
      </w:r>
      <w:r w:rsidRPr="008D3C26">
        <w:rPr>
          <w:rFonts w:ascii="Times New Roman" w:hAnsi="Times New Roman" w:cs="Times New Roman"/>
          <w:color w:val="000000" w:themeColor="text1"/>
          <w:kern w:val="24"/>
          <w:sz w:val="24"/>
          <w:szCs w:val="24"/>
        </w:rPr>
        <w:tab/>
      </w:r>
      <w:r w:rsidRPr="008D3C26">
        <w:rPr>
          <w:rFonts w:ascii="Times New Roman" w:hAnsi="Times New Roman" w:cs="Times New Roman"/>
          <w:sz w:val="24"/>
          <w:szCs w:val="24"/>
        </w:rPr>
        <w:t xml:space="preserve">The delays in the finalisation of the procurement process of the Department for the </w:t>
      </w:r>
      <w:r w:rsidRPr="008D3C26">
        <w:rPr>
          <w:rFonts w:ascii="Times New Roman" w:hAnsi="Times New Roman" w:cs="Times New Roman"/>
          <w:sz w:val="24"/>
          <w:szCs w:val="24"/>
        </w:rPr>
        <w:tab/>
        <w:t xml:space="preserve">construction of the nine remaining new TVET College campuses and the cost </w:t>
      </w:r>
      <w:r w:rsidRPr="008D3C26">
        <w:rPr>
          <w:rFonts w:ascii="Times New Roman" w:hAnsi="Times New Roman" w:cs="Times New Roman"/>
          <w:sz w:val="24"/>
          <w:szCs w:val="24"/>
        </w:rPr>
        <w:tab/>
        <w:t xml:space="preserve">implication thereof, was noted with concern. The Department should expedite these </w:t>
      </w:r>
      <w:r w:rsidRPr="008D3C26">
        <w:rPr>
          <w:rFonts w:ascii="Times New Roman" w:hAnsi="Times New Roman" w:cs="Times New Roman"/>
          <w:sz w:val="24"/>
          <w:szCs w:val="24"/>
        </w:rPr>
        <w:tab/>
        <w:t>processes to ensure that the target is met as per the Presidential pronouncement.</w:t>
      </w:r>
    </w:p>
    <w:p w14:paraId="739648AE" w14:textId="77777777" w:rsidR="00EF780A" w:rsidRPr="008D3C26" w:rsidRDefault="00EF780A" w:rsidP="00EF780A">
      <w:pPr>
        <w:kinsoku w:val="0"/>
        <w:overflowPunct w:val="0"/>
        <w:spacing w:before="53" w:after="0"/>
        <w:ind w:left="720" w:hanging="720"/>
        <w:textAlignment w:val="baseline"/>
        <w:rPr>
          <w:rFonts w:ascii="Times New Roman" w:hAnsi="Times New Roman" w:cs="Times New Roman"/>
          <w:sz w:val="24"/>
          <w:szCs w:val="24"/>
        </w:rPr>
      </w:pPr>
      <w:r w:rsidRPr="008D3C26">
        <w:rPr>
          <w:rFonts w:ascii="Times New Roman" w:hAnsi="Times New Roman" w:cs="Times New Roman"/>
          <w:sz w:val="24"/>
          <w:szCs w:val="24"/>
        </w:rPr>
        <w:t>3.</w:t>
      </w:r>
      <w:r w:rsidR="00766EA6" w:rsidRPr="008D3C26">
        <w:rPr>
          <w:rFonts w:ascii="Times New Roman" w:hAnsi="Times New Roman" w:cs="Times New Roman"/>
          <w:sz w:val="24"/>
          <w:szCs w:val="24"/>
        </w:rPr>
        <w:t>3</w:t>
      </w:r>
      <w:r w:rsidRPr="008D3C26">
        <w:rPr>
          <w:rFonts w:ascii="Times New Roman" w:hAnsi="Times New Roman" w:cs="Times New Roman"/>
          <w:sz w:val="24"/>
          <w:szCs w:val="24"/>
        </w:rPr>
        <w:t>.5.</w:t>
      </w:r>
      <w:r w:rsidRPr="008D3C26">
        <w:rPr>
          <w:rFonts w:ascii="Times New Roman" w:hAnsi="Times New Roman" w:cs="Times New Roman"/>
          <w:sz w:val="24"/>
          <w:szCs w:val="24"/>
        </w:rPr>
        <w:tab/>
        <w:t>The Department should ensure that its strategic planning includes proactive steps to monitor the financial sustainability of public universities and Colleges.</w:t>
      </w:r>
    </w:p>
    <w:p w14:paraId="676F2E73" w14:textId="77777777" w:rsidR="0017042C" w:rsidRPr="008D3C26" w:rsidRDefault="0017042C" w:rsidP="0017042C">
      <w:pPr>
        <w:kinsoku w:val="0"/>
        <w:overflowPunct w:val="0"/>
        <w:spacing w:before="53" w:after="0"/>
        <w:ind w:left="720" w:hanging="720"/>
        <w:textAlignment w:val="baseline"/>
        <w:rPr>
          <w:rFonts w:ascii="Times New Roman" w:hAnsi="Times New Roman" w:cs="Times New Roman"/>
          <w:sz w:val="24"/>
          <w:szCs w:val="24"/>
        </w:rPr>
      </w:pPr>
      <w:r w:rsidRPr="008D3C26">
        <w:rPr>
          <w:rFonts w:ascii="Times New Roman" w:hAnsi="Times New Roman" w:cs="Times New Roman"/>
          <w:sz w:val="24"/>
          <w:szCs w:val="24"/>
        </w:rPr>
        <w:t>3.</w:t>
      </w:r>
      <w:r w:rsidR="00766EA6" w:rsidRPr="008D3C26">
        <w:rPr>
          <w:rFonts w:ascii="Times New Roman" w:hAnsi="Times New Roman" w:cs="Times New Roman"/>
          <w:sz w:val="24"/>
          <w:szCs w:val="24"/>
        </w:rPr>
        <w:t>3</w:t>
      </w:r>
      <w:r w:rsidRPr="008D3C26">
        <w:rPr>
          <w:rFonts w:ascii="Times New Roman" w:hAnsi="Times New Roman" w:cs="Times New Roman"/>
          <w:sz w:val="24"/>
          <w:szCs w:val="24"/>
        </w:rPr>
        <w:t>.6.</w:t>
      </w:r>
      <w:r w:rsidRPr="008D3C26">
        <w:rPr>
          <w:rFonts w:ascii="Times New Roman" w:hAnsi="Times New Roman" w:cs="Times New Roman"/>
          <w:sz w:val="24"/>
          <w:szCs w:val="24"/>
        </w:rPr>
        <w:tab/>
        <w:t>The Committee will undertake further engagements with the Standing Committee on Appropriations and Finance to address the constant underfunding of the PSET System towards an improved adjustment process, as well as further engagements on progress in responding to the 2016 Budgetary Review Recommendations.</w:t>
      </w:r>
    </w:p>
    <w:p w14:paraId="2F55D9B4" w14:textId="77777777" w:rsidR="00EF780A" w:rsidRPr="008D3C26" w:rsidRDefault="00EF780A" w:rsidP="00EF780A">
      <w:pPr>
        <w:ind w:left="630" w:hanging="630"/>
        <w:rPr>
          <w:rFonts w:ascii="Times New Roman" w:hAnsi="Times New Roman" w:cs="Times New Roman"/>
          <w:sz w:val="24"/>
          <w:szCs w:val="24"/>
        </w:rPr>
      </w:pPr>
      <w:r w:rsidRPr="008D3C26">
        <w:rPr>
          <w:rFonts w:ascii="Times New Roman" w:hAnsi="Times New Roman" w:cs="Times New Roman"/>
          <w:sz w:val="24"/>
          <w:szCs w:val="24"/>
        </w:rPr>
        <w:t>3.</w:t>
      </w:r>
      <w:r w:rsidR="00766EA6" w:rsidRPr="008D3C26">
        <w:rPr>
          <w:rFonts w:ascii="Times New Roman" w:hAnsi="Times New Roman" w:cs="Times New Roman"/>
          <w:sz w:val="24"/>
          <w:szCs w:val="24"/>
        </w:rPr>
        <w:t>3</w:t>
      </w:r>
      <w:r w:rsidRPr="008D3C26">
        <w:rPr>
          <w:rFonts w:ascii="Times New Roman" w:hAnsi="Times New Roman" w:cs="Times New Roman"/>
          <w:sz w:val="24"/>
          <w:szCs w:val="24"/>
        </w:rPr>
        <w:t>.</w:t>
      </w:r>
      <w:r w:rsidR="00BB21CC" w:rsidRPr="008D3C26">
        <w:rPr>
          <w:rFonts w:ascii="Times New Roman" w:hAnsi="Times New Roman" w:cs="Times New Roman"/>
          <w:sz w:val="24"/>
          <w:szCs w:val="24"/>
        </w:rPr>
        <w:t>7</w:t>
      </w:r>
      <w:r w:rsidRPr="008D3C26">
        <w:rPr>
          <w:rFonts w:ascii="Times New Roman" w:hAnsi="Times New Roman" w:cs="Times New Roman"/>
          <w:sz w:val="24"/>
          <w:szCs w:val="24"/>
        </w:rPr>
        <w:t>.</w:t>
      </w:r>
      <w:r w:rsidRPr="008D3C26">
        <w:rPr>
          <w:rFonts w:ascii="Times New Roman" w:hAnsi="Times New Roman" w:cs="Times New Roman"/>
          <w:sz w:val="24"/>
          <w:szCs w:val="24"/>
        </w:rPr>
        <w:tab/>
        <w:t>The Committee noted the challenges arising from the underfunding of the PSET system, in particular, funding shortfalls for the TVET Colleges programme funding and for NSFAS TVET College bursaries as well as the Community Education and Training sector, as contained in the findings above; and further noting the implications of the underfunding on the PSET system as a whole in meeting the Government’s MTSF commitments</w:t>
      </w:r>
      <w:r w:rsidR="00B82E12" w:rsidRPr="008D3C26">
        <w:rPr>
          <w:rFonts w:ascii="Times New Roman" w:hAnsi="Times New Roman" w:cs="Times New Roman"/>
          <w:sz w:val="24"/>
          <w:szCs w:val="24"/>
        </w:rPr>
        <w:t>,</w:t>
      </w:r>
      <w:r w:rsidRPr="008D3C26">
        <w:rPr>
          <w:rFonts w:ascii="Times New Roman" w:hAnsi="Times New Roman" w:cs="Times New Roman"/>
          <w:sz w:val="24"/>
          <w:szCs w:val="24"/>
        </w:rPr>
        <w:t xml:space="preserve"> consequently recommend</w:t>
      </w:r>
      <w:r w:rsidR="00B82E12" w:rsidRPr="008D3C26">
        <w:rPr>
          <w:rFonts w:ascii="Times New Roman" w:hAnsi="Times New Roman" w:cs="Times New Roman"/>
          <w:sz w:val="24"/>
          <w:szCs w:val="24"/>
        </w:rPr>
        <w:t>s</w:t>
      </w:r>
      <w:r w:rsidRPr="008D3C26">
        <w:rPr>
          <w:rFonts w:ascii="Times New Roman" w:hAnsi="Times New Roman" w:cs="Times New Roman"/>
          <w:sz w:val="24"/>
          <w:szCs w:val="24"/>
        </w:rPr>
        <w:t xml:space="preserve"> to the Minister of Finance and Higher Education and Training that consideration is given both in relation to funding and steps to be taken to ensure that commitments in the NDP/</w:t>
      </w:r>
      <w:r w:rsidR="00802775" w:rsidRPr="008D3C26">
        <w:rPr>
          <w:rFonts w:ascii="Times New Roman" w:hAnsi="Times New Roman" w:cs="Times New Roman"/>
          <w:sz w:val="24"/>
          <w:szCs w:val="24"/>
        </w:rPr>
        <w:t xml:space="preserve">MTSF </w:t>
      </w:r>
      <w:r w:rsidRPr="008D3C26">
        <w:rPr>
          <w:rFonts w:ascii="Times New Roman" w:hAnsi="Times New Roman" w:cs="Times New Roman"/>
          <w:sz w:val="24"/>
          <w:szCs w:val="24"/>
        </w:rPr>
        <w:t xml:space="preserve">will be achieved by 2019/20. </w:t>
      </w:r>
    </w:p>
    <w:p w14:paraId="0B8DA5C3" w14:textId="77777777" w:rsidR="00F0404F" w:rsidRPr="008D3C26" w:rsidRDefault="00F0404F" w:rsidP="009724AD">
      <w:pPr>
        <w:rPr>
          <w:rFonts w:ascii="Times New Roman" w:hAnsi="Times New Roman" w:cs="Times New Roman"/>
          <w:b/>
          <w:sz w:val="24"/>
          <w:szCs w:val="24"/>
        </w:rPr>
      </w:pPr>
      <w:r w:rsidRPr="008D3C26">
        <w:rPr>
          <w:rFonts w:ascii="Times New Roman" w:hAnsi="Times New Roman" w:cs="Times New Roman"/>
          <w:b/>
          <w:sz w:val="24"/>
          <w:szCs w:val="24"/>
        </w:rPr>
        <w:lastRenderedPageBreak/>
        <w:t xml:space="preserve">4. </w:t>
      </w:r>
      <w:r w:rsidR="00A616C3" w:rsidRPr="008D3C26">
        <w:rPr>
          <w:rFonts w:ascii="Times New Roman" w:hAnsi="Times New Roman" w:cs="Times New Roman"/>
          <w:b/>
          <w:sz w:val="24"/>
          <w:szCs w:val="24"/>
        </w:rPr>
        <w:t>OVERVIEW AND ASSESSMENT OF THE DEPARTMENT’S 2016/17 FINANCIAL YEAR FINANCIAL PERFORMANCE</w:t>
      </w:r>
    </w:p>
    <w:p w14:paraId="541CD55F" w14:textId="77777777" w:rsidR="00F0404F" w:rsidRPr="008D3C26" w:rsidRDefault="00F0404F" w:rsidP="009724AD">
      <w:pPr>
        <w:rPr>
          <w:rFonts w:ascii="Times New Roman" w:hAnsi="Times New Roman" w:cs="Times New Roman"/>
          <w:b/>
          <w:sz w:val="24"/>
          <w:szCs w:val="24"/>
        </w:rPr>
      </w:pPr>
      <w:r w:rsidRPr="008D3C26">
        <w:rPr>
          <w:rFonts w:ascii="Times New Roman" w:hAnsi="Times New Roman" w:cs="Times New Roman"/>
          <w:b/>
          <w:sz w:val="24"/>
          <w:szCs w:val="24"/>
        </w:rPr>
        <w:t xml:space="preserve">4.1. </w:t>
      </w:r>
      <w:r w:rsidR="00A616C3" w:rsidRPr="008D3C26">
        <w:rPr>
          <w:rFonts w:ascii="Times New Roman" w:hAnsi="Times New Roman" w:cs="Times New Roman"/>
          <w:b/>
          <w:sz w:val="24"/>
          <w:szCs w:val="24"/>
        </w:rPr>
        <w:t>Overview and assessment of the overall budget and expenditure</w:t>
      </w:r>
    </w:p>
    <w:p w14:paraId="71328BCE" w14:textId="77777777" w:rsidR="00091B4D" w:rsidRPr="008D3C26" w:rsidRDefault="00091B4D" w:rsidP="009724AD">
      <w:pPr>
        <w:rPr>
          <w:rFonts w:ascii="Times New Roman" w:hAnsi="Times New Roman" w:cs="Times New Roman"/>
          <w:b/>
          <w:sz w:val="24"/>
          <w:szCs w:val="24"/>
        </w:rPr>
      </w:pPr>
      <w:r w:rsidRPr="008D3C26">
        <w:rPr>
          <w:rFonts w:ascii="Times New Roman" w:hAnsi="Times New Roman" w:cs="Times New Roman"/>
          <w:b/>
          <w:sz w:val="24"/>
          <w:szCs w:val="24"/>
        </w:rPr>
        <w:t xml:space="preserve">Table </w:t>
      </w:r>
      <w:r w:rsidR="00A72BB0" w:rsidRPr="008D3C26">
        <w:rPr>
          <w:rFonts w:ascii="Times New Roman" w:hAnsi="Times New Roman" w:cs="Times New Roman"/>
          <w:b/>
          <w:sz w:val="24"/>
          <w:szCs w:val="24"/>
        </w:rPr>
        <w:t>1</w:t>
      </w:r>
      <w:r w:rsidRPr="008D3C26">
        <w:rPr>
          <w:rFonts w:ascii="Times New Roman" w:hAnsi="Times New Roman" w:cs="Times New Roman"/>
          <w:b/>
          <w:sz w:val="24"/>
          <w:szCs w:val="24"/>
        </w:rPr>
        <w:t xml:space="preserve">: 2016/17 budget </w:t>
      </w:r>
      <w:r w:rsidR="007F0CC4" w:rsidRPr="008D3C26">
        <w:rPr>
          <w:rFonts w:ascii="Times New Roman" w:hAnsi="Times New Roman" w:cs="Times New Roman"/>
          <w:b/>
          <w:sz w:val="24"/>
          <w:szCs w:val="24"/>
        </w:rPr>
        <w:t>allocation and</w:t>
      </w:r>
      <w:r w:rsidRPr="008D3C26">
        <w:rPr>
          <w:rFonts w:ascii="Times New Roman" w:hAnsi="Times New Roman" w:cs="Times New Roman"/>
          <w:b/>
          <w:sz w:val="24"/>
          <w:szCs w:val="24"/>
        </w:rPr>
        <w:t xml:space="preserve"> expenditure</w:t>
      </w:r>
    </w:p>
    <w:tbl>
      <w:tblPr>
        <w:tblStyle w:val="TableGrid"/>
        <w:tblW w:w="9634" w:type="dxa"/>
        <w:tblLook w:val="04A0" w:firstRow="1" w:lastRow="0" w:firstColumn="1" w:lastColumn="0" w:noHBand="0" w:noVBand="1"/>
      </w:tblPr>
      <w:tblGrid>
        <w:gridCol w:w="1794"/>
        <w:gridCol w:w="1710"/>
        <w:gridCol w:w="1710"/>
        <w:gridCol w:w="1710"/>
        <w:gridCol w:w="1497"/>
        <w:gridCol w:w="1213"/>
      </w:tblGrid>
      <w:tr w:rsidR="007F0CC4" w:rsidRPr="008D3C26" w14:paraId="0DEB92FE" w14:textId="77777777" w:rsidTr="0087099E">
        <w:tc>
          <w:tcPr>
            <w:tcW w:w="2128" w:type="dxa"/>
            <w:vMerge w:val="restart"/>
            <w:shd w:val="clear" w:color="auto" w:fill="F2F2F2" w:themeFill="background1" w:themeFillShade="F2"/>
            <w:vAlign w:val="bottom"/>
          </w:tcPr>
          <w:p w14:paraId="3B2A4610" w14:textId="77777777" w:rsidR="007F0CC4" w:rsidRPr="008D3C26" w:rsidRDefault="007F0CC4"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DHET</w:t>
            </w:r>
          </w:p>
          <w:p w14:paraId="5FCEA0C3" w14:textId="77777777" w:rsidR="007F0CC4" w:rsidRPr="008D3C26" w:rsidRDefault="007F0CC4"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Programme</w:t>
            </w:r>
          </w:p>
          <w:p w14:paraId="14FA4796" w14:textId="77777777" w:rsidR="007F0CC4" w:rsidRPr="008D3C26" w:rsidRDefault="007F0CC4" w:rsidP="00306178">
            <w:pPr>
              <w:rPr>
                <w:rFonts w:ascii="Times New Roman" w:eastAsia="Times New Roman" w:hAnsi="Times New Roman" w:cs="Times New Roman"/>
                <w:b/>
                <w:bCs/>
                <w:color w:val="000000"/>
                <w:sz w:val="24"/>
                <w:szCs w:val="24"/>
                <w:lang w:eastAsia="en-ZA"/>
              </w:rPr>
            </w:pPr>
          </w:p>
          <w:p w14:paraId="60990ACD" w14:textId="77777777" w:rsidR="007F0CC4" w:rsidRPr="008D3C26" w:rsidRDefault="007F0CC4" w:rsidP="00306178">
            <w:pPr>
              <w:rPr>
                <w:rFonts w:ascii="Times New Roman" w:eastAsia="Times New Roman" w:hAnsi="Times New Roman" w:cs="Times New Roman"/>
                <w:b/>
                <w:bCs/>
                <w:color w:val="000000"/>
                <w:sz w:val="24"/>
                <w:szCs w:val="24"/>
                <w:lang w:eastAsia="en-ZA"/>
              </w:rPr>
            </w:pPr>
          </w:p>
          <w:p w14:paraId="6A4034FC" w14:textId="77777777" w:rsidR="007F0CC4" w:rsidRPr="008D3C26" w:rsidRDefault="007F0CC4" w:rsidP="00306178">
            <w:pPr>
              <w:rPr>
                <w:rFonts w:ascii="Times New Roman" w:eastAsia="Times New Roman" w:hAnsi="Times New Roman" w:cs="Times New Roman"/>
                <w:b/>
                <w:bCs/>
                <w:color w:val="000000"/>
                <w:sz w:val="24"/>
                <w:szCs w:val="24"/>
                <w:lang w:eastAsia="en-ZA"/>
              </w:rPr>
            </w:pPr>
          </w:p>
        </w:tc>
        <w:tc>
          <w:tcPr>
            <w:tcW w:w="7506" w:type="dxa"/>
            <w:gridSpan w:val="5"/>
            <w:shd w:val="clear" w:color="auto" w:fill="F2F2F2" w:themeFill="background1" w:themeFillShade="F2"/>
          </w:tcPr>
          <w:p w14:paraId="3C3D9192"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p w14:paraId="210668B4" w14:textId="77777777" w:rsidR="007F0CC4" w:rsidRPr="008D3C26" w:rsidRDefault="007F0CC4"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2016/17 FINANCIAL YEAR</w:t>
            </w:r>
          </w:p>
        </w:tc>
      </w:tr>
      <w:tr w:rsidR="007F0CC4" w:rsidRPr="008D3C26" w14:paraId="71381A77" w14:textId="77777777" w:rsidTr="0087099E">
        <w:tc>
          <w:tcPr>
            <w:tcW w:w="2128" w:type="dxa"/>
            <w:vMerge/>
            <w:shd w:val="clear" w:color="auto" w:fill="F2F2F2" w:themeFill="background1" w:themeFillShade="F2"/>
            <w:vAlign w:val="bottom"/>
          </w:tcPr>
          <w:p w14:paraId="2172C655" w14:textId="77777777" w:rsidR="007F0CC4" w:rsidRPr="008D3C26" w:rsidRDefault="007F0CC4" w:rsidP="00306178">
            <w:pPr>
              <w:rPr>
                <w:rFonts w:ascii="Times New Roman" w:eastAsia="Times New Roman" w:hAnsi="Times New Roman" w:cs="Times New Roman"/>
                <w:b/>
                <w:bCs/>
                <w:color w:val="000000"/>
                <w:sz w:val="24"/>
                <w:szCs w:val="24"/>
                <w:lang w:eastAsia="en-ZA"/>
              </w:rPr>
            </w:pPr>
          </w:p>
        </w:tc>
        <w:tc>
          <w:tcPr>
            <w:tcW w:w="1539" w:type="dxa"/>
            <w:shd w:val="clear" w:color="auto" w:fill="F2F2F2" w:themeFill="background1" w:themeFillShade="F2"/>
          </w:tcPr>
          <w:p w14:paraId="4B2F7D3A" w14:textId="77777777" w:rsidR="007F0CC4" w:rsidRPr="008D3C26" w:rsidRDefault="007F0CC4" w:rsidP="00306178">
            <w:pPr>
              <w:rPr>
                <w:rFonts w:ascii="Times New Roman" w:hAnsi="Times New Roman" w:cs="Times New Roman"/>
                <w:b/>
                <w:sz w:val="24"/>
                <w:szCs w:val="24"/>
              </w:rPr>
            </w:pPr>
            <w:r w:rsidRPr="008D3C26">
              <w:rPr>
                <w:rFonts w:ascii="Times New Roman" w:eastAsia="Times New Roman" w:hAnsi="Times New Roman" w:cs="Times New Roman"/>
                <w:b/>
                <w:color w:val="000000"/>
                <w:sz w:val="24"/>
                <w:szCs w:val="24"/>
                <w:lang w:eastAsia="en-ZA"/>
              </w:rPr>
              <w:t>Main Appropriation</w:t>
            </w:r>
          </w:p>
        </w:tc>
        <w:tc>
          <w:tcPr>
            <w:tcW w:w="1555" w:type="dxa"/>
            <w:shd w:val="clear" w:color="auto" w:fill="F2F2F2" w:themeFill="background1" w:themeFillShade="F2"/>
            <w:vAlign w:val="bottom"/>
          </w:tcPr>
          <w:p w14:paraId="77E3E572" w14:textId="77777777" w:rsidR="007F0CC4" w:rsidRPr="008D3C26" w:rsidRDefault="007F0CC4" w:rsidP="00306178">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Adjusted Appropriation</w:t>
            </w:r>
          </w:p>
        </w:tc>
        <w:tc>
          <w:tcPr>
            <w:tcW w:w="1539" w:type="dxa"/>
            <w:shd w:val="clear" w:color="auto" w:fill="F2F2F2" w:themeFill="background1" w:themeFillShade="F2"/>
            <w:vAlign w:val="bottom"/>
          </w:tcPr>
          <w:p w14:paraId="7CE63C46" w14:textId="77777777" w:rsidR="007F0CC4" w:rsidRPr="008D3C26" w:rsidRDefault="007F0CC4" w:rsidP="00306178">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Final Appropriation</w:t>
            </w:r>
          </w:p>
        </w:tc>
        <w:tc>
          <w:tcPr>
            <w:tcW w:w="1409" w:type="dxa"/>
            <w:shd w:val="clear" w:color="auto" w:fill="F2F2F2" w:themeFill="background1" w:themeFillShade="F2"/>
            <w:vAlign w:val="bottom"/>
          </w:tcPr>
          <w:p w14:paraId="27A33EFE" w14:textId="77777777" w:rsidR="007F0CC4" w:rsidRPr="008D3C26" w:rsidRDefault="007F0CC4" w:rsidP="00306178">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Actual Expenditure</w:t>
            </w:r>
          </w:p>
        </w:tc>
        <w:tc>
          <w:tcPr>
            <w:tcW w:w="1464" w:type="dxa"/>
            <w:shd w:val="clear" w:color="auto" w:fill="F2F2F2" w:themeFill="background1" w:themeFillShade="F2"/>
            <w:vAlign w:val="bottom"/>
          </w:tcPr>
          <w:p w14:paraId="3CB46FF7" w14:textId="77777777" w:rsidR="007F0CC4" w:rsidRPr="008D3C26" w:rsidRDefault="007F0CC4" w:rsidP="00306178">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 xml:space="preserve">Variance </w:t>
            </w:r>
          </w:p>
        </w:tc>
      </w:tr>
      <w:tr w:rsidR="007F0CC4" w:rsidRPr="008D3C26" w14:paraId="6EDF4179" w14:textId="77777777" w:rsidTr="0087099E">
        <w:tc>
          <w:tcPr>
            <w:tcW w:w="2128" w:type="dxa"/>
            <w:vMerge/>
            <w:vAlign w:val="bottom"/>
          </w:tcPr>
          <w:p w14:paraId="105C28DE" w14:textId="77777777" w:rsidR="007F0CC4" w:rsidRPr="008D3C26" w:rsidRDefault="007F0CC4" w:rsidP="00306178">
            <w:pPr>
              <w:rPr>
                <w:rFonts w:ascii="Times New Roman" w:eastAsia="Times New Roman" w:hAnsi="Times New Roman" w:cs="Times New Roman"/>
                <w:b/>
                <w:bCs/>
                <w:color w:val="000000"/>
                <w:sz w:val="24"/>
                <w:szCs w:val="24"/>
                <w:lang w:eastAsia="en-ZA"/>
              </w:rPr>
            </w:pPr>
          </w:p>
        </w:tc>
        <w:tc>
          <w:tcPr>
            <w:tcW w:w="1539" w:type="dxa"/>
          </w:tcPr>
          <w:p w14:paraId="3A9873D6" w14:textId="77777777" w:rsidR="007F0CC4" w:rsidRPr="008D3C26" w:rsidRDefault="007F0CC4" w:rsidP="00306178">
            <w:pPr>
              <w:rPr>
                <w:rFonts w:ascii="Times New Roman" w:hAnsi="Times New Roman" w:cs="Times New Roman"/>
                <w:sz w:val="24"/>
                <w:szCs w:val="24"/>
              </w:rPr>
            </w:pPr>
            <w:r w:rsidRPr="008D3C26">
              <w:rPr>
                <w:rFonts w:ascii="Times New Roman" w:hAnsi="Times New Roman" w:cs="Times New Roman"/>
                <w:sz w:val="24"/>
                <w:szCs w:val="24"/>
              </w:rPr>
              <w:t>R’000</w:t>
            </w:r>
          </w:p>
        </w:tc>
        <w:tc>
          <w:tcPr>
            <w:tcW w:w="1555" w:type="dxa"/>
            <w:vAlign w:val="bottom"/>
          </w:tcPr>
          <w:p w14:paraId="05A0B283"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539" w:type="dxa"/>
            <w:vAlign w:val="bottom"/>
          </w:tcPr>
          <w:p w14:paraId="00ECEFEF"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409" w:type="dxa"/>
            <w:vAlign w:val="bottom"/>
          </w:tcPr>
          <w:p w14:paraId="1CBD5AF9"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464" w:type="dxa"/>
            <w:vAlign w:val="bottom"/>
          </w:tcPr>
          <w:p w14:paraId="2757D04F"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r>
      <w:tr w:rsidR="007F0CC4" w:rsidRPr="008D3C26" w14:paraId="0F212493" w14:textId="77777777" w:rsidTr="0087099E">
        <w:tc>
          <w:tcPr>
            <w:tcW w:w="2128" w:type="dxa"/>
            <w:vAlign w:val="bottom"/>
          </w:tcPr>
          <w:p w14:paraId="05DFAE31" w14:textId="77777777" w:rsidR="007F0CC4" w:rsidRPr="008D3C26" w:rsidRDefault="007F0CC4"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Programme sub-total</w:t>
            </w:r>
          </w:p>
          <w:p w14:paraId="712A46F8" w14:textId="77777777" w:rsidR="007F0CC4" w:rsidRPr="008D3C26" w:rsidRDefault="007F0CC4" w:rsidP="00306178">
            <w:pPr>
              <w:rPr>
                <w:rFonts w:ascii="Times New Roman" w:eastAsia="Times New Roman" w:hAnsi="Times New Roman" w:cs="Times New Roman"/>
                <w:b/>
                <w:bCs/>
                <w:color w:val="000000"/>
                <w:sz w:val="24"/>
                <w:szCs w:val="24"/>
                <w:lang w:eastAsia="en-ZA"/>
              </w:rPr>
            </w:pPr>
          </w:p>
        </w:tc>
        <w:tc>
          <w:tcPr>
            <w:tcW w:w="1539" w:type="dxa"/>
          </w:tcPr>
          <w:p w14:paraId="7DF188A2" w14:textId="77777777" w:rsidR="007F0CC4" w:rsidRPr="008D3C26" w:rsidRDefault="007F0CC4" w:rsidP="00306178">
            <w:pPr>
              <w:rPr>
                <w:rFonts w:ascii="Times New Roman" w:hAnsi="Times New Roman" w:cs="Times New Roman"/>
                <w:sz w:val="24"/>
                <w:szCs w:val="24"/>
              </w:rPr>
            </w:pPr>
          </w:p>
          <w:p w14:paraId="3613A876" w14:textId="77777777" w:rsidR="007F0CC4" w:rsidRPr="008D3C26" w:rsidRDefault="007F0CC4" w:rsidP="00306178">
            <w:pPr>
              <w:rPr>
                <w:rFonts w:ascii="Times New Roman" w:hAnsi="Times New Roman" w:cs="Times New Roman"/>
                <w:sz w:val="24"/>
                <w:szCs w:val="24"/>
              </w:rPr>
            </w:pPr>
            <w:r w:rsidRPr="008D3C26">
              <w:rPr>
                <w:rFonts w:ascii="Times New Roman" w:hAnsi="Times New Roman" w:cs="Times New Roman"/>
                <w:sz w:val="24"/>
                <w:szCs w:val="24"/>
              </w:rPr>
              <w:t>49 188 279</w:t>
            </w:r>
          </w:p>
        </w:tc>
        <w:tc>
          <w:tcPr>
            <w:tcW w:w="1555" w:type="dxa"/>
            <w:vAlign w:val="bottom"/>
          </w:tcPr>
          <w:p w14:paraId="2B328937"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49 188 279</w:t>
            </w:r>
          </w:p>
        </w:tc>
        <w:tc>
          <w:tcPr>
            <w:tcW w:w="1539" w:type="dxa"/>
            <w:vAlign w:val="bottom"/>
          </w:tcPr>
          <w:p w14:paraId="4CC6CE5C"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49 188 279</w:t>
            </w:r>
          </w:p>
        </w:tc>
        <w:tc>
          <w:tcPr>
            <w:tcW w:w="1409" w:type="dxa"/>
            <w:vAlign w:val="bottom"/>
          </w:tcPr>
          <w:p w14:paraId="01E76EED"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49 137 562</w:t>
            </w:r>
          </w:p>
        </w:tc>
        <w:tc>
          <w:tcPr>
            <w:tcW w:w="1464" w:type="dxa"/>
            <w:vAlign w:val="bottom"/>
          </w:tcPr>
          <w:p w14:paraId="269722DC"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50 717</w:t>
            </w:r>
          </w:p>
        </w:tc>
      </w:tr>
      <w:tr w:rsidR="007F0CC4" w:rsidRPr="008D3C26" w14:paraId="7A0BB81B" w14:textId="77777777" w:rsidTr="0087099E">
        <w:tc>
          <w:tcPr>
            <w:tcW w:w="2128" w:type="dxa"/>
            <w:vAlign w:val="bottom"/>
          </w:tcPr>
          <w:p w14:paraId="0584CCEF" w14:textId="77777777" w:rsidR="007F0CC4" w:rsidRPr="008D3C26" w:rsidRDefault="007F0CC4"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Statutory Appropriation</w:t>
            </w:r>
          </w:p>
          <w:p w14:paraId="52B6A2C6" w14:textId="77777777" w:rsidR="007F0CC4" w:rsidRPr="008D3C26" w:rsidRDefault="007F0CC4" w:rsidP="00306178">
            <w:pP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National Skills Fund</w:t>
            </w:r>
          </w:p>
          <w:p w14:paraId="438F5760" w14:textId="77777777" w:rsidR="007F0CC4" w:rsidRPr="008D3C26" w:rsidRDefault="007F0CC4"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color w:val="000000"/>
                <w:sz w:val="24"/>
                <w:szCs w:val="24"/>
                <w:lang w:eastAsia="en-ZA"/>
              </w:rPr>
              <w:t>Sector Education and Training Authorities</w:t>
            </w:r>
          </w:p>
        </w:tc>
        <w:tc>
          <w:tcPr>
            <w:tcW w:w="1539" w:type="dxa"/>
          </w:tcPr>
          <w:p w14:paraId="6D17E8B8" w14:textId="77777777" w:rsidR="007F0CC4" w:rsidRPr="008D3C26" w:rsidRDefault="007F0CC4" w:rsidP="00306178">
            <w:pPr>
              <w:rPr>
                <w:rFonts w:ascii="Times New Roman" w:hAnsi="Times New Roman" w:cs="Times New Roman"/>
                <w:sz w:val="24"/>
                <w:szCs w:val="24"/>
              </w:rPr>
            </w:pPr>
          </w:p>
          <w:p w14:paraId="4947DBCC" w14:textId="77777777" w:rsidR="00F04D66" w:rsidRPr="008D3C26" w:rsidRDefault="00F04D66" w:rsidP="00306178">
            <w:pPr>
              <w:rPr>
                <w:rFonts w:ascii="Times New Roman" w:hAnsi="Times New Roman" w:cs="Times New Roman"/>
                <w:sz w:val="24"/>
                <w:szCs w:val="24"/>
              </w:rPr>
            </w:pPr>
          </w:p>
          <w:p w14:paraId="64C7EBD0" w14:textId="77777777" w:rsidR="007F0CC4" w:rsidRPr="008D3C26" w:rsidRDefault="007F0CC4" w:rsidP="00306178">
            <w:pPr>
              <w:rPr>
                <w:rFonts w:ascii="Times New Roman" w:hAnsi="Times New Roman" w:cs="Times New Roman"/>
                <w:sz w:val="24"/>
                <w:szCs w:val="24"/>
              </w:rPr>
            </w:pPr>
            <w:r w:rsidRPr="008D3C26">
              <w:rPr>
                <w:rFonts w:ascii="Times New Roman" w:hAnsi="Times New Roman" w:cs="Times New Roman"/>
                <w:sz w:val="24"/>
                <w:szCs w:val="24"/>
              </w:rPr>
              <w:t>17 639 595</w:t>
            </w:r>
          </w:p>
          <w:p w14:paraId="64AE6812" w14:textId="77777777" w:rsidR="007F0CC4" w:rsidRPr="008D3C26" w:rsidRDefault="007F0CC4" w:rsidP="00306178">
            <w:pPr>
              <w:rPr>
                <w:rFonts w:ascii="Times New Roman" w:hAnsi="Times New Roman" w:cs="Times New Roman"/>
                <w:sz w:val="24"/>
                <w:szCs w:val="24"/>
              </w:rPr>
            </w:pPr>
          </w:p>
        </w:tc>
        <w:tc>
          <w:tcPr>
            <w:tcW w:w="1555" w:type="dxa"/>
            <w:vAlign w:val="bottom"/>
          </w:tcPr>
          <w:p w14:paraId="11DB6EC2"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15 233</w:t>
            </w:r>
            <w:r w:rsidR="00F04D66" w:rsidRPr="008D3C26">
              <w:rPr>
                <w:rFonts w:ascii="Times New Roman" w:eastAsia="Times New Roman" w:hAnsi="Times New Roman" w:cs="Times New Roman"/>
                <w:color w:val="000000"/>
                <w:sz w:val="24"/>
                <w:szCs w:val="24"/>
                <w:lang w:eastAsia="en-ZA"/>
              </w:rPr>
              <w:t> </w:t>
            </w:r>
            <w:r w:rsidRPr="008D3C26">
              <w:rPr>
                <w:rFonts w:ascii="Times New Roman" w:eastAsia="Times New Roman" w:hAnsi="Times New Roman" w:cs="Times New Roman"/>
                <w:color w:val="000000"/>
                <w:sz w:val="24"/>
                <w:szCs w:val="24"/>
                <w:lang w:eastAsia="en-ZA"/>
              </w:rPr>
              <w:t>009</w:t>
            </w:r>
          </w:p>
          <w:p w14:paraId="2A34B164" w14:textId="77777777" w:rsidR="00F04D66" w:rsidRPr="008D3C26" w:rsidRDefault="00F04D66"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(2.177 billion)</w:t>
            </w:r>
          </w:p>
          <w:p w14:paraId="4286038C"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p w14:paraId="2A42F0DF"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tc>
        <w:tc>
          <w:tcPr>
            <w:tcW w:w="1539" w:type="dxa"/>
            <w:vAlign w:val="bottom"/>
          </w:tcPr>
          <w:p w14:paraId="651F5AC6"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15 233 009</w:t>
            </w:r>
          </w:p>
          <w:p w14:paraId="7EEA4DDE"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p w14:paraId="7DBA4C15"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tc>
        <w:tc>
          <w:tcPr>
            <w:tcW w:w="1409" w:type="dxa"/>
            <w:vAlign w:val="bottom"/>
          </w:tcPr>
          <w:p w14:paraId="6F05CD5E"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15 233 009</w:t>
            </w:r>
          </w:p>
          <w:p w14:paraId="4CA48636"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p w14:paraId="5EBD9138"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tc>
        <w:tc>
          <w:tcPr>
            <w:tcW w:w="1464" w:type="dxa"/>
            <w:vAlign w:val="bottom"/>
          </w:tcPr>
          <w:p w14:paraId="2978F5C0"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w:t>
            </w:r>
          </w:p>
          <w:p w14:paraId="20788983"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p w14:paraId="4B403A5C" w14:textId="77777777" w:rsidR="007F0CC4" w:rsidRPr="008D3C26" w:rsidRDefault="007F0CC4" w:rsidP="00306178">
            <w:pPr>
              <w:jc w:val="center"/>
              <w:rPr>
                <w:rFonts w:ascii="Times New Roman" w:eastAsia="Times New Roman" w:hAnsi="Times New Roman" w:cs="Times New Roman"/>
                <w:color w:val="000000"/>
                <w:sz w:val="24"/>
                <w:szCs w:val="24"/>
                <w:lang w:eastAsia="en-ZA"/>
              </w:rPr>
            </w:pPr>
          </w:p>
        </w:tc>
      </w:tr>
      <w:tr w:rsidR="007F0CC4" w:rsidRPr="008D3C26" w14:paraId="7AA963FA" w14:textId="77777777" w:rsidTr="00D575FB">
        <w:tc>
          <w:tcPr>
            <w:tcW w:w="2128" w:type="dxa"/>
            <w:tcBorders>
              <w:bottom w:val="single" w:sz="4" w:space="0" w:color="auto"/>
            </w:tcBorders>
            <w:vAlign w:val="bottom"/>
          </w:tcPr>
          <w:p w14:paraId="2EA2D819" w14:textId="77777777" w:rsidR="007F0CC4" w:rsidRPr="008D3C26" w:rsidRDefault="007F0CC4"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Total</w:t>
            </w:r>
          </w:p>
        </w:tc>
        <w:tc>
          <w:tcPr>
            <w:tcW w:w="1539" w:type="dxa"/>
            <w:tcBorders>
              <w:bottom w:val="single" w:sz="4" w:space="0" w:color="auto"/>
            </w:tcBorders>
          </w:tcPr>
          <w:p w14:paraId="38490D53" w14:textId="77777777" w:rsidR="007F0CC4" w:rsidRPr="008D3C26" w:rsidRDefault="007F0CC4" w:rsidP="00306178">
            <w:pPr>
              <w:rPr>
                <w:rFonts w:ascii="Times New Roman" w:hAnsi="Times New Roman" w:cs="Times New Roman"/>
                <w:b/>
                <w:sz w:val="24"/>
                <w:szCs w:val="24"/>
              </w:rPr>
            </w:pPr>
            <w:r w:rsidRPr="008D3C26">
              <w:rPr>
                <w:rFonts w:ascii="Times New Roman" w:hAnsi="Times New Roman" w:cs="Times New Roman"/>
                <w:b/>
                <w:sz w:val="24"/>
                <w:szCs w:val="24"/>
              </w:rPr>
              <w:t>66 827 874</w:t>
            </w:r>
          </w:p>
        </w:tc>
        <w:tc>
          <w:tcPr>
            <w:tcW w:w="1555" w:type="dxa"/>
            <w:tcBorders>
              <w:bottom w:val="single" w:sz="4" w:space="0" w:color="auto"/>
            </w:tcBorders>
            <w:vAlign w:val="bottom"/>
          </w:tcPr>
          <w:p w14:paraId="6591059D" w14:textId="77777777" w:rsidR="007F0CC4" w:rsidRPr="008D3C26" w:rsidRDefault="007F0CC4"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64 421 288</w:t>
            </w:r>
          </w:p>
        </w:tc>
        <w:tc>
          <w:tcPr>
            <w:tcW w:w="1539" w:type="dxa"/>
            <w:vAlign w:val="bottom"/>
          </w:tcPr>
          <w:p w14:paraId="0791376C" w14:textId="77777777" w:rsidR="007F0CC4" w:rsidRPr="008D3C26" w:rsidRDefault="007F0CC4"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64 421 288</w:t>
            </w:r>
          </w:p>
        </w:tc>
        <w:tc>
          <w:tcPr>
            <w:tcW w:w="1409" w:type="dxa"/>
            <w:vAlign w:val="bottom"/>
          </w:tcPr>
          <w:p w14:paraId="6907E679" w14:textId="77777777" w:rsidR="007F0CC4" w:rsidRPr="008D3C26" w:rsidRDefault="007F0CC4"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64 370 571</w:t>
            </w:r>
          </w:p>
        </w:tc>
        <w:tc>
          <w:tcPr>
            <w:tcW w:w="1464" w:type="dxa"/>
            <w:tcBorders>
              <w:bottom w:val="single" w:sz="4" w:space="0" w:color="auto"/>
            </w:tcBorders>
            <w:vAlign w:val="bottom"/>
          </w:tcPr>
          <w:p w14:paraId="6F21B1A8" w14:textId="77777777" w:rsidR="007F0CC4" w:rsidRPr="008D3C26" w:rsidRDefault="007F0CC4"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50 717</w:t>
            </w:r>
          </w:p>
        </w:tc>
      </w:tr>
      <w:tr w:rsidR="00D575FB" w:rsidRPr="008D3C26" w14:paraId="1E85047A" w14:textId="77777777" w:rsidTr="00D410D1">
        <w:trPr>
          <w:trHeight w:val="1160"/>
        </w:trPr>
        <w:tc>
          <w:tcPr>
            <w:tcW w:w="2128" w:type="dxa"/>
            <w:tcBorders>
              <w:right w:val="nil"/>
            </w:tcBorders>
            <w:vAlign w:val="bottom"/>
          </w:tcPr>
          <w:p w14:paraId="4F6D6807" w14:textId="77777777" w:rsidR="00D575FB" w:rsidRPr="008D3C26" w:rsidRDefault="00D575FB" w:rsidP="00306178">
            <w:pPr>
              <w:rPr>
                <w:rFonts w:ascii="Times New Roman" w:eastAsia="Times New Roman" w:hAnsi="Times New Roman" w:cs="Times New Roman"/>
                <w:b/>
                <w:bCs/>
                <w:color w:val="000000"/>
                <w:sz w:val="24"/>
                <w:szCs w:val="24"/>
                <w:lang w:eastAsia="en-ZA"/>
              </w:rPr>
            </w:pPr>
          </w:p>
          <w:p w14:paraId="333CB846" w14:textId="77777777" w:rsidR="00D575FB" w:rsidRPr="008D3C26" w:rsidRDefault="00D575FB" w:rsidP="00CC2EE3">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Departmental receipts</w:t>
            </w:r>
          </w:p>
          <w:p w14:paraId="3B762634" w14:textId="77777777" w:rsidR="00D575FB" w:rsidRPr="008D3C26" w:rsidRDefault="00D575FB" w:rsidP="00CC2EE3">
            <w:pPr>
              <w:rPr>
                <w:rFonts w:ascii="Times New Roman" w:eastAsia="Times New Roman" w:hAnsi="Times New Roman" w:cs="Times New Roman"/>
                <w:b/>
                <w:bCs/>
                <w:color w:val="000000"/>
                <w:sz w:val="24"/>
                <w:szCs w:val="24"/>
                <w:lang w:eastAsia="en-ZA"/>
              </w:rPr>
            </w:pPr>
          </w:p>
          <w:p w14:paraId="3EA46B63" w14:textId="77777777" w:rsidR="00D575FB" w:rsidRPr="008D3C26" w:rsidRDefault="00D575FB"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Aid Assistance</w:t>
            </w:r>
          </w:p>
        </w:tc>
        <w:tc>
          <w:tcPr>
            <w:tcW w:w="1539" w:type="dxa"/>
            <w:tcBorders>
              <w:left w:val="nil"/>
              <w:right w:val="nil"/>
            </w:tcBorders>
          </w:tcPr>
          <w:p w14:paraId="44B88E48" w14:textId="77777777" w:rsidR="00D575FB" w:rsidRPr="008D3C26" w:rsidRDefault="00D575FB" w:rsidP="00306178">
            <w:pPr>
              <w:rPr>
                <w:rFonts w:ascii="Times New Roman" w:hAnsi="Times New Roman" w:cs="Times New Roman"/>
                <w:b/>
                <w:sz w:val="24"/>
                <w:szCs w:val="24"/>
              </w:rPr>
            </w:pPr>
          </w:p>
        </w:tc>
        <w:tc>
          <w:tcPr>
            <w:tcW w:w="1555" w:type="dxa"/>
            <w:tcBorders>
              <w:left w:val="nil"/>
            </w:tcBorders>
            <w:vAlign w:val="bottom"/>
          </w:tcPr>
          <w:p w14:paraId="77372769"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tc>
        <w:tc>
          <w:tcPr>
            <w:tcW w:w="1539" w:type="dxa"/>
            <w:vAlign w:val="bottom"/>
          </w:tcPr>
          <w:p w14:paraId="19EFDD62" w14:textId="77777777" w:rsidR="00D575FB" w:rsidRPr="008D3C26" w:rsidRDefault="00D575FB" w:rsidP="0087099E">
            <w:pPr>
              <w:jc w:val="center"/>
              <w:rPr>
                <w:rFonts w:ascii="Times New Roman" w:hAnsi="Times New Roman" w:cs="Times New Roman"/>
                <w:sz w:val="24"/>
                <w:szCs w:val="24"/>
              </w:rPr>
            </w:pPr>
            <w:r w:rsidRPr="008D3C26">
              <w:rPr>
                <w:rFonts w:ascii="Times New Roman" w:hAnsi="Times New Roman" w:cs="Times New Roman"/>
                <w:sz w:val="24"/>
                <w:szCs w:val="24"/>
              </w:rPr>
              <w:t>41 311</w:t>
            </w:r>
          </w:p>
          <w:p w14:paraId="220CC45B" w14:textId="77777777" w:rsidR="00D575FB" w:rsidRPr="008D3C26" w:rsidRDefault="00D575FB" w:rsidP="0087099E">
            <w:pPr>
              <w:jc w:val="center"/>
              <w:rPr>
                <w:rFonts w:ascii="Times New Roman" w:hAnsi="Times New Roman" w:cs="Times New Roman"/>
                <w:sz w:val="24"/>
                <w:szCs w:val="24"/>
              </w:rPr>
            </w:pPr>
          </w:p>
          <w:p w14:paraId="5ED5A309" w14:textId="77777777" w:rsidR="00D575FB" w:rsidRPr="008D3C26" w:rsidRDefault="00D575FB" w:rsidP="0087099E">
            <w:pPr>
              <w:jc w:val="center"/>
              <w:rPr>
                <w:rFonts w:ascii="Times New Roman" w:hAnsi="Times New Roman" w:cs="Times New Roman"/>
                <w:sz w:val="24"/>
                <w:szCs w:val="24"/>
              </w:rPr>
            </w:pPr>
          </w:p>
          <w:p w14:paraId="44DC7127" w14:textId="77777777" w:rsidR="00D575FB" w:rsidRPr="008D3C26" w:rsidRDefault="00D575FB" w:rsidP="0087099E">
            <w:pPr>
              <w:jc w:val="center"/>
              <w:rPr>
                <w:rFonts w:ascii="Times New Roman" w:eastAsia="Times New Roman" w:hAnsi="Times New Roman" w:cs="Times New Roman"/>
                <w:b/>
                <w:color w:val="000000"/>
                <w:sz w:val="24"/>
                <w:szCs w:val="24"/>
                <w:lang w:eastAsia="en-ZA"/>
              </w:rPr>
            </w:pPr>
            <w:r w:rsidRPr="008D3C26">
              <w:rPr>
                <w:rFonts w:ascii="Times New Roman" w:hAnsi="Times New Roman" w:cs="Times New Roman"/>
                <w:sz w:val="24"/>
                <w:szCs w:val="24"/>
              </w:rPr>
              <w:t>98 001</w:t>
            </w:r>
          </w:p>
        </w:tc>
        <w:tc>
          <w:tcPr>
            <w:tcW w:w="1409" w:type="dxa"/>
            <w:vMerge w:val="restart"/>
            <w:vAlign w:val="bottom"/>
          </w:tcPr>
          <w:p w14:paraId="57EDB9B0"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p w14:paraId="55F96A94"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p w14:paraId="5C7AA135"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p w14:paraId="6787483E" w14:textId="77777777" w:rsidR="00D575FB" w:rsidRPr="008D3C26" w:rsidRDefault="00D575FB" w:rsidP="0087099E">
            <w:pPr>
              <w:jc w:val="center"/>
              <w:rPr>
                <w:rFonts w:ascii="Times New Roman" w:hAnsi="Times New Roman" w:cs="Times New Roman"/>
                <w:sz w:val="24"/>
                <w:szCs w:val="24"/>
              </w:rPr>
            </w:pPr>
            <w:r w:rsidRPr="008D3C26">
              <w:rPr>
                <w:rFonts w:ascii="Times New Roman" w:hAnsi="Times New Roman" w:cs="Times New Roman"/>
                <w:sz w:val="24"/>
                <w:szCs w:val="24"/>
              </w:rPr>
              <w:t>81 579</w:t>
            </w:r>
          </w:p>
          <w:p w14:paraId="4BEB5222" w14:textId="77777777" w:rsidR="00B82E12" w:rsidRPr="008D3C26" w:rsidRDefault="00B82E12" w:rsidP="0087099E">
            <w:pPr>
              <w:jc w:val="center"/>
              <w:rPr>
                <w:rFonts w:ascii="Times New Roman" w:eastAsia="Times New Roman" w:hAnsi="Times New Roman" w:cs="Times New Roman"/>
                <w:b/>
                <w:color w:val="000000"/>
                <w:sz w:val="24"/>
                <w:szCs w:val="24"/>
                <w:lang w:eastAsia="en-ZA"/>
              </w:rPr>
            </w:pPr>
          </w:p>
        </w:tc>
        <w:tc>
          <w:tcPr>
            <w:tcW w:w="1464" w:type="dxa"/>
            <w:vMerge w:val="restart"/>
            <w:vAlign w:val="bottom"/>
          </w:tcPr>
          <w:p w14:paraId="1DBAB380"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tc>
      </w:tr>
      <w:tr w:rsidR="00D575FB" w:rsidRPr="008D3C26" w14:paraId="764BA973" w14:textId="77777777" w:rsidTr="00D410D1">
        <w:tc>
          <w:tcPr>
            <w:tcW w:w="5222" w:type="dxa"/>
            <w:gridSpan w:val="3"/>
            <w:vMerge w:val="restart"/>
            <w:vAlign w:val="bottom"/>
          </w:tcPr>
          <w:p w14:paraId="70098107" w14:textId="77777777" w:rsidR="00D575FB" w:rsidRPr="008D3C26" w:rsidRDefault="00D575FB" w:rsidP="00D575FB">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Total Revenue</w:t>
            </w:r>
          </w:p>
          <w:p w14:paraId="37A7D909" w14:textId="77777777" w:rsidR="00516C5B" w:rsidRPr="008D3C26" w:rsidRDefault="00516C5B" w:rsidP="00D575FB">
            <w:pPr>
              <w:rPr>
                <w:rFonts w:ascii="Times New Roman" w:eastAsia="Times New Roman" w:hAnsi="Times New Roman" w:cs="Times New Roman"/>
                <w:b/>
                <w:bCs/>
                <w:color w:val="000000"/>
                <w:sz w:val="24"/>
                <w:szCs w:val="24"/>
                <w:lang w:eastAsia="en-ZA"/>
              </w:rPr>
            </w:pPr>
          </w:p>
          <w:p w14:paraId="3D3E12E6" w14:textId="77777777" w:rsidR="00516C5B" w:rsidRPr="008D3C26" w:rsidRDefault="00516C5B" w:rsidP="00D575FB">
            <w:pPr>
              <w:rPr>
                <w:rFonts w:ascii="Times New Roman" w:eastAsia="Times New Roman" w:hAnsi="Times New Roman" w:cs="Times New Roman"/>
                <w:b/>
                <w:bCs/>
                <w:color w:val="000000"/>
                <w:sz w:val="24"/>
                <w:szCs w:val="24"/>
                <w:lang w:eastAsia="en-ZA"/>
              </w:rPr>
            </w:pPr>
          </w:p>
          <w:p w14:paraId="1167D939" w14:textId="77777777" w:rsidR="00516C5B" w:rsidRPr="008D3C26" w:rsidRDefault="00B82E12" w:rsidP="00D575FB">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bCs/>
                <w:color w:val="000000"/>
                <w:sz w:val="24"/>
                <w:szCs w:val="24"/>
                <w:lang w:eastAsia="en-ZA"/>
              </w:rPr>
              <w:t>Total Expenditure</w:t>
            </w:r>
          </w:p>
        </w:tc>
        <w:tc>
          <w:tcPr>
            <w:tcW w:w="1539" w:type="dxa"/>
            <w:vAlign w:val="bottom"/>
          </w:tcPr>
          <w:p w14:paraId="5805271D"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r w:rsidRPr="008D3C26">
              <w:rPr>
                <w:rFonts w:ascii="Times New Roman" w:hAnsi="Times New Roman" w:cs="Times New Roman"/>
                <w:b/>
                <w:sz w:val="24"/>
                <w:szCs w:val="24"/>
              </w:rPr>
              <w:t>64 560 600</w:t>
            </w:r>
          </w:p>
        </w:tc>
        <w:tc>
          <w:tcPr>
            <w:tcW w:w="1409" w:type="dxa"/>
            <w:vMerge/>
            <w:vAlign w:val="bottom"/>
          </w:tcPr>
          <w:p w14:paraId="58BA6158"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tc>
        <w:tc>
          <w:tcPr>
            <w:tcW w:w="1464" w:type="dxa"/>
            <w:vMerge/>
            <w:vAlign w:val="bottom"/>
          </w:tcPr>
          <w:p w14:paraId="013556B2"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tc>
      </w:tr>
      <w:tr w:rsidR="00D575FB" w:rsidRPr="008D3C26" w14:paraId="561AC43F" w14:textId="77777777" w:rsidTr="00D410D1">
        <w:tc>
          <w:tcPr>
            <w:tcW w:w="5222" w:type="dxa"/>
            <w:gridSpan w:val="3"/>
            <w:vMerge/>
            <w:tcBorders>
              <w:bottom w:val="single" w:sz="4" w:space="0" w:color="auto"/>
            </w:tcBorders>
            <w:vAlign w:val="bottom"/>
          </w:tcPr>
          <w:p w14:paraId="4FB0A939"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tc>
        <w:tc>
          <w:tcPr>
            <w:tcW w:w="1539" w:type="dxa"/>
            <w:vAlign w:val="bottom"/>
          </w:tcPr>
          <w:p w14:paraId="4758CC3E"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tc>
        <w:tc>
          <w:tcPr>
            <w:tcW w:w="1409" w:type="dxa"/>
            <w:vAlign w:val="bottom"/>
          </w:tcPr>
          <w:p w14:paraId="34A04CE0" w14:textId="77777777" w:rsidR="00D575FB" w:rsidRPr="008D3C26" w:rsidRDefault="00D575FB" w:rsidP="00306178">
            <w:pPr>
              <w:jc w:val="center"/>
              <w:rPr>
                <w:rFonts w:ascii="Times New Roman" w:hAnsi="Times New Roman" w:cs="Times New Roman"/>
                <w:b/>
                <w:sz w:val="24"/>
                <w:szCs w:val="24"/>
              </w:rPr>
            </w:pPr>
          </w:p>
          <w:p w14:paraId="04B20BDD" w14:textId="77777777" w:rsidR="00D575FB" w:rsidRPr="008D3C26" w:rsidRDefault="00D575FB" w:rsidP="00306178">
            <w:pPr>
              <w:jc w:val="center"/>
              <w:rPr>
                <w:rFonts w:ascii="Times New Roman" w:hAnsi="Times New Roman" w:cs="Times New Roman"/>
                <w:b/>
                <w:sz w:val="24"/>
                <w:szCs w:val="24"/>
              </w:rPr>
            </w:pPr>
          </w:p>
          <w:p w14:paraId="3D7DD2A2"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r w:rsidRPr="008D3C26">
              <w:rPr>
                <w:rFonts w:ascii="Times New Roman" w:hAnsi="Times New Roman" w:cs="Times New Roman"/>
                <w:b/>
                <w:sz w:val="24"/>
                <w:szCs w:val="24"/>
              </w:rPr>
              <w:t>64 452 150</w:t>
            </w:r>
          </w:p>
        </w:tc>
        <w:tc>
          <w:tcPr>
            <w:tcW w:w="1464" w:type="dxa"/>
            <w:vMerge/>
            <w:tcBorders>
              <w:bottom w:val="single" w:sz="4" w:space="0" w:color="auto"/>
            </w:tcBorders>
            <w:vAlign w:val="bottom"/>
          </w:tcPr>
          <w:p w14:paraId="1F067748" w14:textId="77777777" w:rsidR="00D575FB" w:rsidRPr="008D3C26" w:rsidRDefault="00D575FB" w:rsidP="00306178">
            <w:pPr>
              <w:jc w:val="center"/>
              <w:rPr>
                <w:rFonts w:ascii="Times New Roman" w:eastAsia="Times New Roman" w:hAnsi="Times New Roman" w:cs="Times New Roman"/>
                <w:b/>
                <w:color w:val="000000"/>
                <w:sz w:val="24"/>
                <w:szCs w:val="24"/>
                <w:lang w:eastAsia="en-ZA"/>
              </w:rPr>
            </w:pPr>
          </w:p>
        </w:tc>
      </w:tr>
    </w:tbl>
    <w:p w14:paraId="5BE77C7A" w14:textId="77777777" w:rsidR="00D575FB" w:rsidRPr="008D3C26" w:rsidRDefault="00D575FB" w:rsidP="00E43860">
      <w:pPr>
        <w:spacing w:after="0"/>
        <w:rPr>
          <w:rFonts w:ascii="Times New Roman" w:hAnsi="Times New Roman" w:cs="Times New Roman"/>
          <w:sz w:val="24"/>
          <w:szCs w:val="24"/>
        </w:rPr>
      </w:pPr>
    </w:p>
    <w:p w14:paraId="5A9F3B1F" w14:textId="77777777" w:rsidR="007F0CC4" w:rsidRPr="008D3C26" w:rsidRDefault="007F0CC4" w:rsidP="00E43860">
      <w:pPr>
        <w:spacing w:after="0"/>
        <w:rPr>
          <w:rFonts w:ascii="Times New Roman" w:hAnsi="Times New Roman" w:cs="Times New Roman"/>
          <w:sz w:val="24"/>
          <w:szCs w:val="24"/>
        </w:rPr>
      </w:pPr>
      <w:r w:rsidRPr="008D3C26">
        <w:rPr>
          <w:rFonts w:ascii="Times New Roman" w:hAnsi="Times New Roman" w:cs="Times New Roman"/>
          <w:sz w:val="24"/>
          <w:szCs w:val="24"/>
        </w:rPr>
        <w:t xml:space="preserve">For the 2016/17 financial year, the Department received an appropriation of R64.421 billion inclusive of direct charges against the National Revenue </w:t>
      </w:r>
      <w:r w:rsidR="0018106A" w:rsidRPr="008D3C26">
        <w:rPr>
          <w:rFonts w:ascii="Times New Roman" w:hAnsi="Times New Roman" w:cs="Times New Roman"/>
          <w:sz w:val="24"/>
          <w:szCs w:val="24"/>
        </w:rPr>
        <w:t xml:space="preserve">Fund </w:t>
      </w:r>
      <w:r w:rsidRPr="008D3C26">
        <w:rPr>
          <w:rFonts w:ascii="Times New Roman" w:hAnsi="Times New Roman" w:cs="Times New Roman"/>
          <w:sz w:val="24"/>
          <w:szCs w:val="24"/>
        </w:rPr>
        <w:t xml:space="preserve">for the Sector Education and Training Authorities (SETAs) and the National Skills Fund (NSF) amounting to R15.233 billion. The budget was adjusted down during the </w:t>
      </w:r>
      <w:r w:rsidR="00F04D66" w:rsidRPr="008D3C26">
        <w:rPr>
          <w:rFonts w:ascii="Times New Roman" w:hAnsi="Times New Roman" w:cs="Times New Roman"/>
          <w:sz w:val="24"/>
          <w:szCs w:val="24"/>
        </w:rPr>
        <w:t xml:space="preserve">budget </w:t>
      </w:r>
      <w:r w:rsidRPr="008D3C26">
        <w:rPr>
          <w:rFonts w:ascii="Times New Roman" w:hAnsi="Times New Roman" w:cs="Times New Roman"/>
          <w:sz w:val="24"/>
          <w:szCs w:val="24"/>
        </w:rPr>
        <w:t>adjustment period in October 2016</w:t>
      </w:r>
      <w:r w:rsidR="00F04D66" w:rsidRPr="008D3C26">
        <w:rPr>
          <w:rFonts w:ascii="Times New Roman" w:hAnsi="Times New Roman" w:cs="Times New Roman"/>
          <w:sz w:val="24"/>
          <w:szCs w:val="24"/>
        </w:rPr>
        <w:t>,</w:t>
      </w:r>
      <w:r w:rsidRPr="008D3C26">
        <w:rPr>
          <w:rFonts w:ascii="Times New Roman" w:hAnsi="Times New Roman" w:cs="Times New Roman"/>
          <w:sz w:val="24"/>
          <w:szCs w:val="24"/>
        </w:rPr>
        <w:t xml:space="preserve"> from a main appropriation of R66.82</w:t>
      </w:r>
      <w:r w:rsidR="00843440" w:rsidRPr="008D3C26">
        <w:rPr>
          <w:rFonts w:ascii="Times New Roman" w:hAnsi="Times New Roman" w:cs="Times New Roman"/>
          <w:sz w:val="24"/>
          <w:szCs w:val="24"/>
        </w:rPr>
        <w:t>8</w:t>
      </w:r>
      <w:r w:rsidRPr="008D3C26">
        <w:rPr>
          <w:rFonts w:ascii="Times New Roman" w:hAnsi="Times New Roman" w:cs="Times New Roman"/>
          <w:sz w:val="24"/>
          <w:szCs w:val="24"/>
        </w:rPr>
        <w:t xml:space="preserve"> billion to R64.421 billion final appropriations. A decrease of R2.177 billion was effected in the allocation for direct charges against the National Revenue Fund. The Department also received an income of R139.312 million from the Departmental receipts (R41.311 million) and aid assistance (R98.001 million), which increased the total revenue of the Department to R64.56</w:t>
      </w:r>
      <w:r w:rsidR="00843440" w:rsidRPr="008D3C26">
        <w:rPr>
          <w:rFonts w:ascii="Times New Roman" w:hAnsi="Times New Roman" w:cs="Times New Roman"/>
          <w:sz w:val="24"/>
          <w:szCs w:val="24"/>
        </w:rPr>
        <w:t>1</w:t>
      </w:r>
      <w:r w:rsidRPr="008D3C26">
        <w:rPr>
          <w:rFonts w:ascii="Times New Roman" w:hAnsi="Times New Roman" w:cs="Times New Roman"/>
          <w:sz w:val="24"/>
          <w:szCs w:val="24"/>
        </w:rPr>
        <w:t xml:space="preserve"> billion for the 2016/17 financial year. </w:t>
      </w:r>
    </w:p>
    <w:p w14:paraId="29ABF632" w14:textId="77777777" w:rsidR="00E43860" w:rsidRPr="008D3C26" w:rsidRDefault="00E43860" w:rsidP="00E43860">
      <w:pPr>
        <w:spacing w:after="0"/>
        <w:rPr>
          <w:rFonts w:ascii="Times New Roman" w:hAnsi="Times New Roman" w:cs="Times New Roman"/>
          <w:sz w:val="24"/>
          <w:szCs w:val="24"/>
        </w:rPr>
      </w:pPr>
    </w:p>
    <w:p w14:paraId="45109F26" w14:textId="77777777" w:rsidR="00BD71E6" w:rsidRPr="008D3C26" w:rsidRDefault="00BD71E6" w:rsidP="00E12475">
      <w:pPr>
        <w:spacing w:after="0"/>
        <w:rPr>
          <w:rFonts w:ascii="Times New Roman" w:hAnsi="Times New Roman" w:cs="Times New Roman"/>
          <w:b/>
          <w:sz w:val="24"/>
          <w:szCs w:val="24"/>
        </w:rPr>
      </w:pPr>
    </w:p>
    <w:p w14:paraId="29B65D7B" w14:textId="77777777" w:rsidR="00BD71E6" w:rsidRPr="008D3C26" w:rsidRDefault="00BD71E6" w:rsidP="00E12475">
      <w:pPr>
        <w:spacing w:after="0"/>
        <w:rPr>
          <w:rFonts w:ascii="Times New Roman" w:hAnsi="Times New Roman" w:cs="Times New Roman"/>
          <w:b/>
          <w:sz w:val="24"/>
          <w:szCs w:val="24"/>
        </w:rPr>
      </w:pPr>
    </w:p>
    <w:p w14:paraId="542D0801" w14:textId="77777777" w:rsidR="00BD71E6" w:rsidRPr="008D3C26" w:rsidRDefault="00BD71E6" w:rsidP="00E12475">
      <w:pPr>
        <w:spacing w:after="0"/>
        <w:rPr>
          <w:rFonts w:ascii="Times New Roman" w:hAnsi="Times New Roman" w:cs="Times New Roman"/>
          <w:b/>
          <w:sz w:val="24"/>
          <w:szCs w:val="24"/>
        </w:rPr>
      </w:pPr>
    </w:p>
    <w:p w14:paraId="5E9903C6" w14:textId="77777777" w:rsidR="00BD71E6" w:rsidRPr="008D3C26" w:rsidRDefault="00BD71E6" w:rsidP="00E12475">
      <w:pPr>
        <w:spacing w:after="0"/>
        <w:rPr>
          <w:rFonts w:ascii="Times New Roman" w:hAnsi="Times New Roman" w:cs="Times New Roman"/>
          <w:b/>
          <w:sz w:val="24"/>
          <w:szCs w:val="24"/>
        </w:rPr>
      </w:pPr>
    </w:p>
    <w:p w14:paraId="2F32B4F9" w14:textId="77777777" w:rsidR="00E12475" w:rsidRPr="008D3C26" w:rsidRDefault="00E12475" w:rsidP="00E12475">
      <w:pPr>
        <w:spacing w:after="0"/>
        <w:rPr>
          <w:rFonts w:ascii="Times New Roman" w:hAnsi="Times New Roman" w:cs="Times New Roman"/>
          <w:b/>
          <w:sz w:val="24"/>
          <w:szCs w:val="24"/>
        </w:rPr>
      </w:pPr>
      <w:r w:rsidRPr="008D3C26">
        <w:rPr>
          <w:rFonts w:ascii="Times New Roman" w:hAnsi="Times New Roman" w:cs="Times New Roman"/>
          <w:b/>
          <w:sz w:val="24"/>
          <w:szCs w:val="24"/>
        </w:rPr>
        <w:t>4.1.1. Analysis of the 2016/17 expenditure</w:t>
      </w:r>
    </w:p>
    <w:p w14:paraId="47557977" w14:textId="77777777" w:rsidR="007F0CC4" w:rsidRPr="008D3C26" w:rsidRDefault="00E12475" w:rsidP="009724AD">
      <w:pPr>
        <w:rPr>
          <w:rFonts w:ascii="Times New Roman" w:hAnsi="Times New Roman" w:cs="Times New Roman"/>
          <w:b/>
          <w:sz w:val="24"/>
          <w:szCs w:val="24"/>
        </w:rPr>
      </w:pPr>
      <w:r w:rsidRPr="008D3C26">
        <w:rPr>
          <w:rFonts w:ascii="Times New Roman" w:hAnsi="Times New Roman" w:cs="Times New Roman"/>
          <w:b/>
          <w:sz w:val="24"/>
          <w:szCs w:val="24"/>
        </w:rPr>
        <w:t xml:space="preserve">Table 2: </w:t>
      </w:r>
      <w:r w:rsidR="004416D9" w:rsidRPr="008D3C26">
        <w:rPr>
          <w:rFonts w:ascii="Times New Roman" w:hAnsi="Times New Roman" w:cs="Times New Roman"/>
          <w:b/>
          <w:sz w:val="24"/>
          <w:szCs w:val="24"/>
        </w:rPr>
        <w:t>2016 main budget expenditure</w:t>
      </w:r>
    </w:p>
    <w:tbl>
      <w:tblPr>
        <w:tblW w:w="10056" w:type="dxa"/>
        <w:tblLook w:val="04A0" w:firstRow="1" w:lastRow="0" w:firstColumn="1" w:lastColumn="0" w:noHBand="0" w:noVBand="1"/>
      </w:tblPr>
      <w:tblGrid>
        <w:gridCol w:w="1980"/>
        <w:gridCol w:w="1576"/>
        <w:gridCol w:w="1576"/>
        <w:gridCol w:w="1389"/>
        <w:gridCol w:w="1267"/>
        <w:gridCol w:w="1576"/>
        <w:gridCol w:w="1389"/>
      </w:tblGrid>
      <w:tr w:rsidR="001E7C39" w:rsidRPr="008D3C26" w14:paraId="7BBF02BA" w14:textId="77777777" w:rsidTr="006908BF">
        <w:trPr>
          <w:trHeight w:val="300"/>
        </w:trPr>
        <w:tc>
          <w:tcPr>
            <w:tcW w:w="1980" w:type="dxa"/>
            <w:vMerge w:val="restart"/>
            <w:tcBorders>
              <w:top w:val="single" w:sz="4" w:space="0" w:color="auto"/>
              <w:left w:val="single" w:sz="4" w:space="0" w:color="auto"/>
              <w:right w:val="single" w:sz="4" w:space="0" w:color="auto"/>
            </w:tcBorders>
            <w:shd w:val="clear" w:color="auto" w:fill="F2F2F2" w:themeFill="background1" w:themeFillShade="F2"/>
            <w:noWrap/>
            <w:vAlign w:val="bottom"/>
            <w:hideMark/>
          </w:tcPr>
          <w:p w14:paraId="3521AF3C" w14:textId="77777777" w:rsidR="001E7C39" w:rsidRPr="008D3C26" w:rsidRDefault="001E7C39" w:rsidP="00217236">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Programme</w:t>
            </w:r>
          </w:p>
          <w:p w14:paraId="684C64F0" w14:textId="77777777" w:rsidR="001E7C39" w:rsidRPr="008D3C26" w:rsidRDefault="001E7C39" w:rsidP="00217236">
            <w:pPr>
              <w:spacing w:after="0" w:line="240" w:lineRule="auto"/>
              <w:rPr>
                <w:rFonts w:ascii="Times New Roman" w:eastAsia="Times New Roman" w:hAnsi="Times New Roman" w:cs="Times New Roman"/>
                <w:b/>
                <w:bCs/>
                <w:color w:val="000000"/>
                <w:sz w:val="24"/>
                <w:szCs w:val="24"/>
                <w:lang w:eastAsia="en-ZA"/>
              </w:rPr>
            </w:pPr>
          </w:p>
          <w:p w14:paraId="55C94AB7" w14:textId="77777777" w:rsidR="001E7C39" w:rsidRPr="008D3C26" w:rsidRDefault="001E7C39" w:rsidP="00217236">
            <w:pPr>
              <w:spacing w:after="0" w:line="240" w:lineRule="auto"/>
              <w:rPr>
                <w:rFonts w:ascii="Times New Roman" w:eastAsia="Times New Roman" w:hAnsi="Times New Roman" w:cs="Times New Roman"/>
                <w:b/>
                <w:bCs/>
                <w:color w:val="000000"/>
                <w:sz w:val="24"/>
                <w:szCs w:val="24"/>
                <w:lang w:eastAsia="en-ZA"/>
              </w:rPr>
            </w:pPr>
          </w:p>
        </w:tc>
        <w:tc>
          <w:tcPr>
            <w:tcW w:w="5386" w:type="dxa"/>
            <w:gridSpan w:val="4"/>
            <w:tcBorders>
              <w:top w:val="single" w:sz="4" w:space="0" w:color="auto"/>
              <w:left w:val="nil"/>
              <w:bottom w:val="single" w:sz="4" w:space="0" w:color="auto"/>
              <w:right w:val="single" w:sz="4" w:space="0" w:color="auto"/>
            </w:tcBorders>
            <w:shd w:val="clear" w:color="auto" w:fill="ED7D31" w:themeFill="accent2"/>
            <w:noWrap/>
            <w:vAlign w:val="bottom"/>
          </w:tcPr>
          <w:p w14:paraId="26442E2A" w14:textId="77777777" w:rsidR="001E7C39" w:rsidRPr="008D3C26" w:rsidRDefault="001E7C39" w:rsidP="00515EC5">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2016/17</w:t>
            </w:r>
          </w:p>
        </w:tc>
        <w:tc>
          <w:tcPr>
            <w:tcW w:w="2690" w:type="dxa"/>
            <w:gridSpan w:val="2"/>
            <w:tcBorders>
              <w:top w:val="single" w:sz="4" w:space="0" w:color="auto"/>
              <w:left w:val="nil"/>
              <w:bottom w:val="single" w:sz="4" w:space="0" w:color="auto"/>
              <w:right w:val="single" w:sz="4" w:space="0" w:color="auto"/>
            </w:tcBorders>
            <w:shd w:val="clear" w:color="auto" w:fill="ED7D31" w:themeFill="accent2"/>
            <w:noWrap/>
            <w:vAlign w:val="bottom"/>
          </w:tcPr>
          <w:p w14:paraId="20ABD960" w14:textId="77777777" w:rsidR="001E7C39" w:rsidRPr="008D3C26" w:rsidRDefault="001E7C39" w:rsidP="00515EC5">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2015/16</w:t>
            </w:r>
          </w:p>
        </w:tc>
      </w:tr>
      <w:tr w:rsidR="001E7C39" w:rsidRPr="008D3C26" w14:paraId="375C4968" w14:textId="77777777" w:rsidTr="00E30251">
        <w:trPr>
          <w:trHeight w:val="300"/>
        </w:trPr>
        <w:tc>
          <w:tcPr>
            <w:tcW w:w="1980" w:type="dxa"/>
            <w:vMerge/>
            <w:tcBorders>
              <w:left w:val="single" w:sz="4" w:space="0" w:color="auto"/>
              <w:right w:val="single" w:sz="4" w:space="0" w:color="auto"/>
            </w:tcBorders>
            <w:shd w:val="clear" w:color="auto" w:fill="F2F2F2" w:themeFill="background1" w:themeFillShade="F2"/>
            <w:noWrap/>
            <w:vAlign w:val="bottom"/>
          </w:tcPr>
          <w:p w14:paraId="69D88504" w14:textId="77777777" w:rsidR="001E7C39" w:rsidRPr="008D3C26" w:rsidRDefault="001E7C39" w:rsidP="00217236">
            <w:pPr>
              <w:spacing w:after="0" w:line="240" w:lineRule="auto"/>
              <w:rPr>
                <w:rFonts w:ascii="Times New Roman" w:eastAsia="Times New Roman" w:hAnsi="Times New Roman" w:cs="Times New Roman"/>
                <w:b/>
                <w:bCs/>
                <w:color w:val="000000"/>
                <w:sz w:val="24"/>
                <w:szCs w:val="24"/>
                <w:lang w:eastAsia="en-ZA"/>
              </w:rPr>
            </w:pPr>
          </w:p>
        </w:tc>
        <w:tc>
          <w:tcPr>
            <w:tcW w:w="1417" w:type="dxa"/>
            <w:tcBorders>
              <w:top w:val="single" w:sz="4" w:space="0" w:color="auto"/>
              <w:left w:val="nil"/>
              <w:bottom w:val="single" w:sz="4" w:space="0" w:color="auto"/>
              <w:right w:val="single" w:sz="4" w:space="0" w:color="auto"/>
            </w:tcBorders>
            <w:shd w:val="clear" w:color="auto" w:fill="ED7D31" w:themeFill="accent2"/>
            <w:noWrap/>
            <w:vAlign w:val="bottom"/>
          </w:tcPr>
          <w:p w14:paraId="3273D693" w14:textId="77777777" w:rsidR="001E7C39" w:rsidRPr="008D3C26" w:rsidRDefault="001E7C39" w:rsidP="00217236">
            <w:pPr>
              <w:spacing w:after="0" w:line="240" w:lineRule="auto"/>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Adjusted Appropriation</w:t>
            </w:r>
          </w:p>
        </w:tc>
        <w:tc>
          <w:tcPr>
            <w:tcW w:w="1418" w:type="dxa"/>
            <w:tcBorders>
              <w:top w:val="single" w:sz="4" w:space="0" w:color="auto"/>
              <w:left w:val="nil"/>
              <w:bottom w:val="single" w:sz="4" w:space="0" w:color="auto"/>
              <w:right w:val="single" w:sz="4" w:space="0" w:color="auto"/>
            </w:tcBorders>
            <w:shd w:val="clear" w:color="auto" w:fill="ED7D31" w:themeFill="accent2"/>
            <w:noWrap/>
            <w:vAlign w:val="bottom"/>
          </w:tcPr>
          <w:p w14:paraId="20FBA35D" w14:textId="77777777" w:rsidR="001E7C39" w:rsidRPr="008D3C26" w:rsidRDefault="001E7C39" w:rsidP="00217236">
            <w:pPr>
              <w:spacing w:after="0" w:line="240" w:lineRule="auto"/>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Final Appropriation</w:t>
            </w:r>
          </w:p>
        </w:tc>
        <w:tc>
          <w:tcPr>
            <w:tcW w:w="1284" w:type="dxa"/>
            <w:tcBorders>
              <w:top w:val="single" w:sz="4" w:space="0" w:color="auto"/>
              <w:left w:val="nil"/>
              <w:bottom w:val="single" w:sz="4" w:space="0" w:color="auto"/>
              <w:right w:val="single" w:sz="4" w:space="0" w:color="auto"/>
            </w:tcBorders>
            <w:shd w:val="clear" w:color="auto" w:fill="ED7D31" w:themeFill="accent2"/>
            <w:noWrap/>
            <w:vAlign w:val="bottom"/>
          </w:tcPr>
          <w:p w14:paraId="70B6F814" w14:textId="77777777" w:rsidR="001E7C39" w:rsidRPr="008D3C26" w:rsidRDefault="001E7C39" w:rsidP="00217236">
            <w:pPr>
              <w:spacing w:after="0" w:line="240" w:lineRule="auto"/>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Actual Expenditure</w:t>
            </w:r>
          </w:p>
        </w:tc>
        <w:tc>
          <w:tcPr>
            <w:tcW w:w="1267" w:type="dxa"/>
            <w:tcBorders>
              <w:top w:val="single" w:sz="4" w:space="0" w:color="auto"/>
              <w:left w:val="nil"/>
              <w:bottom w:val="single" w:sz="4" w:space="0" w:color="auto"/>
              <w:right w:val="single" w:sz="4" w:space="0" w:color="auto"/>
            </w:tcBorders>
            <w:shd w:val="clear" w:color="auto" w:fill="ED7D31" w:themeFill="accent2"/>
            <w:noWrap/>
            <w:vAlign w:val="bottom"/>
          </w:tcPr>
          <w:p w14:paraId="36581A8A" w14:textId="77777777" w:rsidR="001E7C39" w:rsidRPr="008D3C26" w:rsidRDefault="001E7C39" w:rsidP="00217236">
            <w:pPr>
              <w:spacing w:after="0" w:line="240" w:lineRule="auto"/>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 xml:space="preserve">Variance </w:t>
            </w:r>
          </w:p>
        </w:tc>
        <w:tc>
          <w:tcPr>
            <w:tcW w:w="1406" w:type="dxa"/>
            <w:tcBorders>
              <w:top w:val="single" w:sz="4" w:space="0" w:color="auto"/>
              <w:left w:val="nil"/>
              <w:bottom w:val="single" w:sz="4" w:space="0" w:color="auto"/>
              <w:right w:val="single" w:sz="4" w:space="0" w:color="auto"/>
            </w:tcBorders>
            <w:shd w:val="clear" w:color="auto" w:fill="ED7D31" w:themeFill="accent2"/>
            <w:noWrap/>
            <w:vAlign w:val="bottom"/>
          </w:tcPr>
          <w:p w14:paraId="6CFF02F6" w14:textId="77777777" w:rsidR="001E7C39" w:rsidRPr="008D3C26" w:rsidRDefault="001E7C39" w:rsidP="00217236">
            <w:pPr>
              <w:spacing w:after="0" w:line="240" w:lineRule="auto"/>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Final Appropriation</w:t>
            </w:r>
          </w:p>
        </w:tc>
        <w:tc>
          <w:tcPr>
            <w:tcW w:w="1284" w:type="dxa"/>
            <w:tcBorders>
              <w:top w:val="single" w:sz="4" w:space="0" w:color="auto"/>
              <w:left w:val="nil"/>
              <w:bottom w:val="single" w:sz="4" w:space="0" w:color="auto"/>
              <w:right w:val="single" w:sz="4" w:space="0" w:color="auto"/>
            </w:tcBorders>
            <w:shd w:val="clear" w:color="auto" w:fill="ED7D31" w:themeFill="accent2"/>
            <w:noWrap/>
            <w:vAlign w:val="bottom"/>
          </w:tcPr>
          <w:p w14:paraId="0E21879D" w14:textId="77777777" w:rsidR="001E7C39" w:rsidRPr="008D3C26" w:rsidRDefault="001E7C39" w:rsidP="00217236">
            <w:pPr>
              <w:spacing w:after="0" w:line="240" w:lineRule="auto"/>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Actual Expenditure</w:t>
            </w:r>
          </w:p>
        </w:tc>
      </w:tr>
      <w:tr w:rsidR="001E7C39" w:rsidRPr="008D3C26" w14:paraId="1422B14D" w14:textId="77777777" w:rsidTr="006908BF">
        <w:trPr>
          <w:trHeight w:val="300"/>
        </w:trPr>
        <w:tc>
          <w:tcPr>
            <w:tcW w:w="198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6A78FD89" w14:textId="77777777" w:rsidR="001E7C39" w:rsidRPr="008D3C26" w:rsidRDefault="001E7C39" w:rsidP="001E7C39">
            <w:pPr>
              <w:spacing w:after="0" w:line="240" w:lineRule="auto"/>
              <w:rPr>
                <w:rFonts w:ascii="Times New Roman" w:eastAsia="Times New Roman" w:hAnsi="Times New Roman" w:cs="Times New Roman"/>
                <w:b/>
                <w:bCs/>
                <w:color w:val="000000"/>
                <w:sz w:val="24"/>
                <w:szCs w:val="24"/>
                <w:lang w:eastAsia="en-ZA"/>
              </w:rPr>
            </w:pPr>
          </w:p>
        </w:tc>
        <w:tc>
          <w:tcPr>
            <w:tcW w:w="1417" w:type="dxa"/>
            <w:tcBorders>
              <w:top w:val="single" w:sz="4" w:space="0" w:color="auto"/>
              <w:left w:val="nil"/>
              <w:bottom w:val="single" w:sz="4" w:space="0" w:color="auto"/>
              <w:right w:val="single" w:sz="4" w:space="0" w:color="auto"/>
            </w:tcBorders>
            <w:shd w:val="clear" w:color="auto" w:fill="ED7D31" w:themeFill="accent2"/>
            <w:noWrap/>
            <w:vAlign w:val="bottom"/>
          </w:tcPr>
          <w:p w14:paraId="3EA35A0B" w14:textId="77777777" w:rsidR="001E7C39" w:rsidRPr="008D3C26" w:rsidRDefault="001E7C39" w:rsidP="001E7C39">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418" w:type="dxa"/>
            <w:tcBorders>
              <w:top w:val="single" w:sz="4" w:space="0" w:color="auto"/>
              <w:left w:val="nil"/>
              <w:bottom w:val="single" w:sz="4" w:space="0" w:color="auto"/>
              <w:right w:val="single" w:sz="4" w:space="0" w:color="auto"/>
            </w:tcBorders>
            <w:shd w:val="clear" w:color="auto" w:fill="ED7D31" w:themeFill="accent2"/>
            <w:noWrap/>
            <w:vAlign w:val="bottom"/>
          </w:tcPr>
          <w:p w14:paraId="1BC239B5" w14:textId="77777777" w:rsidR="001E7C39" w:rsidRPr="008D3C26" w:rsidRDefault="001E7C39" w:rsidP="001E7C39">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284" w:type="dxa"/>
            <w:tcBorders>
              <w:top w:val="single" w:sz="4" w:space="0" w:color="auto"/>
              <w:left w:val="nil"/>
              <w:bottom w:val="single" w:sz="4" w:space="0" w:color="auto"/>
              <w:right w:val="single" w:sz="4" w:space="0" w:color="auto"/>
            </w:tcBorders>
            <w:shd w:val="clear" w:color="auto" w:fill="ED7D31" w:themeFill="accent2"/>
            <w:noWrap/>
            <w:vAlign w:val="bottom"/>
          </w:tcPr>
          <w:p w14:paraId="052C82D7" w14:textId="77777777" w:rsidR="001E7C39" w:rsidRPr="008D3C26" w:rsidRDefault="001E7C39" w:rsidP="001E7C39">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267" w:type="dxa"/>
            <w:tcBorders>
              <w:top w:val="single" w:sz="4" w:space="0" w:color="auto"/>
              <w:left w:val="nil"/>
              <w:bottom w:val="single" w:sz="4" w:space="0" w:color="auto"/>
              <w:right w:val="single" w:sz="4" w:space="0" w:color="auto"/>
            </w:tcBorders>
            <w:shd w:val="clear" w:color="auto" w:fill="ED7D31" w:themeFill="accent2"/>
            <w:noWrap/>
            <w:vAlign w:val="bottom"/>
          </w:tcPr>
          <w:p w14:paraId="17A41A6B" w14:textId="77777777" w:rsidR="001E7C39" w:rsidRPr="008D3C26" w:rsidRDefault="001E7C39" w:rsidP="001E7C39">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406" w:type="dxa"/>
            <w:tcBorders>
              <w:top w:val="single" w:sz="4" w:space="0" w:color="auto"/>
              <w:left w:val="nil"/>
              <w:bottom w:val="single" w:sz="4" w:space="0" w:color="auto"/>
              <w:right w:val="single" w:sz="4" w:space="0" w:color="auto"/>
            </w:tcBorders>
            <w:shd w:val="clear" w:color="auto" w:fill="ED7D31" w:themeFill="accent2"/>
            <w:noWrap/>
            <w:vAlign w:val="bottom"/>
          </w:tcPr>
          <w:p w14:paraId="0D964A13" w14:textId="77777777" w:rsidR="001E7C39" w:rsidRPr="008D3C26" w:rsidRDefault="001E7C39" w:rsidP="001E7C39">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w:t>
            </w:r>
            <w:r w:rsidR="009B568A" w:rsidRPr="008D3C26">
              <w:rPr>
                <w:rFonts w:ascii="Times New Roman" w:eastAsia="Times New Roman" w:hAnsi="Times New Roman" w:cs="Times New Roman"/>
                <w:color w:val="000000"/>
                <w:sz w:val="24"/>
                <w:szCs w:val="24"/>
                <w:lang w:eastAsia="en-ZA"/>
              </w:rPr>
              <w:t>0</w:t>
            </w:r>
          </w:p>
        </w:tc>
        <w:tc>
          <w:tcPr>
            <w:tcW w:w="1284" w:type="dxa"/>
            <w:tcBorders>
              <w:top w:val="single" w:sz="4" w:space="0" w:color="auto"/>
              <w:left w:val="nil"/>
              <w:bottom w:val="single" w:sz="4" w:space="0" w:color="auto"/>
              <w:right w:val="single" w:sz="4" w:space="0" w:color="auto"/>
            </w:tcBorders>
            <w:shd w:val="clear" w:color="auto" w:fill="ED7D31" w:themeFill="accent2"/>
            <w:noWrap/>
            <w:vAlign w:val="bottom"/>
          </w:tcPr>
          <w:p w14:paraId="59A46E27" w14:textId="77777777" w:rsidR="001E7C39" w:rsidRPr="008D3C26" w:rsidRDefault="001E7C39" w:rsidP="001E7C39">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r>
      <w:tr w:rsidR="001E7C39" w:rsidRPr="008D3C26" w14:paraId="4C95BCD1"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1F8965D" w14:textId="77777777" w:rsidR="001E7C39" w:rsidRPr="008D3C26" w:rsidRDefault="001E7C39" w:rsidP="001E7C39">
            <w:pPr>
              <w:spacing w:after="0" w:line="240" w:lineRule="auto"/>
              <w:rPr>
                <w:rFonts w:ascii="Times New Roman" w:eastAsia="Times New Roman" w:hAnsi="Times New Roman" w:cs="Times New Roman"/>
                <w:bCs/>
                <w:color w:val="000000"/>
                <w:sz w:val="24"/>
                <w:szCs w:val="24"/>
                <w:lang w:eastAsia="en-ZA"/>
              </w:rPr>
            </w:pPr>
            <w:r w:rsidRPr="008D3C26">
              <w:rPr>
                <w:rFonts w:ascii="Times New Roman" w:eastAsia="Times New Roman" w:hAnsi="Times New Roman" w:cs="Times New Roman"/>
                <w:bCs/>
                <w:color w:val="000000"/>
                <w:sz w:val="24"/>
                <w:szCs w:val="24"/>
                <w:lang w:eastAsia="en-ZA"/>
              </w:rPr>
              <w:t>Administration</w:t>
            </w:r>
          </w:p>
        </w:tc>
        <w:tc>
          <w:tcPr>
            <w:tcW w:w="1417" w:type="dxa"/>
            <w:tcBorders>
              <w:top w:val="nil"/>
              <w:left w:val="nil"/>
              <w:bottom w:val="single" w:sz="4" w:space="0" w:color="auto"/>
              <w:right w:val="single" w:sz="4" w:space="0" w:color="auto"/>
            </w:tcBorders>
            <w:shd w:val="clear" w:color="auto" w:fill="auto"/>
            <w:noWrap/>
            <w:vAlign w:val="bottom"/>
          </w:tcPr>
          <w:p w14:paraId="08AD3AE4"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372 738</w:t>
            </w:r>
          </w:p>
        </w:tc>
        <w:tc>
          <w:tcPr>
            <w:tcW w:w="1418" w:type="dxa"/>
            <w:tcBorders>
              <w:top w:val="nil"/>
              <w:left w:val="nil"/>
              <w:bottom w:val="single" w:sz="4" w:space="0" w:color="auto"/>
              <w:right w:val="single" w:sz="4" w:space="0" w:color="auto"/>
            </w:tcBorders>
            <w:shd w:val="clear" w:color="auto" w:fill="auto"/>
            <w:noWrap/>
            <w:vAlign w:val="bottom"/>
          </w:tcPr>
          <w:p w14:paraId="78B8ECC7"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379 624</w:t>
            </w:r>
          </w:p>
        </w:tc>
        <w:tc>
          <w:tcPr>
            <w:tcW w:w="1284" w:type="dxa"/>
            <w:tcBorders>
              <w:top w:val="nil"/>
              <w:left w:val="nil"/>
              <w:bottom w:val="single" w:sz="4" w:space="0" w:color="auto"/>
              <w:right w:val="single" w:sz="4" w:space="0" w:color="auto"/>
            </w:tcBorders>
            <w:shd w:val="clear" w:color="auto" w:fill="auto"/>
            <w:noWrap/>
            <w:vAlign w:val="bottom"/>
          </w:tcPr>
          <w:p w14:paraId="69609815"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372 713</w:t>
            </w:r>
          </w:p>
        </w:tc>
        <w:tc>
          <w:tcPr>
            <w:tcW w:w="1267" w:type="dxa"/>
            <w:tcBorders>
              <w:top w:val="nil"/>
              <w:left w:val="nil"/>
              <w:bottom w:val="single" w:sz="4" w:space="0" w:color="auto"/>
              <w:right w:val="single" w:sz="4" w:space="0" w:color="auto"/>
            </w:tcBorders>
            <w:shd w:val="clear" w:color="auto" w:fill="auto"/>
            <w:noWrap/>
            <w:vAlign w:val="bottom"/>
          </w:tcPr>
          <w:p w14:paraId="39B75F55"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6 911</w:t>
            </w:r>
          </w:p>
        </w:tc>
        <w:tc>
          <w:tcPr>
            <w:tcW w:w="1406" w:type="dxa"/>
            <w:tcBorders>
              <w:top w:val="nil"/>
              <w:left w:val="nil"/>
              <w:bottom w:val="single" w:sz="4" w:space="0" w:color="auto"/>
              <w:right w:val="single" w:sz="4" w:space="0" w:color="auto"/>
            </w:tcBorders>
            <w:shd w:val="clear" w:color="auto" w:fill="auto"/>
            <w:noWrap/>
            <w:vAlign w:val="bottom"/>
          </w:tcPr>
          <w:p w14:paraId="4AD10377"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354 958</w:t>
            </w:r>
          </w:p>
        </w:tc>
        <w:tc>
          <w:tcPr>
            <w:tcW w:w="1284" w:type="dxa"/>
            <w:tcBorders>
              <w:top w:val="nil"/>
              <w:left w:val="nil"/>
              <w:bottom w:val="single" w:sz="4" w:space="0" w:color="auto"/>
              <w:right w:val="single" w:sz="4" w:space="0" w:color="auto"/>
            </w:tcBorders>
            <w:shd w:val="clear" w:color="auto" w:fill="auto"/>
            <w:noWrap/>
            <w:vAlign w:val="bottom"/>
          </w:tcPr>
          <w:p w14:paraId="4F7EBFED"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346 819</w:t>
            </w:r>
          </w:p>
        </w:tc>
      </w:tr>
      <w:tr w:rsidR="001E7C39" w:rsidRPr="008D3C26" w14:paraId="611F13D9"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7796FF9" w14:textId="77777777" w:rsidR="001E7C39" w:rsidRPr="008D3C26" w:rsidRDefault="001E7C39" w:rsidP="001E7C39">
            <w:pPr>
              <w:spacing w:after="0" w:line="240" w:lineRule="auto"/>
              <w:rPr>
                <w:rFonts w:ascii="Times New Roman" w:eastAsia="Times New Roman" w:hAnsi="Times New Roman" w:cs="Times New Roman"/>
                <w:bCs/>
                <w:color w:val="000000"/>
                <w:sz w:val="24"/>
                <w:szCs w:val="24"/>
                <w:lang w:eastAsia="en-ZA"/>
              </w:rPr>
            </w:pPr>
            <w:r w:rsidRPr="008D3C26">
              <w:rPr>
                <w:rFonts w:ascii="Times New Roman" w:eastAsia="Times New Roman" w:hAnsi="Times New Roman" w:cs="Times New Roman"/>
                <w:bCs/>
                <w:color w:val="000000"/>
                <w:sz w:val="24"/>
                <w:szCs w:val="24"/>
                <w:lang w:eastAsia="en-ZA"/>
              </w:rPr>
              <w:t>Planning, Policy and Strategy</w:t>
            </w:r>
          </w:p>
        </w:tc>
        <w:tc>
          <w:tcPr>
            <w:tcW w:w="1417" w:type="dxa"/>
            <w:tcBorders>
              <w:top w:val="nil"/>
              <w:left w:val="nil"/>
              <w:bottom w:val="single" w:sz="4" w:space="0" w:color="auto"/>
              <w:right w:val="single" w:sz="4" w:space="0" w:color="auto"/>
            </w:tcBorders>
            <w:shd w:val="clear" w:color="auto" w:fill="auto"/>
            <w:noWrap/>
            <w:vAlign w:val="bottom"/>
          </w:tcPr>
          <w:p w14:paraId="78C97952"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71 584</w:t>
            </w:r>
          </w:p>
        </w:tc>
        <w:tc>
          <w:tcPr>
            <w:tcW w:w="1418" w:type="dxa"/>
            <w:tcBorders>
              <w:top w:val="nil"/>
              <w:left w:val="nil"/>
              <w:bottom w:val="single" w:sz="4" w:space="0" w:color="auto"/>
              <w:right w:val="single" w:sz="4" w:space="0" w:color="auto"/>
            </w:tcBorders>
            <w:shd w:val="clear" w:color="auto" w:fill="auto"/>
            <w:noWrap/>
            <w:vAlign w:val="bottom"/>
          </w:tcPr>
          <w:p w14:paraId="64404522"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71 584</w:t>
            </w:r>
          </w:p>
        </w:tc>
        <w:tc>
          <w:tcPr>
            <w:tcW w:w="1284" w:type="dxa"/>
            <w:tcBorders>
              <w:top w:val="nil"/>
              <w:left w:val="nil"/>
              <w:bottom w:val="single" w:sz="4" w:space="0" w:color="auto"/>
              <w:right w:val="single" w:sz="4" w:space="0" w:color="auto"/>
            </w:tcBorders>
            <w:shd w:val="clear" w:color="auto" w:fill="auto"/>
            <w:noWrap/>
            <w:vAlign w:val="bottom"/>
          </w:tcPr>
          <w:p w14:paraId="10A91D6B"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56 816</w:t>
            </w:r>
          </w:p>
        </w:tc>
        <w:tc>
          <w:tcPr>
            <w:tcW w:w="1267" w:type="dxa"/>
            <w:tcBorders>
              <w:top w:val="nil"/>
              <w:left w:val="nil"/>
              <w:bottom w:val="single" w:sz="4" w:space="0" w:color="auto"/>
              <w:right w:val="single" w:sz="4" w:space="0" w:color="auto"/>
            </w:tcBorders>
            <w:shd w:val="clear" w:color="auto" w:fill="auto"/>
            <w:noWrap/>
            <w:vAlign w:val="bottom"/>
          </w:tcPr>
          <w:p w14:paraId="42DA5335"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14 768</w:t>
            </w:r>
          </w:p>
        </w:tc>
        <w:tc>
          <w:tcPr>
            <w:tcW w:w="1406" w:type="dxa"/>
            <w:tcBorders>
              <w:top w:val="nil"/>
              <w:left w:val="nil"/>
              <w:bottom w:val="single" w:sz="4" w:space="0" w:color="auto"/>
              <w:right w:val="single" w:sz="4" w:space="0" w:color="auto"/>
            </w:tcBorders>
            <w:shd w:val="clear" w:color="auto" w:fill="auto"/>
            <w:noWrap/>
            <w:vAlign w:val="bottom"/>
          </w:tcPr>
          <w:p w14:paraId="4CB70114"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55 249</w:t>
            </w:r>
          </w:p>
        </w:tc>
        <w:tc>
          <w:tcPr>
            <w:tcW w:w="1284" w:type="dxa"/>
            <w:tcBorders>
              <w:top w:val="nil"/>
              <w:left w:val="nil"/>
              <w:bottom w:val="single" w:sz="4" w:space="0" w:color="auto"/>
              <w:right w:val="single" w:sz="4" w:space="0" w:color="auto"/>
            </w:tcBorders>
            <w:shd w:val="clear" w:color="auto" w:fill="auto"/>
            <w:noWrap/>
            <w:vAlign w:val="bottom"/>
          </w:tcPr>
          <w:p w14:paraId="23B13A87"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52 019</w:t>
            </w:r>
          </w:p>
        </w:tc>
      </w:tr>
      <w:tr w:rsidR="001E7C39" w:rsidRPr="008D3C26" w14:paraId="7F009AEF"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0495EA0" w14:textId="77777777" w:rsidR="00BF2C97" w:rsidRPr="008D3C26" w:rsidRDefault="001E7C39" w:rsidP="001E7C39">
            <w:pPr>
              <w:spacing w:after="0" w:line="240" w:lineRule="auto"/>
              <w:rPr>
                <w:rFonts w:ascii="Times New Roman" w:eastAsia="Times New Roman" w:hAnsi="Times New Roman" w:cs="Times New Roman"/>
                <w:bCs/>
                <w:color w:val="000000"/>
                <w:sz w:val="24"/>
                <w:szCs w:val="24"/>
                <w:lang w:eastAsia="en-ZA"/>
              </w:rPr>
            </w:pPr>
            <w:r w:rsidRPr="008D3C26">
              <w:rPr>
                <w:rFonts w:ascii="Times New Roman" w:eastAsia="Times New Roman" w:hAnsi="Times New Roman" w:cs="Times New Roman"/>
                <w:bCs/>
                <w:color w:val="000000"/>
                <w:sz w:val="24"/>
                <w:szCs w:val="24"/>
                <w:lang w:eastAsia="en-ZA"/>
              </w:rPr>
              <w:t xml:space="preserve">University </w:t>
            </w:r>
          </w:p>
          <w:p w14:paraId="19BFDE18" w14:textId="77777777" w:rsidR="001E7C39" w:rsidRPr="008D3C26" w:rsidRDefault="001E7C39" w:rsidP="001E7C39">
            <w:pPr>
              <w:spacing w:after="0" w:line="240" w:lineRule="auto"/>
              <w:rPr>
                <w:rFonts w:ascii="Times New Roman" w:eastAsia="Times New Roman" w:hAnsi="Times New Roman" w:cs="Times New Roman"/>
                <w:bCs/>
                <w:color w:val="000000"/>
                <w:sz w:val="24"/>
                <w:szCs w:val="24"/>
                <w:lang w:eastAsia="en-ZA"/>
              </w:rPr>
            </w:pPr>
            <w:r w:rsidRPr="008D3C26">
              <w:rPr>
                <w:rFonts w:ascii="Times New Roman" w:eastAsia="Times New Roman" w:hAnsi="Times New Roman" w:cs="Times New Roman"/>
                <w:bCs/>
                <w:color w:val="000000"/>
                <w:sz w:val="24"/>
                <w:szCs w:val="24"/>
                <w:lang w:eastAsia="en-ZA"/>
              </w:rPr>
              <w:t>Education</w:t>
            </w:r>
          </w:p>
          <w:p w14:paraId="70B7FA83" w14:textId="77777777" w:rsidR="00BF2C97" w:rsidRPr="008D3C26" w:rsidRDefault="00BF2C97" w:rsidP="001E7C39">
            <w:pPr>
              <w:spacing w:after="0" w:line="240" w:lineRule="auto"/>
              <w:rPr>
                <w:rFonts w:ascii="Times New Roman" w:eastAsia="Times New Roman" w:hAnsi="Times New Roman" w:cs="Times New Roman"/>
                <w:bCs/>
                <w:color w:val="000000"/>
                <w:sz w:val="24"/>
                <w:szCs w:val="24"/>
                <w:lang w:eastAsia="en-ZA"/>
              </w:rPr>
            </w:pPr>
          </w:p>
        </w:tc>
        <w:tc>
          <w:tcPr>
            <w:tcW w:w="1417" w:type="dxa"/>
            <w:tcBorders>
              <w:top w:val="nil"/>
              <w:left w:val="nil"/>
              <w:bottom w:val="single" w:sz="4" w:space="0" w:color="auto"/>
              <w:right w:val="single" w:sz="4" w:space="0" w:color="auto"/>
            </w:tcBorders>
            <w:shd w:val="clear" w:color="auto" w:fill="auto"/>
            <w:noWrap/>
            <w:vAlign w:val="bottom"/>
          </w:tcPr>
          <w:p w14:paraId="5D1259D9"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39 532</w:t>
            </w:r>
            <w:r w:rsidR="003F3BA0" w:rsidRPr="008D3C26">
              <w:rPr>
                <w:rFonts w:ascii="Times New Roman" w:eastAsia="Times New Roman" w:hAnsi="Times New Roman" w:cs="Times New Roman"/>
                <w:color w:val="000000"/>
                <w:sz w:val="24"/>
                <w:szCs w:val="24"/>
                <w:lang w:eastAsia="en-ZA"/>
              </w:rPr>
              <w:t> </w:t>
            </w:r>
            <w:r w:rsidRPr="008D3C26">
              <w:rPr>
                <w:rFonts w:ascii="Times New Roman" w:eastAsia="Times New Roman" w:hAnsi="Times New Roman" w:cs="Times New Roman"/>
                <w:color w:val="000000"/>
                <w:sz w:val="24"/>
                <w:szCs w:val="24"/>
                <w:lang w:eastAsia="en-ZA"/>
              </w:rPr>
              <w:t>493</w:t>
            </w:r>
          </w:p>
          <w:p w14:paraId="240DB938" w14:textId="77777777" w:rsidR="003F3BA0" w:rsidRPr="008D3C26" w:rsidRDefault="003F3BA0" w:rsidP="00765488">
            <w:pPr>
              <w:spacing w:after="0" w:line="240" w:lineRule="auto"/>
              <w:jc w:val="center"/>
              <w:rPr>
                <w:rFonts w:ascii="Times New Roman" w:eastAsia="Times New Roman" w:hAnsi="Times New Roman" w:cs="Times New Roman"/>
                <w:color w:val="000000"/>
                <w:sz w:val="24"/>
                <w:szCs w:val="24"/>
                <w:lang w:eastAsia="en-ZA"/>
              </w:rPr>
            </w:pPr>
          </w:p>
        </w:tc>
        <w:tc>
          <w:tcPr>
            <w:tcW w:w="1418" w:type="dxa"/>
            <w:tcBorders>
              <w:top w:val="nil"/>
              <w:left w:val="nil"/>
              <w:bottom w:val="single" w:sz="4" w:space="0" w:color="auto"/>
              <w:right w:val="single" w:sz="4" w:space="0" w:color="auto"/>
            </w:tcBorders>
            <w:shd w:val="clear" w:color="auto" w:fill="auto"/>
            <w:noWrap/>
            <w:vAlign w:val="bottom"/>
          </w:tcPr>
          <w:p w14:paraId="3D875596"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39 531</w:t>
            </w:r>
            <w:r w:rsidR="003F3BA0" w:rsidRPr="008D3C26">
              <w:rPr>
                <w:rFonts w:ascii="Times New Roman" w:eastAsia="Times New Roman" w:hAnsi="Times New Roman" w:cs="Times New Roman"/>
                <w:color w:val="000000"/>
                <w:sz w:val="24"/>
                <w:szCs w:val="24"/>
                <w:lang w:eastAsia="en-ZA"/>
              </w:rPr>
              <w:t> </w:t>
            </w:r>
            <w:r w:rsidRPr="008D3C26">
              <w:rPr>
                <w:rFonts w:ascii="Times New Roman" w:eastAsia="Times New Roman" w:hAnsi="Times New Roman" w:cs="Times New Roman"/>
                <w:color w:val="000000"/>
                <w:sz w:val="24"/>
                <w:szCs w:val="24"/>
                <w:lang w:eastAsia="en-ZA"/>
              </w:rPr>
              <w:t>687</w:t>
            </w:r>
          </w:p>
          <w:p w14:paraId="0BEB36D5" w14:textId="77777777" w:rsidR="003F3BA0" w:rsidRPr="008D3C26" w:rsidRDefault="003F3BA0" w:rsidP="00765488">
            <w:pPr>
              <w:spacing w:after="0" w:line="240" w:lineRule="auto"/>
              <w:jc w:val="center"/>
              <w:rPr>
                <w:rFonts w:ascii="Times New Roman" w:eastAsia="Times New Roman" w:hAnsi="Times New Roman" w:cs="Times New Roman"/>
                <w:color w:val="000000"/>
                <w:sz w:val="24"/>
                <w:szCs w:val="24"/>
                <w:lang w:eastAsia="en-ZA"/>
              </w:rPr>
            </w:pPr>
          </w:p>
        </w:tc>
        <w:tc>
          <w:tcPr>
            <w:tcW w:w="1284" w:type="dxa"/>
            <w:tcBorders>
              <w:top w:val="nil"/>
              <w:left w:val="nil"/>
              <w:bottom w:val="single" w:sz="4" w:space="0" w:color="auto"/>
              <w:right w:val="single" w:sz="4" w:space="0" w:color="auto"/>
            </w:tcBorders>
            <w:shd w:val="clear" w:color="auto" w:fill="auto"/>
            <w:noWrap/>
            <w:vAlign w:val="bottom"/>
          </w:tcPr>
          <w:p w14:paraId="59A34CF7"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39 515</w:t>
            </w:r>
            <w:r w:rsidR="003F3BA0" w:rsidRPr="008D3C26">
              <w:rPr>
                <w:rFonts w:ascii="Times New Roman" w:eastAsia="Times New Roman" w:hAnsi="Times New Roman" w:cs="Times New Roman"/>
                <w:color w:val="000000"/>
                <w:sz w:val="24"/>
                <w:szCs w:val="24"/>
                <w:lang w:eastAsia="en-ZA"/>
              </w:rPr>
              <w:t> </w:t>
            </w:r>
            <w:r w:rsidRPr="008D3C26">
              <w:rPr>
                <w:rFonts w:ascii="Times New Roman" w:eastAsia="Times New Roman" w:hAnsi="Times New Roman" w:cs="Times New Roman"/>
                <w:color w:val="000000"/>
                <w:sz w:val="24"/>
                <w:szCs w:val="24"/>
                <w:lang w:eastAsia="en-ZA"/>
              </w:rPr>
              <w:t>718</w:t>
            </w:r>
          </w:p>
          <w:p w14:paraId="68CC736C" w14:textId="77777777" w:rsidR="003F3BA0" w:rsidRPr="008D3C26" w:rsidRDefault="003F3BA0" w:rsidP="00765488">
            <w:pPr>
              <w:spacing w:after="0" w:line="240" w:lineRule="auto"/>
              <w:jc w:val="center"/>
              <w:rPr>
                <w:rFonts w:ascii="Times New Roman" w:eastAsia="Times New Roman" w:hAnsi="Times New Roman" w:cs="Times New Roman"/>
                <w:color w:val="000000"/>
                <w:sz w:val="24"/>
                <w:szCs w:val="24"/>
                <w:lang w:eastAsia="en-ZA"/>
              </w:rPr>
            </w:pPr>
          </w:p>
        </w:tc>
        <w:tc>
          <w:tcPr>
            <w:tcW w:w="1267" w:type="dxa"/>
            <w:tcBorders>
              <w:top w:val="nil"/>
              <w:left w:val="nil"/>
              <w:bottom w:val="single" w:sz="4" w:space="0" w:color="auto"/>
              <w:right w:val="single" w:sz="4" w:space="0" w:color="auto"/>
            </w:tcBorders>
            <w:shd w:val="clear" w:color="auto" w:fill="auto"/>
            <w:noWrap/>
            <w:vAlign w:val="bottom"/>
          </w:tcPr>
          <w:p w14:paraId="0674F252"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15</w:t>
            </w:r>
            <w:r w:rsidR="003F3BA0" w:rsidRPr="008D3C26">
              <w:rPr>
                <w:rFonts w:ascii="Times New Roman" w:eastAsia="Times New Roman" w:hAnsi="Times New Roman" w:cs="Times New Roman"/>
                <w:color w:val="000000"/>
                <w:sz w:val="24"/>
                <w:szCs w:val="24"/>
                <w:lang w:eastAsia="en-ZA"/>
              </w:rPr>
              <w:t> </w:t>
            </w:r>
            <w:r w:rsidRPr="008D3C26">
              <w:rPr>
                <w:rFonts w:ascii="Times New Roman" w:eastAsia="Times New Roman" w:hAnsi="Times New Roman" w:cs="Times New Roman"/>
                <w:color w:val="000000"/>
                <w:sz w:val="24"/>
                <w:szCs w:val="24"/>
                <w:lang w:eastAsia="en-ZA"/>
              </w:rPr>
              <w:t>969</w:t>
            </w:r>
          </w:p>
          <w:p w14:paraId="4F80DF79" w14:textId="77777777" w:rsidR="003F3BA0" w:rsidRPr="008D3C26" w:rsidRDefault="003F3BA0" w:rsidP="00765488">
            <w:pPr>
              <w:spacing w:after="0" w:line="240" w:lineRule="auto"/>
              <w:jc w:val="center"/>
              <w:rPr>
                <w:rFonts w:ascii="Times New Roman" w:eastAsia="Times New Roman" w:hAnsi="Times New Roman" w:cs="Times New Roman"/>
                <w:color w:val="000000"/>
                <w:sz w:val="24"/>
                <w:szCs w:val="24"/>
                <w:lang w:eastAsia="en-ZA"/>
              </w:rPr>
            </w:pPr>
          </w:p>
        </w:tc>
        <w:tc>
          <w:tcPr>
            <w:tcW w:w="1406" w:type="dxa"/>
            <w:tcBorders>
              <w:top w:val="nil"/>
              <w:left w:val="nil"/>
              <w:bottom w:val="single" w:sz="4" w:space="0" w:color="auto"/>
              <w:right w:val="single" w:sz="4" w:space="0" w:color="auto"/>
            </w:tcBorders>
            <w:shd w:val="clear" w:color="auto" w:fill="auto"/>
            <w:noWrap/>
            <w:vAlign w:val="bottom"/>
          </w:tcPr>
          <w:p w14:paraId="1E09FAD4" w14:textId="77777777" w:rsidR="009B568A" w:rsidRPr="008D3C26" w:rsidRDefault="009B568A" w:rsidP="009B568A">
            <w:pPr>
              <w:pStyle w:val="Pa35"/>
              <w:jc w:val="center"/>
              <w:rPr>
                <w:rFonts w:ascii="Times New Roman" w:hAnsi="Times New Roman" w:cs="Times New Roman"/>
                <w:color w:val="000000"/>
              </w:rPr>
            </w:pPr>
          </w:p>
          <w:p w14:paraId="7FE850A2" w14:textId="77777777" w:rsidR="009B568A" w:rsidRPr="008D3C26" w:rsidRDefault="009B568A" w:rsidP="009B568A">
            <w:pPr>
              <w:pStyle w:val="Pa35"/>
              <w:jc w:val="center"/>
              <w:rPr>
                <w:rFonts w:ascii="Times New Roman" w:hAnsi="Times New Roman" w:cs="Times New Roman"/>
                <w:color w:val="000000"/>
              </w:rPr>
            </w:pPr>
          </w:p>
          <w:p w14:paraId="0E6A4AD8" w14:textId="77777777" w:rsidR="003F3BA0" w:rsidRPr="008D3C26" w:rsidRDefault="003F3BA0" w:rsidP="009B568A">
            <w:pPr>
              <w:pStyle w:val="Pa35"/>
              <w:jc w:val="center"/>
              <w:rPr>
                <w:rFonts w:ascii="Times New Roman" w:hAnsi="Times New Roman" w:cs="Times New Roman"/>
                <w:color w:val="000000"/>
              </w:rPr>
            </w:pPr>
          </w:p>
          <w:p w14:paraId="1EC5FAD7" w14:textId="77777777" w:rsidR="009B568A" w:rsidRPr="008D3C26" w:rsidRDefault="009B568A" w:rsidP="009B568A">
            <w:pPr>
              <w:pStyle w:val="Pa35"/>
              <w:jc w:val="center"/>
              <w:rPr>
                <w:rFonts w:ascii="Times New Roman" w:hAnsi="Times New Roman" w:cs="Times New Roman"/>
                <w:color w:val="000000"/>
              </w:rPr>
            </w:pPr>
            <w:r w:rsidRPr="008D3C26">
              <w:rPr>
                <w:rFonts w:ascii="Times New Roman" w:hAnsi="Times New Roman" w:cs="Times New Roman"/>
                <w:color w:val="000000"/>
              </w:rPr>
              <w:t xml:space="preserve">32 847 445 </w:t>
            </w:r>
          </w:p>
          <w:p w14:paraId="2C34D0B1"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p>
        </w:tc>
        <w:tc>
          <w:tcPr>
            <w:tcW w:w="1284" w:type="dxa"/>
            <w:tcBorders>
              <w:top w:val="nil"/>
              <w:left w:val="nil"/>
              <w:bottom w:val="single" w:sz="4" w:space="0" w:color="auto"/>
              <w:right w:val="single" w:sz="4" w:space="0" w:color="auto"/>
            </w:tcBorders>
            <w:shd w:val="clear" w:color="auto" w:fill="auto"/>
            <w:noWrap/>
            <w:vAlign w:val="bottom"/>
          </w:tcPr>
          <w:p w14:paraId="0136CDD4" w14:textId="77777777" w:rsidR="009B568A" w:rsidRPr="008D3C26" w:rsidRDefault="009B568A" w:rsidP="009B568A">
            <w:pPr>
              <w:pStyle w:val="Pa35"/>
              <w:jc w:val="center"/>
              <w:rPr>
                <w:rFonts w:ascii="Times New Roman" w:hAnsi="Times New Roman" w:cs="Times New Roman"/>
                <w:color w:val="000000"/>
              </w:rPr>
            </w:pPr>
          </w:p>
          <w:p w14:paraId="2E82E1FC" w14:textId="77777777" w:rsidR="009B568A" w:rsidRPr="008D3C26" w:rsidRDefault="009B568A" w:rsidP="009B568A">
            <w:pPr>
              <w:pStyle w:val="Pa35"/>
              <w:jc w:val="center"/>
              <w:rPr>
                <w:rFonts w:ascii="Times New Roman" w:hAnsi="Times New Roman" w:cs="Times New Roman"/>
                <w:color w:val="000000"/>
              </w:rPr>
            </w:pPr>
            <w:r w:rsidRPr="008D3C26">
              <w:rPr>
                <w:rFonts w:ascii="Times New Roman" w:hAnsi="Times New Roman" w:cs="Times New Roman"/>
                <w:color w:val="000000"/>
              </w:rPr>
              <w:t xml:space="preserve">32 844 629 </w:t>
            </w:r>
          </w:p>
          <w:p w14:paraId="6E243B37"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p>
        </w:tc>
      </w:tr>
      <w:tr w:rsidR="001E7C39" w:rsidRPr="008D3C26" w14:paraId="7A2E59D3"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44C546" w14:textId="77777777" w:rsidR="001E7C39" w:rsidRPr="008D3C26" w:rsidRDefault="001E7C39" w:rsidP="001E7C39">
            <w:pPr>
              <w:spacing w:after="0" w:line="240" w:lineRule="auto"/>
              <w:rPr>
                <w:rFonts w:ascii="Times New Roman" w:eastAsia="Times New Roman" w:hAnsi="Times New Roman" w:cs="Times New Roman"/>
                <w:bCs/>
                <w:color w:val="000000"/>
                <w:sz w:val="24"/>
                <w:szCs w:val="24"/>
                <w:lang w:eastAsia="en-ZA"/>
              </w:rPr>
            </w:pPr>
            <w:r w:rsidRPr="008D3C26">
              <w:rPr>
                <w:rFonts w:ascii="Times New Roman" w:eastAsia="Times New Roman" w:hAnsi="Times New Roman" w:cs="Times New Roman"/>
                <w:bCs/>
                <w:color w:val="000000"/>
                <w:sz w:val="24"/>
                <w:szCs w:val="24"/>
                <w:lang w:eastAsia="en-ZA"/>
              </w:rPr>
              <w:t>Technical and Vocational Education and Training</w:t>
            </w:r>
          </w:p>
        </w:tc>
        <w:tc>
          <w:tcPr>
            <w:tcW w:w="1417" w:type="dxa"/>
            <w:tcBorders>
              <w:top w:val="nil"/>
              <w:left w:val="nil"/>
              <w:bottom w:val="single" w:sz="4" w:space="0" w:color="auto"/>
              <w:right w:val="single" w:sz="4" w:space="0" w:color="auto"/>
            </w:tcBorders>
            <w:shd w:val="clear" w:color="auto" w:fill="auto"/>
            <w:noWrap/>
            <w:vAlign w:val="bottom"/>
          </w:tcPr>
          <w:p w14:paraId="4A50F169"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6 960 244</w:t>
            </w:r>
          </w:p>
        </w:tc>
        <w:tc>
          <w:tcPr>
            <w:tcW w:w="1418" w:type="dxa"/>
            <w:tcBorders>
              <w:top w:val="nil"/>
              <w:left w:val="nil"/>
              <w:bottom w:val="single" w:sz="4" w:space="0" w:color="auto"/>
              <w:right w:val="single" w:sz="4" w:space="0" w:color="auto"/>
            </w:tcBorders>
            <w:shd w:val="clear" w:color="auto" w:fill="auto"/>
            <w:noWrap/>
            <w:vAlign w:val="bottom"/>
          </w:tcPr>
          <w:p w14:paraId="1E4A20F6"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7 031 622</w:t>
            </w:r>
          </w:p>
        </w:tc>
        <w:tc>
          <w:tcPr>
            <w:tcW w:w="1284" w:type="dxa"/>
            <w:tcBorders>
              <w:top w:val="nil"/>
              <w:left w:val="nil"/>
              <w:bottom w:val="single" w:sz="4" w:space="0" w:color="auto"/>
              <w:right w:val="single" w:sz="4" w:space="0" w:color="auto"/>
            </w:tcBorders>
            <w:shd w:val="clear" w:color="auto" w:fill="auto"/>
            <w:noWrap/>
            <w:vAlign w:val="bottom"/>
          </w:tcPr>
          <w:p w14:paraId="1CDF52B7"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7 029 987</w:t>
            </w:r>
          </w:p>
        </w:tc>
        <w:tc>
          <w:tcPr>
            <w:tcW w:w="1267" w:type="dxa"/>
            <w:tcBorders>
              <w:top w:val="nil"/>
              <w:left w:val="nil"/>
              <w:bottom w:val="single" w:sz="4" w:space="0" w:color="auto"/>
              <w:right w:val="single" w:sz="4" w:space="0" w:color="auto"/>
            </w:tcBorders>
            <w:shd w:val="clear" w:color="auto" w:fill="auto"/>
            <w:noWrap/>
            <w:vAlign w:val="bottom"/>
          </w:tcPr>
          <w:p w14:paraId="3E74E5B0"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1 635</w:t>
            </w:r>
          </w:p>
        </w:tc>
        <w:tc>
          <w:tcPr>
            <w:tcW w:w="1406" w:type="dxa"/>
            <w:tcBorders>
              <w:top w:val="nil"/>
              <w:left w:val="nil"/>
              <w:bottom w:val="single" w:sz="4" w:space="0" w:color="auto"/>
              <w:right w:val="single" w:sz="4" w:space="0" w:color="auto"/>
            </w:tcBorders>
            <w:shd w:val="clear" w:color="auto" w:fill="auto"/>
            <w:noWrap/>
            <w:vAlign w:val="bottom"/>
          </w:tcPr>
          <w:p w14:paraId="259C550D"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6 606 250</w:t>
            </w:r>
          </w:p>
        </w:tc>
        <w:tc>
          <w:tcPr>
            <w:tcW w:w="1284" w:type="dxa"/>
            <w:tcBorders>
              <w:top w:val="nil"/>
              <w:left w:val="nil"/>
              <w:bottom w:val="single" w:sz="4" w:space="0" w:color="auto"/>
              <w:right w:val="single" w:sz="4" w:space="0" w:color="auto"/>
            </w:tcBorders>
            <w:shd w:val="clear" w:color="auto" w:fill="auto"/>
            <w:noWrap/>
            <w:vAlign w:val="bottom"/>
          </w:tcPr>
          <w:p w14:paraId="79778B77"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6 604 810</w:t>
            </w:r>
          </w:p>
        </w:tc>
      </w:tr>
      <w:tr w:rsidR="001E7C39" w:rsidRPr="008D3C26" w14:paraId="4A725BDE"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38EEC2" w14:textId="77777777" w:rsidR="001E7C39" w:rsidRPr="008D3C26" w:rsidRDefault="001E7C39" w:rsidP="001E7C39">
            <w:pPr>
              <w:spacing w:after="0" w:line="240" w:lineRule="auto"/>
              <w:rPr>
                <w:rFonts w:ascii="Times New Roman" w:eastAsia="Times New Roman" w:hAnsi="Times New Roman" w:cs="Times New Roman"/>
                <w:bCs/>
                <w:color w:val="000000"/>
                <w:sz w:val="24"/>
                <w:szCs w:val="24"/>
                <w:lang w:eastAsia="en-ZA"/>
              </w:rPr>
            </w:pPr>
            <w:r w:rsidRPr="008D3C26">
              <w:rPr>
                <w:rFonts w:ascii="Times New Roman" w:eastAsia="Times New Roman" w:hAnsi="Times New Roman" w:cs="Times New Roman"/>
                <w:bCs/>
                <w:color w:val="000000"/>
                <w:sz w:val="24"/>
                <w:szCs w:val="24"/>
                <w:lang w:eastAsia="en-ZA"/>
              </w:rPr>
              <w:t>Skills Development</w:t>
            </w:r>
          </w:p>
        </w:tc>
        <w:tc>
          <w:tcPr>
            <w:tcW w:w="1417" w:type="dxa"/>
            <w:tcBorders>
              <w:top w:val="nil"/>
              <w:left w:val="nil"/>
              <w:bottom w:val="single" w:sz="4" w:space="0" w:color="auto"/>
              <w:right w:val="single" w:sz="4" w:space="0" w:color="auto"/>
            </w:tcBorders>
            <w:shd w:val="clear" w:color="auto" w:fill="auto"/>
            <w:noWrap/>
            <w:vAlign w:val="bottom"/>
          </w:tcPr>
          <w:p w14:paraId="262C731A"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181 443</w:t>
            </w:r>
          </w:p>
        </w:tc>
        <w:tc>
          <w:tcPr>
            <w:tcW w:w="1418" w:type="dxa"/>
            <w:tcBorders>
              <w:top w:val="nil"/>
              <w:left w:val="nil"/>
              <w:bottom w:val="single" w:sz="4" w:space="0" w:color="auto"/>
              <w:right w:val="single" w:sz="4" w:space="0" w:color="auto"/>
            </w:tcBorders>
            <w:shd w:val="clear" w:color="auto" w:fill="auto"/>
            <w:noWrap/>
            <w:vAlign w:val="bottom"/>
          </w:tcPr>
          <w:p w14:paraId="12487222"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181 443</w:t>
            </w:r>
          </w:p>
        </w:tc>
        <w:tc>
          <w:tcPr>
            <w:tcW w:w="1284" w:type="dxa"/>
            <w:tcBorders>
              <w:top w:val="nil"/>
              <w:left w:val="nil"/>
              <w:bottom w:val="single" w:sz="4" w:space="0" w:color="auto"/>
              <w:right w:val="single" w:sz="4" w:space="0" w:color="auto"/>
            </w:tcBorders>
            <w:shd w:val="clear" w:color="auto" w:fill="auto"/>
            <w:noWrap/>
            <w:vAlign w:val="bottom"/>
          </w:tcPr>
          <w:p w14:paraId="004F32FC"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180 635</w:t>
            </w:r>
          </w:p>
        </w:tc>
        <w:tc>
          <w:tcPr>
            <w:tcW w:w="1267" w:type="dxa"/>
            <w:tcBorders>
              <w:top w:val="nil"/>
              <w:left w:val="nil"/>
              <w:bottom w:val="single" w:sz="4" w:space="0" w:color="auto"/>
              <w:right w:val="single" w:sz="4" w:space="0" w:color="auto"/>
            </w:tcBorders>
            <w:shd w:val="clear" w:color="auto" w:fill="auto"/>
            <w:noWrap/>
            <w:vAlign w:val="bottom"/>
          </w:tcPr>
          <w:p w14:paraId="79639C99"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808</w:t>
            </w:r>
          </w:p>
        </w:tc>
        <w:tc>
          <w:tcPr>
            <w:tcW w:w="1406" w:type="dxa"/>
            <w:tcBorders>
              <w:top w:val="nil"/>
              <w:left w:val="nil"/>
              <w:bottom w:val="single" w:sz="4" w:space="0" w:color="auto"/>
              <w:right w:val="single" w:sz="4" w:space="0" w:color="auto"/>
            </w:tcBorders>
            <w:shd w:val="clear" w:color="auto" w:fill="auto"/>
            <w:noWrap/>
            <w:vAlign w:val="bottom"/>
          </w:tcPr>
          <w:p w14:paraId="7D7B9C7B"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123 547</w:t>
            </w:r>
          </w:p>
        </w:tc>
        <w:tc>
          <w:tcPr>
            <w:tcW w:w="1284" w:type="dxa"/>
            <w:tcBorders>
              <w:top w:val="nil"/>
              <w:left w:val="nil"/>
              <w:bottom w:val="single" w:sz="4" w:space="0" w:color="auto"/>
              <w:right w:val="single" w:sz="4" w:space="0" w:color="auto"/>
            </w:tcBorders>
            <w:shd w:val="clear" w:color="auto" w:fill="auto"/>
            <w:noWrap/>
            <w:vAlign w:val="bottom"/>
          </w:tcPr>
          <w:p w14:paraId="0A2F0F80"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122 898</w:t>
            </w:r>
          </w:p>
        </w:tc>
      </w:tr>
      <w:tr w:rsidR="001E7C39" w:rsidRPr="008D3C26" w14:paraId="49F1C970"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3B4099" w14:textId="77777777" w:rsidR="001E7C39" w:rsidRPr="008D3C26" w:rsidRDefault="001E7C39" w:rsidP="001E7C39">
            <w:pPr>
              <w:spacing w:after="0" w:line="240" w:lineRule="auto"/>
              <w:rPr>
                <w:rFonts w:ascii="Times New Roman" w:eastAsia="Times New Roman" w:hAnsi="Times New Roman" w:cs="Times New Roman"/>
                <w:bCs/>
                <w:color w:val="000000"/>
                <w:sz w:val="24"/>
                <w:szCs w:val="24"/>
                <w:lang w:eastAsia="en-ZA"/>
              </w:rPr>
            </w:pPr>
            <w:r w:rsidRPr="008D3C26">
              <w:rPr>
                <w:rFonts w:ascii="Times New Roman" w:eastAsia="Times New Roman" w:hAnsi="Times New Roman" w:cs="Times New Roman"/>
                <w:bCs/>
                <w:color w:val="000000"/>
                <w:sz w:val="24"/>
                <w:szCs w:val="24"/>
                <w:lang w:eastAsia="en-ZA"/>
              </w:rPr>
              <w:t>Community Education and Training</w:t>
            </w:r>
          </w:p>
        </w:tc>
        <w:tc>
          <w:tcPr>
            <w:tcW w:w="1417" w:type="dxa"/>
            <w:tcBorders>
              <w:top w:val="nil"/>
              <w:left w:val="nil"/>
              <w:bottom w:val="single" w:sz="4" w:space="0" w:color="auto"/>
              <w:right w:val="single" w:sz="4" w:space="0" w:color="auto"/>
            </w:tcBorders>
            <w:shd w:val="clear" w:color="auto" w:fill="auto"/>
            <w:noWrap/>
            <w:vAlign w:val="bottom"/>
          </w:tcPr>
          <w:p w14:paraId="1C29E51B"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2 069 777</w:t>
            </w:r>
          </w:p>
        </w:tc>
        <w:tc>
          <w:tcPr>
            <w:tcW w:w="1418" w:type="dxa"/>
            <w:tcBorders>
              <w:top w:val="nil"/>
              <w:left w:val="nil"/>
              <w:bottom w:val="single" w:sz="4" w:space="0" w:color="auto"/>
              <w:right w:val="single" w:sz="4" w:space="0" w:color="auto"/>
            </w:tcBorders>
            <w:shd w:val="clear" w:color="auto" w:fill="auto"/>
            <w:noWrap/>
            <w:vAlign w:val="bottom"/>
          </w:tcPr>
          <w:p w14:paraId="0E470724"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1 992 319</w:t>
            </w:r>
          </w:p>
        </w:tc>
        <w:tc>
          <w:tcPr>
            <w:tcW w:w="1284" w:type="dxa"/>
            <w:tcBorders>
              <w:top w:val="nil"/>
              <w:left w:val="nil"/>
              <w:bottom w:val="single" w:sz="4" w:space="0" w:color="auto"/>
              <w:right w:val="single" w:sz="4" w:space="0" w:color="auto"/>
            </w:tcBorders>
            <w:shd w:val="clear" w:color="auto" w:fill="auto"/>
            <w:noWrap/>
            <w:vAlign w:val="bottom"/>
          </w:tcPr>
          <w:p w14:paraId="55E9AABF"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1 981 693</w:t>
            </w:r>
          </w:p>
        </w:tc>
        <w:tc>
          <w:tcPr>
            <w:tcW w:w="1267" w:type="dxa"/>
            <w:tcBorders>
              <w:top w:val="nil"/>
              <w:left w:val="nil"/>
              <w:bottom w:val="single" w:sz="4" w:space="0" w:color="auto"/>
              <w:right w:val="single" w:sz="4" w:space="0" w:color="auto"/>
            </w:tcBorders>
            <w:shd w:val="clear" w:color="auto" w:fill="auto"/>
            <w:noWrap/>
            <w:vAlign w:val="bottom"/>
          </w:tcPr>
          <w:p w14:paraId="004843D9"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10 626</w:t>
            </w:r>
          </w:p>
        </w:tc>
        <w:tc>
          <w:tcPr>
            <w:tcW w:w="1406" w:type="dxa"/>
            <w:tcBorders>
              <w:top w:val="nil"/>
              <w:left w:val="nil"/>
              <w:bottom w:val="single" w:sz="4" w:space="0" w:color="auto"/>
              <w:right w:val="single" w:sz="4" w:space="0" w:color="auto"/>
            </w:tcBorders>
            <w:shd w:val="clear" w:color="auto" w:fill="auto"/>
            <w:noWrap/>
            <w:vAlign w:val="bottom"/>
          </w:tcPr>
          <w:p w14:paraId="6F5F82DE"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1 892 689</w:t>
            </w:r>
          </w:p>
        </w:tc>
        <w:tc>
          <w:tcPr>
            <w:tcW w:w="1284" w:type="dxa"/>
            <w:tcBorders>
              <w:top w:val="nil"/>
              <w:left w:val="nil"/>
              <w:bottom w:val="single" w:sz="4" w:space="0" w:color="auto"/>
              <w:right w:val="single" w:sz="4" w:space="0" w:color="auto"/>
            </w:tcBorders>
            <w:shd w:val="clear" w:color="auto" w:fill="auto"/>
            <w:noWrap/>
            <w:vAlign w:val="bottom"/>
          </w:tcPr>
          <w:p w14:paraId="3E2C70D7" w14:textId="77777777" w:rsidR="001E7C39" w:rsidRPr="008D3C26" w:rsidRDefault="001E7C3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1 824 379</w:t>
            </w:r>
          </w:p>
        </w:tc>
      </w:tr>
      <w:tr w:rsidR="001E7C39" w:rsidRPr="008D3C26" w14:paraId="2A25B168"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C9A5A7" w14:textId="77777777" w:rsidR="001E7C39" w:rsidRPr="008D3C26" w:rsidRDefault="003D5FED" w:rsidP="003D5FED">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Programme sub-t</w:t>
            </w:r>
            <w:r w:rsidR="001E7C39" w:rsidRPr="008D3C26">
              <w:rPr>
                <w:rFonts w:ascii="Times New Roman" w:eastAsia="Times New Roman" w:hAnsi="Times New Roman" w:cs="Times New Roman"/>
                <w:b/>
                <w:bCs/>
                <w:color w:val="000000"/>
                <w:sz w:val="24"/>
                <w:szCs w:val="24"/>
                <w:lang w:eastAsia="en-ZA"/>
              </w:rPr>
              <w:t>otal</w:t>
            </w:r>
          </w:p>
        </w:tc>
        <w:tc>
          <w:tcPr>
            <w:tcW w:w="1417" w:type="dxa"/>
            <w:tcBorders>
              <w:top w:val="nil"/>
              <w:left w:val="nil"/>
              <w:bottom w:val="single" w:sz="4" w:space="0" w:color="auto"/>
              <w:right w:val="single" w:sz="4" w:space="0" w:color="auto"/>
            </w:tcBorders>
            <w:shd w:val="clear" w:color="auto" w:fill="auto"/>
            <w:noWrap/>
            <w:vAlign w:val="bottom"/>
          </w:tcPr>
          <w:p w14:paraId="61E4DAF2"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49 188 279</w:t>
            </w:r>
          </w:p>
        </w:tc>
        <w:tc>
          <w:tcPr>
            <w:tcW w:w="1418" w:type="dxa"/>
            <w:tcBorders>
              <w:top w:val="nil"/>
              <w:left w:val="nil"/>
              <w:bottom w:val="single" w:sz="4" w:space="0" w:color="auto"/>
              <w:right w:val="single" w:sz="4" w:space="0" w:color="auto"/>
            </w:tcBorders>
            <w:shd w:val="clear" w:color="auto" w:fill="auto"/>
            <w:noWrap/>
            <w:vAlign w:val="bottom"/>
          </w:tcPr>
          <w:p w14:paraId="23B0699B"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49 188 279</w:t>
            </w:r>
          </w:p>
        </w:tc>
        <w:tc>
          <w:tcPr>
            <w:tcW w:w="1284" w:type="dxa"/>
            <w:tcBorders>
              <w:top w:val="nil"/>
              <w:left w:val="nil"/>
              <w:bottom w:val="single" w:sz="4" w:space="0" w:color="auto"/>
              <w:right w:val="single" w:sz="4" w:space="0" w:color="auto"/>
            </w:tcBorders>
            <w:shd w:val="clear" w:color="auto" w:fill="auto"/>
            <w:noWrap/>
            <w:vAlign w:val="bottom"/>
          </w:tcPr>
          <w:p w14:paraId="41D0242B"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49 137 562</w:t>
            </w:r>
          </w:p>
        </w:tc>
        <w:tc>
          <w:tcPr>
            <w:tcW w:w="1267" w:type="dxa"/>
            <w:tcBorders>
              <w:top w:val="nil"/>
              <w:left w:val="nil"/>
              <w:bottom w:val="single" w:sz="4" w:space="0" w:color="auto"/>
              <w:right w:val="single" w:sz="4" w:space="0" w:color="auto"/>
            </w:tcBorders>
            <w:shd w:val="clear" w:color="auto" w:fill="auto"/>
            <w:noWrap/>
            <w:vAlign w:val="bottom"/>
          </w:tcPr>
          <w:p w14:paraId="69085CB0"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50 717</w:t>
            </w:r>
          </w:p>
        </w:tc>
        <w:tc>
          <w:tcPr>
            <w:tcW w:w="1406" w:type="dxa"/>
            <w:tcBorders>
              <w:top w:val="nil"/>
              <w:left w:val="nil"/>
              <w:bottom w:val="single" w:sz="4" w:space="0" w:color="auto"/>
              <w:right w:val="single" w:sz="4" w:space="0" w:color="auto"/>
            </w:tcBorders>
            <w:shd w:val="clear" w:color="auto" w:fill="auto"/>
            <w:noWrap/>
            <w:vAlign w:val="bottom"/>
          </w:tcPr>
          <w:p w14:paraId="00D8A854"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41 880 138</w:t>
            </w:r>
          </w:p>
        </w:tc>
        <w:tc>
          <w:tcPr>
            <w:tcW w:w="1284" w:type="dxa"/>
            <w:tcBorders>
              <w:top w:val="nil"/>
              <w:left w:val="nil"/>
              <w:bottom w:val="single" w:sz="4" w:space="0" w:color="auto"/>
              <w:right w:val="single" w:sz="4" w:space="0" w:color="auto"/>
            </w:tcBorders>
            <w:shd w:val="clear" w:color="auto" w:fill="auto"/>
            <w:noWrap/>
            <w:vAlign w:val="bottom"/>
          </w:tcPr>
          <w:p w14:paraId="12BE5092"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41 795 544</w:t>
            </w:r>
          </w:p>
        </w:tc>
      </w:tr>
      <w:tr w:rsidR="001E7C39" w:rsidRPr="008D3C26" w14:paraId="5DF0A788"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313A2E3" w14:textId="77777777" w:rsidR="003D5FED" w:rsidRPr="008D3C26" w:rsidRDefault="003D5FED" w:rsidP="003D5FED">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Statutory Appropriation</w:t>
            </w:r>
          </w:p>
          <w:p w14:paraId="235C8DDC" w14:textId="77777777" w:rsidR="003D5FED" w:rsidRPr="008D3C26" w:rsidRDefault="003D5FED" w:rsidP="003D5FED">
            <w:pPr>
              <w:spacing w:after="0" w:line="240" w:lineRule="auto"/>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National Skills Fund</w:t>
            </w:r>
          </w:p>
          <w:p w14:paraId="30BAF346" w14:textId="77777777" w:rsidR="001E7C39" w:rsidRPr="008D3C26" w:rsidRDefault="003D5FED" w:rsidP="003D5FED">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color w:val="000000"/>
                <w:sz w:val="24"/>
                <w:szCs w:val="24"/>
                <w:lang w:eastAsia="en-ZA"/>
              </w:rPr>
              <w:t>Sector Education and Training Authorities</w:t>
            </w:r>
          </w:p>
        </w:tc>
        <w:tc>
          <w:tcPr>
            <w:tcW w:w="1417" w:type="dxa"/>
            <w:tcBorders>
              <w:top w:val="nil"/>
              <w:left w:val="nil"/>
              <w:bottom w:val="single" w:sz="4" w:space="0" w:color="auto"/>
              <w:right w:val="single" w:sz="4" w:space="0" w:color="auto"/>
            </w:tcBorders>
            <w:shd w:val="clear" w:color="auto" w:fill="auto"/>
            <w:noWrap/>
            <w:vAlign w:val="bottom"/>
          </w:tcPr>
          <w:p w14:paraId="0F139C10"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15 233 009</w:t>
            </w:r>
          </w:p>
        </w:tc>
        <w:tc>
          <w:tcPr>
            <w:tcW w:w="1418" w:type="dxa"/>
            <w:tcBorders>
              <w:top w:val="nil"/>
              <w:left w:val="nil"/>
              <w:bottom w:val="single" w:sz="4" w:space="0" w:color="auto"/>
              <w:right w:val="single" w:sz="4" w:space="0" w:color="auto"/>
            </w:tcBorders>
            <w:shd w:val="clear" w:color="auto" w:fill="auto"/>
            <w:noWrap/>
            <w:vAlign w:val="bottom"/>
          </w:tcPr>
          <w:p w14:paraId="7E56C28D"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15 233 009</w:t>
            </w:r>
          </w:p>
        </w:tc>
        <w:tc>
          <w:tcPr>
            <w:tcW w:w="1284" w:type="dxa"/>
            <w:tcBorders>
              <w:top w:val="nil"/>
              <w:left w:val="nil"/>
              <w:bottom w:val="single" w:sz="4" w:space="0" w:color="auto"/>
              <w:right w:val="single" w:sz="4" w:space="0" w:color="auto"/>
            </w:tcBorders>
            <w:shd w:val="clear" w:color="auto" w:fill="auto"/>
            <w:noWrap/>
            <w:vAlign w:val="bottom"/>
          </w:tcPr>
          <w:p w14:paraId="61728E46"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15 233 009</w:t>
            </w:r>
          </w:p>
        </w:tc>
        <w:tc>
          <w:tcPr>
            <w:tcW w:w="1267" w:type="dxa"/>
            <w:tcBorders>
              <w:top w:val="nil"/>
              <w:left w:val="nil"/>
              <w:bottom w:val="single" w:sz="4" w:space="0" w:color="auto"/>
              <w:right w:val="single" w:sz="4" w:space="0" w:color="auto"/>
            </w:tcBorders>
            <w:shd w:val="clear" w:color="auto" w:fill="auto"/>
            <w:noWrap/>
            <w:vAlign w:val="bottom"/>
          </w:tcPr>
          <w:p w14:paraId="02C8FD02"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w:t>
            </w:r>
          </w:p>
        </w:tc>
        <w:tc>
          <w:tcPr>
            <w:tcW w:w="1406" w:type="dxa"/>
            <w:tcBorders>
              <w:top w:val="nil"/>
              <w:left w:val="nil"/>
              <w:bottom w:val="single" w:sz="4" w:space="0" w:color="auto"/>
              <w:right w:val="single" w:sz="4" w:space="0" w:color="auto"/>
            </w:tcBorders>
            <w:shd w:val="clear" w:color="auto" w:fill="auto"/>
            <w:noWrap/>
            <w:vAlign w:val="bottom"/>
          </w:tcPr>
          <w:p w14:paraId="739EE694"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15 156 433</w:t>
            </w:r>
          </w:p>
        </w:tc>
        <w:tc>
          <w:tcPr>
            <w:tcW w:w="1284" w:type="dxa"/>
            <w:tcBorders>
              <w:top w:val="nil"/>
              <w:left w:val="nil"/>
              <w:bottom w:val="single" w:sz="4" w:space="0" w:color="auto"/>
              <w:right w:val="single" w:sz="4" w:space="0" w:color="auto"/>
            </w:tcBorders>
            <w:shd w:val="clear" w:color="auto" w:fill="auto"/>
            <w:noWrap/>
            <w:vAlign w:val="bottom"/>
          </w:tcPr>
          <w:p w14:paraId="3200A618" w14:textId="77777777" w:rsidR="001E7C39"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15 156 433</w:t>
            </w:r>
          </w:p>
        </w:tc>
      </w:tr>
      <w:tr w:rsidR="003D5FED" w:rsidRPr="008D3C26" w14:paraId="6D76D028" w14:textId="77777777" w:rsidTr="006908BF">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457EAD0" w14:textId="77777777" w:rsidR="003D5FED" w:rsidRPr="008D3C26" w:rsidRDefault="003D5FED" w:rsidP="003D5FED">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Total</w:t>
            </w:r>
          </w:p>
        </w:tc>
        <w:tc>
          <w:tcPr>
            <w:tcW w:w="1417" w:type="dxa"/>
            <w:tcBorders>
              <w:top w:val="nil"/>
              <w:left w:val="nil"/>
              <w:bottom w:val="single" w:sz="4" w:space="0" w:color="auto"/>
              <w:right w:val="single" w:sz="4" w:space="0" w:color="auto"/>
            </w:tcBorders>
            <w:shd w:val="clear" w:color="auto" w:fill="auto"/>
            <w:noWrap/>
            <w:vAlign w:val="bottom"/>
          </w:tcPr>
          <w:p w14:paraId="6BD828AB" w14:textId="77777777" w:rsidR="003D5FED"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64 421 288</w:t>
            </w:r>
          </w:p>
        </w:tc>
        <w:tc>
          <w:tcPr>
            <w:tcW w:w="1418" w:type="dxa"/>
            <w:tcBorders>
              <w:top w:val="nil"/>
              <w:left w:val="nil"/>
              <w:bottom w:val="single" w:sz="4" w:space="0" w:color="auto"/>
              <w:right w:val="single" w:sz="4" w:space="0" w:color="auto"/>
            </w:tcBorders>
            <w:shd w:val="clear" w:color="auto" w:fill="auto"/>
            <w:noWrap/>
            <w:vAlign w:val="bottom"/>
          </w:tcPr>
          <w:p w14:paraId="5E9D12BE" w14:textId="77777777" w:rsidR="003D5FED"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64 421 288</w:t>
            </w:r>
          </w:p>
        </w:tc>
        <w:tc>
          <w:tcPr>
            <w:tcW w:w="1284" w:type="dxa"/>
            <w:tcBorders>
              <w:top w:val="nil"/>
              <w:left w:val="nil"/>
              <w:bottom w:val="single" w:sz="4" w:space="0" w:color="auto"/>
              <w:right w:val="single" w:sz="4" w:space="0" w:color="auto"/>
            </w:tcBorders>
            <w:shd w:val="clear" w:color="auto" w:fill="auto"/>
            <w:noWrap/>
            <w:vAlign w:val="bottom"/>
          </w:tcPr>
          <w:p w14:paraId="4AE4EF25" w14:textId="77777777" w:rsidR="003D5FED"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64 370 571</w:t>
            </w:r>
          </w:p>
        </w:tc>
        <w:tc>
          <w:tcPr>
            <w:tcW w:w="1267" w:type="dxa"/>
            <w:tcBorders>
              <w:top w:val="nil"/>
              <w:left w:val="nil"/>
              <w:bottom w:val="single" w:sz="4" w:space="0" w:color="auto"/>
              <w:right w:val="single" w:sz="4" w:space="0" w:color="auto"/>
            </w:tcBorders>
            <w:shd w:val="clear" w:color="auto" w:fill="auto"/>
            <w:noWrap/>
            <w:vAlign w:val="bottom"/>
          </w:tcPr>
          <w:p w14:paraId="4BB73C67" w14:textId="77777777" w:rsidR="003D5FED"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50 717</w:t>
            </w:r>
          </w:p>
        </w:tc>
        <w:tc>
          <w:tcPr>
            <w:tcW w:w="1406" w:type="dxa"/>
            <w:tcBorders>
              <w:top w:val="nil"/>
              <w:left w:val="nil"/>
              <w:bottom w:val="single" w:sz="4" w:space="0" w:color="auto"/>
              <w:right w:val="single" w:sz="4" w:space="0" w:color="auto"/>
            </w:tcBorders>
            <w:shd w:val="clear" w:color="auto" w:fill="auto"/>
            <w:noWrap/>
            <w:vAlign w:val="bottom"/>
          </w:tcPr>
          <w:p w14:paraId="4F950CB7" w14:textId="77777777" w:rsidR="003D5FED"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57 036 571</w:t>
            </w:r>
          </w:p>
        </w:tc>
        <w:tc>
          <w:tcPr>
            <w:tcW w:w="1284" w:type="dxa"/>
            <w:tcBorders>
              <w:top w:val="nil"/>
              <w:left w:val="nil"/>
              <w:bottom w:val="single" w:sz="4" w:space="0" w:color="auto"/>
              <w:right w:val="single" w:sz="4" w:space="0" w:color="auto"/>
            </w:tcBorders>
            <w:shd w:val="clear" w:color="auto" w:fill="auto"/>
            <w:noWrap/>
            <w:vAlign w:val="bottom"/>
          </w:tcPr>
          <w:p w14:paraId="2415A565" w14:textId="77777777" w:rsidR="003D5FED" w:rsidRPr="008D3C26" w:rsidRDefault="003D5FED"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56 951 987</w:t>
            </w:r>
          </w:p>
        </w:tc>
      </w:tr>
      <w:tr w:rsidR="00E509B9" w:rsidRPr="008D3C26" w14:paraId="2F24C729" w14:textId="77777777" w:rsidTr="00E30251">
        <w:trPr>
          <w:trHeight w:val="68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1C7EC7" w14:textId="77777777" w:rsidR="00E509B9" w:rsidRPr="008D3C26" w:rsidRDefault="00E509B9" w:rsidP="003D5FED">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Departmental receipts</w:t>
            </w:r>
          </w:p>
          <w:p w14:paraId="1A384FAB" w14:textId="77777777" w:rsidR="00E509B9" w:rsidRPr="008D3C26" w:rsidRDefault="00E509B9" w:rsidP="003D5FED">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Aid Assistance</w:t>
            </w:r>
          </w:p>
        </w:tc>
        <w:tc>
          <w:tcPr>
            <w:tcW w:w="1417" w:type="dxa"/>
            <w:vMerge w:val="restart"/>
            <w:tcBorders>
              <w:top w:val="nil"/>
              <w:left w:val="nil"/>
              <w:bottom w:val="nil"/>
              <w:right w:val="single" w:sz="4" w:space="0" w:color="auto"/>
            </w:tcBorders>
            <w:shd w:val="clear" w:color="auto" w:fill="auto"/>
            <w:noWrap/>
            <w:vAlign w:val="bottom"/>
          </w:tcPr>
          <w:p w14:paraId="7D550F83"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418" w:type="dxa"/>
            <w:tcBorders>
              <w:top w:val="nil"/>
              <w:left w:val="nil"/>
              <w:bottom w:val="single" w:sz="4" w:space="0" w:color="auto"/>
              <w:right w:val="single" w:sz="4" w:space="0" w:color="auto"/>
            </w:tcBorders>
            <w:shd w:val="clear" w:color="auto" w:fill="auto"/>
            <w:noWrap/>
            <w:vAlign w:val="bottom"/>
          </w:tcPr>
          <w:p w14:paraId="434114DE"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41 311</w:t>
            </w:r>
          </w:p>
          <w:p w14:paraId="32CA614A"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p w14:paraId="19032927"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98 001</w:t>
            </w:r>
          </w:p>
        </w:tc>
        <w:tc>
          <w:tcPr>
            <w:tcW w:w="1284" w:type="dxa"/>
            <w:vMerge w:val="restart"/>
            <w:tcBorders>
              <w:top w:val="nil"/>
              <w:left w:val="nil"/>
              <w:bottom w:val="nil"/>
              <w:right w:val="single" w:sz="4" w:space="0" w:color="auto"/>
            </w:tcBorders>
            <w:shd w:val="clear" w:color="auto" w:fill="auto"/>
            <w:noWrap/>
            <w:vAlign w:val="bottom"/>
          </w:tcPr>
          <w:p w14:paraId="294E8BC5"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81</w:t>
            </w:r>
            <w:r w:rsidR="001B307A" w:rsidRPr="008D3C26">
              <w:rPr>
                <w:rFonts w:ascii="Times New Roman" w:eastAsia="Times New Roman" w:hAnsi="Times New Roman" w:cs="Times New Roman"/>
                <w:color w:val="000000"/>
                <w:sz w:val="24"/>
                <w:szCs w:val="24"/>
                <w:lang w:eastAsia="en-ZA"/>
              </w:rPr>
              <w:t> </w:t>
            </w:r>
            <w:r w:rsidRPr="008D3C26">
              <w:rPr>
                <w:rFonts w:ascii="Times New Roman" w:eastAsia="Times New Roman" w:hAnsi="Times New Roman" w:cs="Times New Roman"/>
                <w:color w:val="000000"/>
                <w:sz w:val="24"/>
                <w:szCs w:val="24"/>
                <w:lang w:eastAsia="en-ZA"/>
              </w:rPr>
              <w:t>579</w:t>
            </w:r>
          </w:p>
          <w:p w14:paraId="4554CCCC" w14:textId="77777777" w:rsidR="001B307A" w:rsidRPr="008D3C26" w:rsidRDefault="001B307A" w:rsidP="00765488">
            <w:pPr>
              <w:spacing w:after="0" w:line="240" w:lineRule="auto"/>
              <w:jc w:val="center"/>
              <w:rPr>
                <w:rFonts w:ascii="Times New Roman" w:eastAsia="Times New Roman" w:hAnsi="Times New Roman" w:cs="Times New Roman"/>
                <w:color w:val="000000"/>
                <w:sz w:val="24"/>
                <w:szCs w:val="24"/>
                <w:lang w:eastAsia="en-ZA"/>
              </w:rPr>
            </w:pPr>
          </w:p>
        </w:tc>
        <w:tc>
          <w:tcPr>
            <w:tcW w:w="1267" w:type="dxa"/>
            <w:vMerge w:val="restart"/>
            <w:tcBorders>
              <w:top w:val="nil"/>
              <w:left w:val="nil"/>
              <w:bottom w:val="nil"/>
              <w:right w:val="single" w:sz="4" w:space="0" w:color="auto"/>
            </w:tcBorders>
            <w:shd w:val="clear" w:color="auto" w:fill="auto"/>
            <w:noWrap/>
            <w:vAlign w:val="bottom"/>
          </w:tcPr>
          <w:p w14:paraId="61418BD8"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406" w:type="dxa"/>
            <w:tcBorders>
              <w:top w:val="nil"/>
              <w:left w:val="nil"/>
              <w:bottom w:val="single" w:sz="4" w:space="0" w:color="auto"/>
              <w:right w:val="single" w:sz="4" w:space="0" w:color="auto"/>
            </w:tcBorders>
            <w:shd w:val="clear" w:color="auto" w:fill="auto"/>
            <w:noWrap/>
            <w:vAlign w:val="bottom"/>
          </w:tcPr>
          <w:p w14:paraId="2A9EC03A"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15 444</w:t>
            </w:r>
          </w:p>
          <w:p w14:paraId="274133FC"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p w14:paraId="0B7405E5"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46 813</w:t>
            </w:r>
          </w:p>
        </w:tc>
        <w:tc>
          <w:tcPr>
            <w:tcW w:w="1284" w:type="dxa"/>
            <w:vMerge w:val="restart"/>
            <w:tcBorders>
              <w:top w:val="nil"/>
              <w:left w:val="nil"/>
              <w:bottom w:val="nil"/>
              <w:right w:val="single" w:sz="4" w:space="0" w:color="auto"/>
            </w:tcBorders>
            <w:shd w:val="clear" w:color="auto" w:fill="auto"/>
            <w:noWrap/>
            <w:vAlign w:val="bottom"/>
          </w:tcPr>
          <w:p w14:paraId="7D12D045"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41</w:t>
            </w:r>
            <w:r w:rsidR="001B307A" w:rsidRPr="008D3C26">
              <w:rPr>
                <w:rFonts w:ascii="Times New Roman" w:eastAsia="Times New Roman" w:hAnsi="Times New Roman" w:cs="Times New Roman"/>
                <w:color w:val="000000"/>
                <w:sz w:val="24"/>
                <w:szCs w:val="24"/>
                <w:lang w:eastAsia="en-ZA"/>
              </w:rPr>
              <w:t> </w:t>
            </w:r>
            <w:r w:rsidRPr="008D3C26">
              <w:rPr>
                <w:rFonts w:ascii="Times New Roman" w:eastAsia="Times New Roman" w:hAnsi="Times New Roman" w:cs="Times New Roman"/>
                <w:color w:val="000000"/>
                <w:sz w:val="24"/>
                <w:szCs w:val="24"/>
                <w:lang w:eastAsia="en-ZA"/>
              </w:rPr>
              <w:t>039</w:t>
            </w:r>
          </w:p>
          <w:p w14:paraId="55CCDC1A" w14:textId="77777777" w:rsidR="001B307A" w:rsidRPr="008D3C26" w:rsidRDefault="001B307A" w:rsidP="00765488">
            <w:pPr>
              <w:spacing w:after="0" w:line="240" w:lineRule="auto"/>
              <w:jc w:val="center"/>
              <w:rPr>
                <w:rFonts w:ascii="Times New Roman" w:eastAsia="Times New Roman" w:hAnsi="Times New Roman" w:cs="Times New Roman"/>
                <w:color w:val="000000"/>
                <w:sz w:val="24"/>
                <w:szCs w:val="24"/>
                <w:lang w:eastAsia="en-ZA"/>
              </w:rPr>
            </w:pPr>
          </w:p>
        </w:tc>
      </w:tr>
      <w:tr w:rsidR="00E509B9" w:rsidRPr="008D3C26" w14:paraId="4EFF0220" w14:textId="77777777" w:rsidTr="00E30251">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0F93115" w14:textId="77777777" w:rsidR="00E509B9" w:rsidRPr="008D3C26" w:rsidRDefault="00E509B9" w:rsidP="003D5FED">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Total Revenue</w:t>
            </w:r>
          </w:p>
        </w:tc>
        <w:tc>
          <w:tcPr>
            <w:tcW w:w="1417" w:type="dxa"/>
            <w:vMerge/>
            <w:tcBorders>
              <w:left w:val="nil"/>
              <w:right w:val="single" w:sz="4" w:space="0" w:color="auto"/>
            </w:tcBorders>
            <w:shd w:val="clear" w:color="auto" w:fill="auto"/>
            <w:noWrap/>
            <w:vAlign w:val="bottom"/>
          </w:tcPr>
          <w:p w14:paraId="62DCCD84"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418" w:type="dxa"/>
            <w:tcBorders>
              <w:top w:val="nil"/>
              <w:left w:val="nil"/>
              <w:bottom w:val="single" w:sz="4" w:space="0" w:color="auto"/>
              <w:right w:val="single" w:sz="4" w:space="0" w:color="auto"/>
            </w:tcBorders>
            <w:shd w:val="clear" w:color="auto" w:fill="auto"/>
            <w:noWrap/>
            <w:vAlign w:val="bottom"/>
          </w:tcPr>
          <w:p w14:paraId="4BC52774" w14:textId="77777777" w:rsidR="00E509B9" w:rsidRPr="008D3C26" w:rsidRDefault="00E509B9"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64 560 600</w:t>
            </w:r>
          </w:p>
        </w:tc>
        <w:tc>
          <w:tcPr>
            <w:tcW w:w="1284" w:type="dxa"/>
            <w:vMerge/>
            <w:tcBorders>
              <w:left w:val="nil"/>
              <w:bottom w:val="single" w:sz="4" w:space="0" w:color="auto"/>
              <w:right w:val="single" w:sz="4" w:space="0" w:color="auto"/>
            </w:tcBorders>
            <w:shd w:val="clear" w:color="auto" w:fill="auto"/>
            <w:noWrap/>
            <w:vAlign w:val="bottom"/>
          </w:tcPr>
          <w:p w14:paraId="6587798F"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267" w:type="dxa"/>
            <w:vMerge/>
            <w:tcBorders>
              <w:left w:val="nil"/>
              <w:right w:val="single" w:sz="4" w:space="0" w:color="auto"/>
            </w:tcBorders>
            <w:shd w:val="clear" w:color="auto" w:fill="auto"/>
            <w:noWrap/>
            <w:vAlign w:val="bottom"/>
          </w:tcPr>
          <w:p w14:paraId="194F5CC9"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406" w:type="dxa"/>
            <w:tcBorders>
              <w:top w:val="nil"/>
              <w:left w:val="nil"/>
              <w:bottom w:val="single" w:sz="4" w:space="0" w:color="auto"/>
              <w:right w:val="single" w:sz="4" w:space="0" w:color="auto"/>
            </w:tcBorders>
            <w:shd w:val="clear" w:color="auto" w:fill="auto"/>
            <w:noWrap/>
            <w:vAlign w:val="bottom"/>
          </w:tcPr>
          <w:p w14:paraId="14A74BD6" w14:textId="77777777" w:rsidR="00E509B9" w:rsidRPr="008D3C26" w:rsidRDefault="00E509B9"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57 098 828</w:t>
            </w:r>
          </w:p>
        </w:tc>
        <w:tc>
          <w:tcPr>
            <w:tcW w:w="1284" w:type="dxa"/>
            <w:vMerge/>
            <w:tcBorders>
              <w:left w:val="nil"/>
              <w:bottom w:val="single" w:sz="4" w:space="0" w:color="auto"/>
              <w:right w:val="single" w:sz="4" w:space="0" w:color="auto"/>
            </w:tcBorders>
            <w:shd w:val="clear" w:color="auto" w:fill="auto"/>
            <w:noWrap/>
            <w:vAlign w:val="bottom"/>
          </w:tcPr>
          <w:p w14:paraId="711508C9"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r>
      <w:tr w:rsidR="00E509B9" w:rsidRPr="008D3C26" w14:paraId="06BFC9B0" w14:textId="77777777" w:rsidTr="00E30251">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8017040" w14:textId="77777777" w:rsidR="00E509B9" w:rsidRPr="008D3C26" w:rsidRDefault="00E509B9" w:rsidP="003D5FED">
            <w:pPr>
              <w:spacing w:after="0" w:line="240" w:lineRule="auto"/>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Total Expenditure</w:t>
            </w:r>
          </w:p>
        </w:tc>
        <w:tc>
          <w:tcPr>
            <w:tcW w:w="1417" w:type="dxa"/>
            <w:vMerge/>
            <w:tcBorders>
              <w:left w:val="nil"/>
              <w:bottom w:val="single" w:sz="4" w:space="0" w:color="auto"/>
              <w:right w:val="single" w:sz="4" w:space="0" w:color="auto"/>
            </w:tcBorders>
            <w:shd w:val="clear" w:color="auto" w:fill="auto"/>
            <w:noWrap/>
            <w:vAlign w:val="bottom"/>
          </w:tcPr>
          <w:p w14:paraId="5A3C0CEF"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418" w:type="dxa"/>
            <w:tcBorders>
              <w:top w:val="nil"/>
              <w:left w:val="nil"/>
              <w:bottom w:val="single" w:sz="4" w:space="0" w:color="auto"/>
              <w:right w:val="single" w:sz="4" w:space="0" w:color="auto"/>
            </w:tcBorders>
            <w:shd w:val="clear" w:color="auto" w:fill="auto"/>
            <w:noWrap/>
            <w:vAlign w:val="bottom"/>
          </w:tcPr>
          <w:p w14:paraId="4CC903D1"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284" w:type="dxa"/>
            <w:tcBorders>
              <w:left w:val="nil"/>
              <w:bottom w:val="single" w:sz="4" w:space="0" w:color="auto"/>
              <w:right w:val="single" w:sz="4" w:space="0" w:color="auto"/>
            </w:tcBorders>
            <w:shd w:val="clear" w:color="auto" w:fill="auto"/>
            <w:noWrap/>
            <w:vAlign w:val="bottom"/>
          </w:tcPr>
          <w:p w14:paraId="56A43E58" w14:textId="77777777" w:rsidR="00E509B9" w:rsidRPr="008D3C26" w:rsidRDefault="00E509B9"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64 452 150</w:t>
            </w:r>
          </w:p>
        </w:tc>
        <w:tc>
          <w:tcPr>
            <w:tcW w:w="1267" w:type="dxa"/>
            <w:vMerge/>
            <w:tcBorders>
              <w:left w:val="nil"/>
              <w:bottom w:val="single" w:sz="4" w:space="0" w:color="auto"/>
              <w:right w:val="single" w:sz="4" w:space="0" w:color="auto"/>
            </w:tcBorders>
            <w:shd w:val="clear" w:color="auto" w:fill="auto"/>
            <w:noWrap/>
            <w:vAlign w:val="bottom"/>
          </w:tcPr>
          <w:p w14:paraId="75F89281"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406" w:type="dxa"/>
            <w:tcBorders>
              <w:top w:val="nil"/>
              <w:left w:val="nil"/>
              <w:bottom w:val="single" w:sz="4" w:space="0" w:color="auto"/>
              <w:right w:val="single" w:sz="4" w:space="0" w:color="auto"/>
            </w:tcBorders>
            <w:shd w:val="clear" w:color="auto" w:fill="auto"/>
            <w:noWrap/>
            <w:vAlign w:val="bottom"/>
          </w:tcPr>
          <w:p w14:paraId="5C194537" w14:textId="77777777" w:rsidR="00E509B9" w:rsidRPr="008D3C26" w:rsidRDefault="00E509B9" w:rsidP="00765488">
            <w:pPr>
              <w:spacing w:after="0" w:line="240" w:lineRule="auto"/>
              <w:jc w:val="center"/>
              <w:rPr>
                <w:rFonts w:ascii="Times New Roman" w:eastAsia="Times New Roman" w:hAnsi="Times New Roman" w:cs="Times New Roman"/>
                <w:color w:val="000000"/>
                <w:sz w:val="24"/>
                <w:szCs w:val="24"/>
                <w:lang w:eastAsia="en-ZA"/>
              </w:rPr>
            </w:pPr>
          </w:p>
        </w:tc>
        <w:tc>
          <w:tcPr>
            <w:tcW w:w="1284" w:type="dxa"/>
            <w:tcBorders>
              <w:top w:val="nil"/>
              <w:left w:val="nil"/>
              <w:bottom w:val="single" w:sz="4" w:space="0" w:color="auto"/>
              <w:right w:val="single" w:sz="4" w:space="0" w:color="auto"/>
            </w:tcBorders>
            <w:shd w:val="clear" w:color="auto" w:fill="auto"/>
            <w:noWrap/>
            <w:vAlign w:val="bottom"/>
          </w:tcPr>
          <w:p w14:paraId="50812D9D" w14:textId="77777777" w:rsidR="00E509B9" w:rsidRPr="008D3C26" w:rsidRDefault="00E509B9" w:rsidP="00765488">
            <w:pPr>
              <w:spacing w:after="0" w:line="240" w:lineRule="auto"/>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56 993 026</w:t>
            </w:r>
          </w:p>
        </w:tc>
      </w:tr>
    </w:tbl>
    <w:p w14:paraId="06A91CC3" w14:textId="77777777" w:rsidR="00393671" w:rsidRPr="008D3C26" w:rsidRDefault="00393671" w:rsidP="00091B4D">
      <w:pPr>
        <w:spacing w:after="0"/>
        <w:rPr>
          <w:rFonts w:ascii="Times New Roman" w:hAnsi="Times New Roman" w:cs="Times New Roman"/>
          <w:sz w:val="24"/>
          <w:szCs w:val="24"/>
        </w:rPr>
      </w:pPr>
    </w:p>
    <w:p w14:paraId="20C124AE" w14:textId="77777777" w:rsidR="00393671" w:rsidRPr="008D3C26" w:rsidRDefault="007D2DBC" w:rsidP="00091B4D">
      <w:pPr>
        <w:spacing w:after="0"/>
        <w:rPr>
          <w:rFonts w:ascii="Times New Roman" w:hAnsi="Times New Roman" w:cs="Times New Roman"/>
          <w:b/>
          <w:sz w:val="24"/>
          <w:szCs w:val="24"/>
        </w:rPr>
      </w:pPr>
      <w:r w:rsidRPr="008D3C26">
        <w:rPr>
          <w:rFonts w:ascii="Times New Roman" w:hAnsi="Times New Roman" w:cs="Times New Roman"/>
          <w:b/>
          <w:sz w:val="24"/>
          <w:szCs w:val="24"/>
        </w:rPr>
        <w:lastRenderedPageBreak/>
        <w:t>4.1.2</w:t>
      </w:r>
      <w:r w:rsidR="00A936AB" w:rsidRPr="008D3C26">
        <w:rPr>
          <w:rFonts w:ascii="Times New Roman" w:hAnsi="Times New Roman" w:cs="Times New Roman"/>
          <w:b/>
          <w:sz w:val="24"/>
          <w:szCs w:val="24"/>
        </w:rPr>
        <w:t xml:space="preserve">. </w:t>
      </w:r>
      <w:r w:rsidR="00393671" w:rsidRPr="008D3C26">
        <w:rPr>
          <w:rFonts w:ascii="Times New Roman" w:hAnsi="Times New Roman" w:cs="Times New Roman"/>
          <w:b/>
          <w:sz w:val="24"/>
          <w:szCs w:val="24"/>
        </w:rPr>
        <w:t>Analysis of the 2016/17 expenditure</w:t>
      </w:r>
    </w:p>
    <w:p w14:paraId="2CA8F7C3"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The Department’s overall expenditure at the end of the financial year, excluding the additional revenue from the departmental receipts and aid assistance, was 99.9 per cent</w:t>
      </w:r>
      <w:r w:rsidR="00545DD0" w:rsidRPr="008D3C26">
        <w:rPr>
          <w:rFonts w:ascii="Times New Roman" w:hAnsi="Times New Roman" w:cs="Times New Roman"/>
          <w:sz w:val="24"/>
          <w:szCs w:val="24"/>
        </w:rPr>
        <w:t xml:space="preserve"> of the total R64.421 billion. </w:t>
      </w:r>
      <w:r w:rsidRPr="008D3C26">
        <w:rPr>
          <w:rFonts w:ascii="Times New Roman" w:hAnsi="Times New Roman" w:cs="Times New Roman"/>
          <w:sz w:val="24"/>
          <w:szCs w:val="24"/>
        </w:rPr>
        <w:t>The expenditure o</w:t>
      </w:r>
      <w:r w:rsidR="00100A53" w:rsidRPr="008D3C26">
        <w:rPr>
          <w:rFonts w:ascii="Times New Roman" w:hAnsi="Times New Roman" w:cs="Times New Roman"/>
          <w:sz w:val="24"/>
          <w:szCs w:val="24"/>
        </w:rPr>
        <w:t>f</w:t>
      </w:r>
      <w:r w:rsidRPr="008D3C26">
        <w:rPr>
          <w:rFonts w:ascii="Times New Roman" w:hAnsi="Times New Roman" w:cs="Times New Roman"/>
          <w:sz w:val="24"/>
          <w:szCs w:val="24"/>
        </w:rPr>
        <w:t xml:space="preserve"> programme 3: University Education </w:t>
      </w:r>
      <w:r w:rsidR="00C07591" w:rsidRPr="008D3C26">
        <w:rPr>
          <w:rFonts w:ascii="Times New Roman" w:hAnsi="Times New Roman" w:cs="Times New Roman"/>
          <w:sz w:val="24"/>
          <w:szCs w:val="24"/>
        </w:rPr>
        <w:t>constituted</w:t>
      </w:r>
      <w:r w:rsidRPr="008D3C26">
        <w:rPr>
          <w:rFonts w:ascii="Times New Roman" w:hAnsi="Times New Roman" w:cs="Times New Roman"/>
          <w:sz w:val="24"/>
          <w:szCs w:val="24"/>
        </w:rPr>
        <w:t xml:space="preserve"> the largest expenditure, representing 80.4 per cent (R39.51</w:t>
      </w:r>
      <w:r w:rsidR="0047454A" w:rsidRPr="008D3C26">
        <w:rPr>
          <w:rFonts w:ascii="Times New Roman" w:hAnsi="Times New Roman" w:cs="Times New Roman"/>
          <w:sz w:val="24"/>
          <w:szCs w:val="24"/>
        </w:rPr>
        <w:t>6</w:t>
      </w:r>
      <w:r w:rsidRPr="008D3C26">
        <w:rPr>
          <w:rFonts w:ascii="Times New Roman" w:hAnsi="Times New Roman" w:cs="Times New Roman"/>
          <w:sz w:val="24"/>
          <w:szCs w:val="24"/>
        </w:rPr>
        <w:t xml:space="preserve"> billion) of the Department’s total budget. The overall underspending at the end of the financial year </w:t>
      </w:r>
      <w:r w:rsidR="00C07591" w:rsidRPr="008D3C26">
        <w:rPr>
          <w:rFonts w:ascii="Times New Roman" w:hAnsi="Times New Roman" w:cs="Times New Roman"/>
          <w:sz w:val="24"/>
          <w:szCs w:val="24"/>
        </w:rPr>
        <w:t xml:space="preserve">amounted to </w:t>
      </w:r>
      <w:r w:rsidRPr="008D3C26">
        <w:rPr>
          <w:rFonts w:ascii="Times New Roman" w:hAnsi="Times New Roman" w:cs="Times New Roman"/>
          <w:sz w:val="24"/>
          <w:szCs w:val="24"/>
        </w:rPr>
        <w:t xml:space="preserve">R50.717 million, which </w:t>
      </w:r>
      <w:r w:rsidR="00C07591" w:rsidRPr="008D3C26">
        <w:rPr>
          <w:rFonts w:ascii="Times New Roman" w:hAnsi="Times New Roman" w:cs="Times New Roman"/>
          <w:sz w:val="24"/>
          <w:szCs w:val="24"/>
        </w:rPr>
        <w:t>represented</w:t>
      </w:r>
      <w:r w:rsidRPr="008D3C26">
        <w:rPr>
          <w:rFonts w:ascii="Times New Roman" w:hAnsi="Times New Roman" w:cs="Times New Roman"/>
          <w:sz w:val="24"/>
          <w:szCs w:val="24"/>
        </w:rPr>
        <w:t xml:space="preserve"> 0.078 per cent of the total budget. The combined underspending of programme 2: Planning, Policy and Strategy (R14.768 million) and Programme 3: University Education (R15.969 million) </w:t>
      </w:r>
      <w:r w:rsidR="00C07591" w:rsidRPr="008D3C26">
        <w:rPr>
          <w:rFonts w:ascii="Times New Roman" w:hAnsi="Times New Roman" w:cs="Times New Roman"/>
          <w:sz w:val="24"/>
          <w:szCs w:val="24"/>
        </w:rPr>
        <w:t>constituted</w:t>
      </w:r>
      <w:r w:rsidRPr="008D3C26">
        <w:rPr>
          <w:rFonts w:ascii="Times New Roman" w:hAnsi="Times New Roman" w:cs="Times New Roman"/>
          <w:sz w:val="24"/>
          <w:szCs w:val="24"/>
        </w:rPr>
        <w:t xml:space="preserve"> the largest underspending, representing 60.6 per cent of the total underspending of the six programmes. Of the six sub-programmes of the Department, programme 2: Planning, Policy and Strategy recorded the highest underspending of 21.6 per cent of its total budget. </w:t>
      </w:r>
    </w:p>
    <w:p w14:paraId="6935B16E" w14:textId="77777777" w:rsidR="00091B4D" w:rsidRPr="008D3C26" w:rsidRDefault="00091B4D" w:rsidP="00091B4D">
      <w:pPr>
        <w:spacing w:after="0"/>
        <w:rPr>
          <w:rFonts w:ascii="Times New Roman" w:hAnsi="Times New Roman" w:cs="Times New Roman"/>
          <w:sz w:val="24"/>
          <w:szCs w:val="24"/>
        </w:rPr>
      </w:pPr>
    </w:p>
    <w:p w14:paraId="4BE4AEA3" w14:textId="77777777" w:rsidR="007D2DBC" w:rsidRPr="008D3C26" w:rsidRDefault="007D2DBC" w:rsidP="00091B4D">
      <w:pPr>
        <w:spacing w:after="0"/>
        <w:rPr>
          <w:rFonts w:ascii="Times New Roman" w:hAnsi="Times New Roman" w:cs="Times New Roman"/>
          <w:b/>
          <w:sz w:val="24"/>
          <w:szCs w:val="24"/>
        </w:rPr>
      </w:pPr>
      <w:r w:rsidRPr="008D3C26">
        <w:rPr>
          <w:rFonts w:ascii="Times New Roman" w:hAnsi="Times New Roman" w:cs="Times New Roman"/>
          <w:b/>
          <w:sz w:val="24"/>
          <w:szCs w:val="24"/>
        </w:rPr>
        <w:t>4.1.3. Expenditure per economic classification</w:t>
      </w:r>
    </w:p>
    <w:p w14:paraId="1F0C8FB7" w14:textId="77777777" w:rsidR="007D2DBC" w:rsidRPr="008D3C26" w:rsidRDefault="007D2DBC" w:rsidP="00091B4D">
      <w:pPr>
        <w:spacing w:after="0"/>
        <w:rPr>
          <w:rFonts w:ascii="Times New Roman" w:hAnsi="Times New Roman" w:cs="Times New Roman"/>
          <w:b/>
          <w:sz w:val="24"/>
          <w:szCs w:val="24"/>
        </w:rPr>
      </w:pPr>
      <w:r w:rsidRPr="008D3C26">
        <w:rPr>
          <w:rFonts w:ascii="Times New Roman" w:hAnsi="Times New Roman" w:cs="Times New Roman"/>
          <w:b/>
          <w:sz w:val="24"/>
          <w:szCs w:val="24"/>
        </w:rPr>
        <w:t>Table 3: 2016/17 allocation and expenditure per economic classification</w:t>
      </w:r>
    </w:p>
    <w:tbl>
      <w:tblPr>
        <w:tblStyle w:val="TableGrid"/>
        <w:tblW w:w="9634" w:type="dxa"/>
        <w:tblLook w:val="04A0" w:firstRow="1" w:lastRow="0" w:firstColumn="1" w:lastColumn="0" w:noHBand="0" w:noVBand="1"/>
      </w:tblPr>
      <w:tblGrid>
        <w:gridCol w:w="1791"/>
        <w:gridCol w:w="1710"/>
        <w:gridCol w:w="1710"/>
        <w:gridCol w:w="1710"/>
        <w:gridCol w:w="1497"/>
        <w:gridCol w:w="1216"/>
      </w:tblGrid>
      <w:tr w:rsidR="007D2DBC" w:rsidRPr="008D3C26" w14:paraId="07CFD348" w14:textId="77777777" w:rsidTr="0092252D">
        <w:tc>
          <w:tcPr>
            <w:tcW w:w="2134" w:type="dxa"/>
            <w:vMerge w:val="restart"/>
            <w:shd w:val="clear" w:color="auto" w:fill="F2F2F2" w:themeFill="background1" w:themeFillShade="F2"/>
            <w:vAlign w:val="bottom"/>
          </w:tcPr>
          <w:p w14:paraId="3FF2138E" w14:textId="77777777" w:rsidR="007D2DBC" w:rsidRPr="008D3C26" w:rsidRDefault="007D2DBC"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Economic classification</w:t>
            </w:r>
          </w:p>
          <w:p w14:paraId="44E511A4" w14:textId="77777777" w:rsidR="007D2DBC" w:rsidRPr="008D3C26" w:rsidRDefault="007D2DBC" w:rsidP="00306178">
            <w:pPr>
              <w:rPr>
                <w:rFonts w:ascii="Times New Roman" w:eastAsia="Times New Roman" w:hAnsi="Times New Roman" w:cs="Times New Roman"/>
                <w:b/>
                <w:bCs/>
                <w:color w:val="000000"/>
                <w:sz w:val="24"/>
                <w:szCs w:val="24"/>
                <w:lang w:eastAsia="en-ZA"/>
              </w:rPr>
            </w:pPr>
          </w:p>
          <w:p w14:paraId="22E29F5D" w14:textId="77777777" w:rsidR="007D2DBC" w:rsidRPr="008D3C26" w:rsidRDefault="007D2DBC" w:rsidP="00306178">
            <w:pPr>
              <w:rPr>
                <w:rFonts w:ascii="Times New Roman" w:eastAsia="Times New Roman" w:hAnsi="Times New Roman" w:cs="Times New Roman"/>
                <w:b/>
                <w:bCs/>
                <w:color w:val="000000"/>
                <w:sz w:val="24"/>
                <w:szCs w:val="24"/>
                <w:lang w:eastAsia="en-ZA"/>
              </w:rPr>
            </w:pPr>
          </w:p>
          <w:p w14:paraId="6B088401" w14:textId="77777777" w:rsidR="007D2DBC" w:rsidRPr="008D3C26" w:rsidRDefault="007D2DBC" w:rsidP="00306178">
            <w:pPr>
              <w:rPr>
                <w:rFonts w:ascii="Times New Roman" w:eastAsia="Times New Roman" w:hAnsi="Times New Roman" w:cs="Times New Roman"/>
                <w:b/>
                <w:bCs/>
                <w:color w:val="000000"/>
                <w:sz w:val="24"/>
                <w:szCs w:val="24"/>
                <w:lang w:eastAsia="en-ZA"/>
              </w:rPr>
            </w:pPr>
          </w:p>
        </w:tc>
        <w:tc>
          <w:tcPr>
            <w:tcW w:w="7500" w:type="dxa"/>
            <w:gridSpan w:val="5"/>
            <w:shd w:val="clear" w:color="auto" w:fill="F2F2F2" w:themeFill="background1" w:themeFillShade="F2"/>
          </w:tcPr>
          <w:p w14:paraId="40BD16AB" w14:textId="77777777" w:rsidR="007D2DBC" w:rsidRPr="008D3C26" w:rsidRDefault="007D2DBC" w:rsidP="00306178">
            <w:pPr>
              <w:jc w:val="center"/>
              <w:rPr>
                <w:rFonts w:ascii="Times New Roman" w:eastAsia="Times New Roman" w:hAnsi="Times New Roman" w:cs="Times New Roman"/>
                <w:color w:val="000000"/>
                <w:sz w:val="24"/>
                <w:szCs w:val="24"/>
                <w:lang w:eastAsia="en-ZA"/>
              </w:rPr>
            </w:pPr>
          </w:p>
          <w:p w14:paraId="311B8526" w14:textId="77777777" w:rsidR="007D2DBC" w:rsidRPr="008D3C26" w:rsidRDefault="007D2DBC"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2016/17 FINANCIAL YEAR</w:t>
            </w:r>
          </w:p>
        </w:tc>
      </w:tr>
      <w:tr w:rsidR="007D2DBC" w:rsidRPr="008D3C26" w14:paraId="3F3912C2" w14:textId="77777777" w:rsidTr="0092252D">
        <w:tc>
          <w:tcPr>
            <w:tcW w:w="2134" w:type="dxa"/>
            <w:vMerge/>
            <w:shd w:val="clear" w:color="auto" w:fill="F2F2F2" w:themeFill="background1" w:themeFillShade="F2"/>
            <w:vAlign w:val="bottom"/>
          </w:tcPr>
          <w:p w14:paraId="4AE927C7" w14:textId="77777777" w:rsidR="007D2DBC" w:rsidRPr="008D3C26" w:rsidRDefault="007D2DBC" w:rsidP="00306178">
            <w:pPr>
              <w:rPr>
                <w:rFonts w:ascii="Times New Roman" w:eastAsia="Times New Roman" w:hAnsi="Times New Roman" w:cs="Times New Roman"/>
                <w:b/>
                <w:bCs/>
                <w:color w:val="000000"/>
                <w:sz w:val="24"/>
                <w:szCs w:val="24"/>
                <w:lang w:eastAsia="en-ZA"/>
              </w:rPr>
            </w:pPr>
          </w:p>
        </w:tc>
        <w:tc>
          <w:tcPr>
            <w:tcW w:w="1539" w:type="dxa"/>
            <w:shd w:val="clear" w:color="auto" w:fill="F2F2F2" w:themeFill="background1" w:themeFillShade="F2"/>
          </w:tcPr>
          <w:p w14:paraId="6DA7E717" w14:textId="77777777" w:rsidR="007D2DBC" w:rsidRPr="008D3C26" w:rsidRDefault="007D2DBC" w:rsidP="00306178">
            <w:pPr>
              <w:rPr>
                <w:rFonts w:ascii="Times New Roman" w:hAnsi="Times New Roman" w:cs="Times New Roman"/>
                <w:b/>
                <w:sz w:val="24"/>
                <w:szCs w:val="24"/>
              </w:rPr>
            </w:pPr>
            <w:r w:rsidRPr="008D3C26">
              <w:rPr>
                <w:rFonts w:ascii="Times New Roman" w:eastAsia="Times New Roman" w:hAnsi="Times New Roman" w:cs="Times New Roman"/>
                <w:b/>
                <w:color w:val="000000"/>
                <w:sz w:val="24"/>
                <w:szCs w:val="24"/>
                <w:lang w:eastAsia="en-ZA"/>
              </w:rPr>
              <w:t>Main Appropriation</w:t>
            </w:r>
          </w:p>
        </w:tc>
        <w:tc>
          <w:tcPr>
            <w:tcW w:w="1555" w:type="dxa"/>
            <w:shd w:val="clear" w:color="auto" w:fill="F2F2F2" w:themeFill="background1" w:themeFillShade="F2"/>
            <w:vAlign w:val="bottom"/>
          </w:tcPr>
          <w:p w14:paraId="5D59497A" w14:textId="77777777" w:rsidR="007D2DBC" w:rsidRPr="008D3C26" w:rsidRDefault="007D2DBC" w:rsidP="00306178">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Adjusted Appropriation</w:t>
            </w:r>
          </w:p>
        </w:tc>
        <w:tc>
          <w:tcPr>
            <w:tcW w:w="1539" w:type="dxa"/>
            <w:shd w:val="clear" w:color="auto" w:fill="F2F2F2" w:themeFill="background1" w:themeFillShade="F2"/>
            <w:vAlign w:val="bottom"/>
          </w:tcPr>
          <w:p w14:paraId="4564AB5B" w14:textId="77777777" w:rsidR="007D2DBC" w:rsidRPr="008D3C26" w:rsidRDefault="007D2DBC" w:rsidP="00306178">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Final Appropriation</w:t>
            </w:r>
          </w:p>
        </w:tc>
        <w:tc>
          <w:tcPr>
            <w:tcW w:w="1408" w:type="dxa"/>
            <w:shd w:val="clear" w:color="auto" w:fill="F2F2F2" w:themeFill="background1" w:themeFillShade="F2"/>
            <w:vAlign w:val="bottom"/>
          </w:tcPr>
          <w:p w14:paraId="420E9A53" w14:textId="77777777" w:rsidR="007D2DBC" w:rsidRPr="008D3C26" w:rsidRDefault="007D2DBC" w:rsidP="00306178">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Actual Expenditure</w:t>
            </w:r>
          </w:p>
        </w:tc>
        <w:tc>
          <w:tcPr>
            <w:tcW w:w="1459" w:type="dxa"/>
            <w:shd w:val="clear" w:color="auto" w:fill="F2F2F2" w:themeFill="background1" w:themeFillShade="F2"/>
            <w:vAlign w:val="bottom"/>
          </w:tcPr>
          <w:p w14:paraId="45433AF1" w14:textId="77777777" w:rsidR="007D2DBC" w:rsidRPr="008D3C26" w:rsidRDefault="007D2DBC" w:rsidP="00306178">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 xml:space="preserve">Variance </w:t>
            </w:r>
          </w:p>
        </w:tc>
      </w:tr>
      <w:tr w:rsidR="007D2DBC" w:rsidRPr="008D3C26" w14:paraId="002B3E00" w14:textId="77777777" w:rsidTr="0092252D">
        <w:tc>
          <w:tcPr>
            <w:tcW w:w="2134" w:type="dxa"/>
            <w:vMerge/>
            <w:vAlign w:val="bottom"/>
          </w:tcPr>
          <w:p w14:paraId="0B9162D6" w14:textId="77777777" w:rsidR="007D2DBC" w:rsidRPr="008D3C26" w:rsidRDefault="007D2DBC" w:rsidP="00306178">
            <w:pPr>
              <w:rPr>
                <w:rFonts w:ascii="Times New Roman" w:eastAsia="Times New Roman" w:hAnsi="Times New Roman" w:cs="Times New Roman"/>
                <w:b/>
                <w:bCs/>
                <w:color w:val="000000"/>
                <w:sz w:val="24"/>
                <w:szCs w:val="24"/>
                <w:lang w:eastAsia="en-ZA"/>
              </w:rPr>
            </w:pPr>
          </w:p>
        </w:tc>
        <w:tc>
          <w:tcPr>
            <w:tcW w:w="1539" w:type="dxa"/>
          </w:tcPr>
          <w:p w14:paraId="638974B8" w14:textId="77777777" w:rsidR="007D2DBC" w:rsidRPr="008D3C26" w:rsidRDefault="007D2DBC" w:rsidP="00306178">
            <w:pPr>
              <w:rPr>
                <w:rFonts w:ascii="Times New Roman" w:hAnsi="Times New Roman" w:cs="Times New Roman"/>
                <w:sz w:val="24"/>
                <w:szCs w:val="24"/>
              </w:rPr>
            </w:pPr>
            <w:r w:rsidRPr="008D3C26">
              <w:rPr>
                <w:rFonts w:ascii="Times New Roman" w:hAnsi="Times New Roman" w:cs="Times New Roman"/>
                <w:sz w:val="24"/>
                <w:szCs w:val="24"/>
              </w:rPr>
              <w:t>R’000</w:t>
            </w:r>
          </w:p>
        </w:tc>
        <w:tc>
          <w:tcPr>
            <w:tcW w:w="1555" w:type="dxa"/>
            <w:vAlign w:val="bottom"/>
          </w:tcPr>
          <w:p w14:paraId="2B4FB3E7" w14:textId="77777777" w:rsidR="007D2DBC" w:rsidRPr="008D3C26" w:rsidRDefault="007D2DBC"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539" w:type="dxa"/>
            <w:vAlign w:val="bottom"/>
          </w:tcPr>
          <w:p w14:paraId="2BB55E77" w14:textId="77777777" w:rsidR="007D2DBC" w:rsidRPr="008D3C26" w:rsidRDefault="007D2DBC"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408" w:type="dxa"/>
            <w:vAlign w:val="bottom"/>
          </w:tcPr>
          <w:p w14:paraId="67F5C1E3" w14:textId="77777777" w:rsidR="007D2DBC" w:rsidRPr="008D3C26" w:rsidRDefault="007D2DBC"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c>
          <w:tcPr>
            <w:tcW w:w="1459" w:type="dxa"/>
            <w:vAlign w:val="bottom"/>
          </w:tcPr>
          <w:p w14:paraId="5A1C0651" w14:textId="77777777" w:rsidR="007D2DBC" w:rsidRPr="008D3C26" w:rsidRDefault="007D2DBC"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R’000</w:t>
            </w:r>
          </w:p>
        </w:tc>
      </w:tr>
      <w:tr w:rsidR="00E716B3" w:rsidRPr="008D3C26" w14:paraId="434F96CD" w14:textId="77777777" w:rsidTr="00AA0585">
        <w:tc>
          <w:tcPr>
            <w:tcW w:w="2134" w:type="dxa"/>
            <w:tcBorders>
              <w:bottom w:val="single" w:sz="4" w:space="0" w:color="auto"/>
            </w:tcBorders>
            <w:vAlign w:val="bottom"/>
          </w:tcPr>
          <w:p w14:paraId="15F6410C" w14:textId="77777777" w:rsidR="007D2DBC" w:rsidRPr="008D3C26" w:rsidRDefault="00491181" w:rsidP="00491181">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Current payments</w:t>
            </w:r>
          </w:p>
        </w:tc>
        <w:tc>
          <w:tcPr>
            <w:tcW w:w="1539" w:type="dxa"/>
            <w:tcBorders>
              <w:bottom w:val="single" w:sz="4" w:space="0" w:color="auto"/>
            </w:tcBorders>
          </w:tcPr>
          <w:p w14:paraId="232A21EF" w14:textId="77777777" w:rsidR="007D2DBC" w:rsidRPr="008D3C26" w:rsidRDefault="007D2DBC" w:rsidP="00306178">
            <w:pPr>
              <w:rPr>
                <w:rFonts w:ascii="Times New Roman" w:hAnsi="Times New Roman" w:cs="Times New Roman"/>
                <w:sz w:val="24"/>
                <w:szCs w:val="24"/>
              </w:rPr>
            </w:pPr>
          </w:p>
          <w:p w14:paraId="226494FD" w14:textId="77777777" w:rsidR="007D2DBC" w:rsidRPr="008D3C26" w:rsidRDefault="007D2DBC" w:rsidP="00306178">
            <w:pPr>
              <w:rPr>
                <w:rFonts w:ascii="Times New Roman" w:hAnsi="Times New Roman" w:cs="Times New Roman"/>
                <w:sz w:val="24"/>
                <w:szCs w:val="24"/>
              </w:rPr>
            </w:pPr>
            <w:r w:rsidRPr="008D3C26">
              <w:rPr>
                <w:rFonts w:ascii="Times New Roman" w:hAnsi="Times New Roman" w:cs="Times New Roman"/>
                <w:sz w:val="24"/>
                <w:szCs w:val="24"/>
              </w:rPr>
              <w:t>8 215 156</w:t>
            </w:r>
          </w:p>
        </w:tc>
        <w:tc>
          <w:tcPr>
            <w:tcW w:w="1555" w:type="dxa"/>
            <w:tcBorders>
              <w:bottom w:val="single" w:sz="4" w:space="0" w:color="auto"/>
            </w:tcBorders>
            <w:vAlign w:val="bottom"/>
          </w:tcPr>
          <w:p w14:paraId="07B47EB0" w14:textId="77777777" w:rsidR="00C571E4" w:rsidRPr="008D3C26" w:rsidRDefault="002C1661" w:rsidP="00491181">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7 948</w:t>
            </w:r>
            <w:r w:rsidR="00C571E4" w:rsidRPr="008D3C26">
              <w:rPr>
                <w:rFonts w:ascii="Times New Roman" w:eastAsia="Times New Roman" w:hAnsi="Times New Roman" w:cs="Times New Roman"/>
                <w:color w:val="000000"/>
                <w:sz w:val="24"/>
                <w:szCs w:val="24"/>
                <w:lang w:eastAsia="en-ZA"/>
              </w:rPr>
              <w:t> </w:t>
            </w:r>
            <w:r w:rsidR="00491181" w:rsidRPr="008D3C26">
              <w:rPr>
                <w:rFonts w:ascii="Times New Roman" w:eastAsia="Times New Roman" w:hAnsi="Times New Roman" w:cs="Times New Roman"/>
                <w:color w:val="000000"/>
                <w:sz w:val="24"/>
                <w:szCs w:val="24"/>
                <w:lang w:eastAsia="en-ZA"/>
              </w:rPr>
              <w:t>286</w:t>
            </w:r>
          </w:p>
        </w:tc>
        <w:tc>
          <w:tcPr>
            <w:tcW w:w="1539" w:type="dxa"/>
            <w:tcBorders>
              <w:bottom w:val="single" w:sz="4" w:space="0" w:color="auto"/>
            </w:tcBorders>
            <w:vAlign w:val="bottom"/>
          </w:tcPr>
          <w:p w14:paraId="326CD212" w14:textId="77777777" w:rsidR="00C571E4" w:rsidRPr="008D3C26" w:rsidRDefault="002C1661" w:rsidP="00491181">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7 932</w:t>
            </w:r>
            <w:r w:rsidR="00C571E4" w:rsidRPr="008D3C26">
              <w:rPr>
                <w:rFonts w:ascii="Times New Roman" w:eastAsia="Times New Roman" w:hAnsi="Times New Roman" w:cs="Times New Roman"/>
                <w:color w:val="000000"/>
                <w:sz w:val="24"/>
                <w:szCs w:val="24"/>
                <w:lang w:eastAsia="en-ZA"/>
              </w:rPr>
              <w:t> </w:t>
            </w:r>
            <w:r w:rsidR="00491181" w:rsidRPr="008D3C26">
              <w:rPr>
                <w:rFonts w:ascii="Times New Roman" w:eastAsia="Times New Roman" w:hAnsi="Times New Roman" w:cs="Times New Roman"/>
                <w:color w:val="000000"/>
                <w:sz w:val="24"/>
                <w:szCs w:val="24"/>
                <w:lang w:eastAsia="en-ZA"/>
              </w:rPr>
              <w:t>567</w:t>
            </w:r>
          </w:p>
        </w:tc>
        <w:tc>
          <w:tcPr>
            <w:tcW w:w="1408" w:type="dxa"/>
            <w:tcBorders>
              <w:bottom w:val="single" w:sz="4" w:space="0" w:color="auto"/>
            </w:tcBorders>
            <w:vAlign w:val="bottom"/>
          </w:tcPr>
          <w:p w14:paraId="13C3D5DB" w14:textId="77777777" w:rsidR="00C571E4" w:rsidRPr="008D3C26" w:rsidRDefault="002C1661" w:rsidP="00491181">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7 883</w:t>
            </w:r>
            <w:r w:rsidR="00C571E4" w:rsidRPr="008D3C26">
              <w:rPr>
                <w:rFonts w:ascii="Times New Roman" w:eastAsia="Times New Roman" w:hAnsi="Times New Roman" w:cs="Times New Roman"/>
                <w:color w:val="000000"/>
                <w:sz w:val="24"/>
                <w:szCs w:val="24"/>
                <w:lang w:eastAsia="en-ZA"/>
              </w:rPr>
              <w:t> </w:t>
            </w:r>
            <w:r w:rsidR="00491181" w:rsidRPr="008D3C26">
              <w:rPr>
                <w:rFonts w:ascii="Times New Roman" w:eastAsia="Times New Roman" w:hAnsi="Times New Roman" w:cs="Times New Roman"/>
                <w:color w:val="000000"/>
                <w:sz w:val="24"/>
                <w:szCs w:val="24"/>
                <w:lang w:eastAsia="en-ZA"/>
              </w:rPr>
              <w:t>158</w:t>
            </w:r>
          </w:p>
        </w:tc>
        <w:tc>
          <w:tcPr>
            <w:tcW w:w="1459" w:type="dxa"/>
            <w:tcBorders>
              <w:bottom w:val="single" w:sz="4" w:space="0" w:color="auto"/>
            </w:tcBorders>
            <w:vAlign w:val="bottom"/>
          </w:tcPr>
          <w:p w14:paraId="5AEFF9D0" w14:textId="77777777" w:rsidR="00C571E4" w:rsidRPr="008D3C26" w:rsidRDefault="002C1661" w:rsidP="00491181">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49</w:t>
            </w:r>
            <w:r w:rsidR="00C571E4" w:rsidRPr="008D3C26">
              <w:rPr>
                <w:rFonts w:ascii="Times New Roman" w:eastAsia="Times New Roman" w:hAnsi="Times New Roman" w:cs="Times New Roman"/>
                <w:color w:val="000000"/>
                <w:sz w:val="24"/>
                <w:szCs w:val="24"/>
                <w:lang w:eastAsia="en-ZA"/>
              </w:rPr>
              <w:t> </w:t>
            </w:r>
            <w:r w:rsidR="00491181" w:rsidRPr="008D3C26">
              <w:rPr>
                <w:rFonts w:ascii="Times New Roman" w:eastAsia="Times New Roman" w:hAnsi="Times New Roman" w:cs="Times New Roman"/>
                <w:color w:val="000000"/>
                <w:sz w:val="24"/>
                <w:szCs w:val="24"/>
                <w:lang w:eastAsia="en-ZA"/>
              </w:rPr>
              <w:t>409</w:t>
            </w:r>
          </w:p>
        </w:tc>
      </w:tr>
      <w:tr w:rsidR="007D2DBC" w:rsidRPr="008D3C26" w14:paraId="15204926" w14:textId="77777777" w:rsidTr="00AA0585">
        <w:tc>
          <w:tcPr>
            <w:tcW w:w="2134" w:type="dxa"/>
            <w:tcBorders>
              <w:left w:val="single" w:sz="4" w:space="0" w:color="auto"/>
              <w:bottom w:val="nil"/>
            </w:tcBorders>
            <w:vAlign w:val="bottom"/>
          </w:tcPr>
          <w:p w14:paraId="5F590213" w14:textId="77777777" w:rsidR="007D2DBC" w:rsidRPr="008D3C26" w:rsidRDefault="007D2DBC"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Compensation of employees</w:t>
            </w:r>
          </w:p>
        </w:tc>
        <w:tc>
          <w:tcPr>
            <w:tcW w:w="1539" w:type="dxa"/>
            <w:tcBorders>
              <w:bottom w:val="nil"/>
            </w:tcBorders>
          </w:tcPr>
          <w:p w14:paraId="74B1774E" w14:textId="77777777" w:rsidR="007D2DBC" w:rsidRPr="008D3C26" w:rsidRDefault="00D72185" w:rsidP="00306178">
            <w:pPr>
              <w:rPr>
                <w:rFonts w:ascii="Times New Roman" w:hAnsi="Times New Roman" w:cs="Times New Roman"/>
                <w:sz w:val="24"/>
                <w:szCs w:val="24"/>
              </w:rPr>
            </w:pPr>
            <w:r w:rsidRPr="008D3C26">
              <w:rPr>
                <w:rFonts w:ascii="Times New Roman" w:hAnsi="Times New Roman" w:cs="Times New Roman"/>
                <w:sz w:val="24"/>
                <w:szCs w:val="24"/>
              </w:rPr>
              <w:t>7 839 886</w:t>
            </w:r>
          </w:p>
        </w:tc>
        <w:tc>
          <w:tcPr>
            <w:tcW w:w="1555" w:type="dxa"/>
            <w:tcBorders>
              <w:bottom w:val="nil"/>
            </w:tcBorders>
            <w:vAlign w:val="bottom"/>
          </w:tcPr>
          <w:p w14:paraId="573AD476"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7 573 712</w:t>
            </w:r>
          </w:p>
          <w:p w14:paraId="06F586B7" w14:textId="77777777" w:rsidR="00E716B3" w:rsidRPr="008D3C26" w:rsidRDefault="00E716B3" w:rsidP="00306178">
            <w:pPr>
              <w:jc w:val="center"/>
              <w:rPr>
                <w:rFonts w:ascii="Times New Roman" w:eastAsia="Times New Roman" w:hAnsi="Times New Roman" w:cs="Times New Roman"/>
                <w:color w:val="000000"/>
                <w:sz w:val="24"/>
                <w:szCs w:val="24"/>
                <w:lang w:eastAsia="en-ZA"/>
              </w:rPr>
            </w:pPr>
          </w:p>
        </w:tc>
        <w:tc>
          <w:tcPr>
            <w:tcW w:w="1539" w:type="dxa"/>
            <w:tcBorders>
              <w:bottom w:val="nil"/>
            </w:tcBorders>
            <w:vAlign w:val="bottom"/>
          </w:tcPr>
          <w:p w14:paraId="143DD7C6"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7 563 593</w:t>
            </w:r>
          </w:p>
          <w:p w14:paraId="238B90BC" w14:textId="77777777" w:rsidR="00E716B3" w:rsidRPr="008D3C26" w:rsidRDefault="00E716B3" w:rsidP="00306178">
            <w:pPr>
              <w:jc w:val="center"/>
              <w:rPr>
                <w:rFonts w:ascii="Times New Roman" w:eastAsia="Times New Roman" w:hAnsi="Times New Roman" w:cs="Times New Roman"/>
                <w:color w:val="000000"/>
                <w:sz w:val="24"/>
                <w:szCs w:val="24"/>
                <w:lang w:eastAsia="en-ZA"/>
              </w:rPr>
            </w:pPr>
          </w:p>
        </w:tc>
        <w:tc>
          <w:tcPr>
            <w:tcW w:w="1408" w:type="dxa"/>
            <w:tcBorders>
              <w:bottom w:val="nil"/>
            </w:tcBorders>
            <w:vAlign w:val="bottom"/>
          </w:tcPr>
          <w:p w14:paraId="3C3C52EA"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7 516 591</w:t>
            </w:r>
          </w:p>
          <w:p w14:paraId="7145B3F2" w14:textId="77777777" w:rsidR="00E716B3" w:rsidRPr="008D3C26" w:rsidRDefault="00E716B3" w:rsidP="00306178">
            <w:pPr>
              <w:jc w:val="center"/>
              <w:rPr>
                <w:rFonts w:ascii="Times New Roman" w:eastAsia="Times New Roman" w:hAnsi="Times New Roman" w:cs="Times New Roman"/>
                <w:color w:val="000000"/>
                <w:sz w:val="24"/>
                <w:szCs w:val="24"/>
                <w:lang w:eastAsia="en-ZA"/>
              </w:rPr>
            </w:pPr>
          </w:p>
        </w:tc>
        <w:tc>
          <w:tcPr>
            <w:tcW w:w="1459" w:type="dxa"/>
            <w:tcBorders>
              <w:bottom w:val="nil"/>
            </w:tcBorders>
            <w:vAlign w:val="bottom"/>
          </w:tcPr>
          <w:p w14:paraId="1A153C0F"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47 002</w:t>
            </w:r>
          </w:p>
          <w:p w14:paraId="3BADC9B7" w14:textId="77777777" w:rsidR="00E716B3" w:rsidRPr="008D3C26" w:rsidRDefault="00E716B3" w:rsidP="00306178">
            <w:pPr>
              <w:jc w:val="center"/>
              <w:rPr>
                <w:rFonts w:ascii="Times New Roman" w:eastAsia="Times New Roman" w:hAnsi="Times New Roman" w:cs="Times New Roman"/>
                <w:color w:val="000000"/>
                <w:sz w:val="24"/>
                <w:szCs w:val="24"/>
                <w:lang w:eastAsia="en-ZA"/>
              </w:rPr>
            </w:pPr>
          </w:p>
        </w:tc>
      </w:tr>
      <w:tr w:rsidR="007D2DBC" w:rsidRPr="008D3C26" w14:paraId="570E125C" w14:textId="77777777" w:rsidTr="00AA0585">
        <w:tc>
          <w:tcPr>
            <w:tcW w:w="2134" w:type="dxa"/>
            <w:tcBorders>
              <w:top w:val="nil"/>
              <w:left w:val="single" w:sz="4" w:space="0" w:color="auto"/>
            </w:tcBorders>
            <w:vAlign w:val="bottom"/>
          </w:tcPr>
          <w:p w14:paraId="12A2FE37" w14:textId="77777777" w:rsidR="007D2DBC" w:rsidRPr="008D3C26" w:rsidRDefault="007D2DBC"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Goods and services</w:t>
            </w:r>
          </w:p>
        </w:tc>
        <w:tc>
          <w:tcPr>
            <w:tcW w:w="1539" w:type="dxa"/>
            <w:tcBorders>
              <w:top w:val="nil"/>
            </w:tcBorders>
          </w:tcPr>
          <w:p w14:paraId="11FF3B6E" w14:textId="77777777" w:rsidR="007D2DBC" w:rsidRPr="008D3C26" w:rsidRDefault="00D72185" w:rsidP="00306178">
            <w:pPr>
              <w:rPr>
                <w:rFonts w:ascii="Times New Roman" w:hAnsi="Times New Roman" w:cs="Times New Roman"/>
                <w:sz w:val="24"/>
                <w:szCs w:val="24"/>
              </w:rPr>
            </w:pPr>
            <w:r w:rsidRPr="008D3C26">
              <w:rPr>
                <w:rFonts w:ascii="Times New Roman" w:hAnsi="Times New Roman" w:cs="Times New Roman"/>
                <w:sz w:val="24"/>
                <w:szCs w:val="24"/>
              </w:rPr>
              <w:t>375 270</w:t>
            </w:r>
          </w:p>
        </w:tc>
        <w:tc>
          <w:tcPr>
            <w:tcW w:w="1555" w:type="dxa"/>
            <w:tcBorders>
              <w:top w:val="nil"/>
            </w:tcBorders>
            <w:vAlign w:val="bottom"/>
          </w:tcPr>
          <w:p w14:paraId="0797AE53"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 xml:space="preserve">374 574 </w:t>
            </w:r>
          </w:p>
        </w:tc>
        <w:tc>
          <w:tcPr>
            <w:tcW w:w="1539" w:type="dxa"/>
            <w:tcBorders>
              <w:top w:val="nil"/>
            </w:tcBorders>
            <w:vAlign w:val="bottom"/>
          </w:tcPr>
          <w:p w14:paraId="610764F1"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368 974</w:t>
            </w:r>
          </w:p>
        </w:tc>
        <w:tc>
          <w:tcPr>
            <w:tcW w:w="1408" w:type="dxa"/>
            <w:tcBorders>
              <w:top w:val="nil"/>
            </w:tcBorders>
            <w:vAlign w:val="bottom"/>
          </w:tcPr>
          <w:p w14:paraId="73B853A1"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 xml:space="preserve">366 567 </w:t>
            </w:r>
          </w:p>
        </w:tc>
        <w:tc>
          <w:tcPr>
            <w:tcW w:w="1459" w:type="dxa"/>
            <w:tcBorders>
              <w:top w:val="nil"/>
            </w:tcBorders>
            <w:vAlign w:val="bottom"/>
          </w:tcPr>
          <w:p w14:paraId="016D3EC7"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2 407</w:t>
            </w:r>
          </w:p>
        </w:tc>
      </w:tr>
      <w:tr w:rsidR="007D2DBC" w:rsidRPr="008D3C26" w14:paraId="69A1393B" w14:textId="77777777" w:rsidTr="0092252D">
        <w:tc>
          <w:tcPr>
            <w:tcW w:w="2134" w:type="dxa"/>
            <w:vAlign w:val="bottom"/>
          </w:tcPr>
          <w:p w14:paraId="51E34ADC" w14:textId="77777777" w:rsidR="007D2DBC" w:rsidRPr="008D3C26" w:rsidRDefault="00D72185"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Transfers and subsidies</w:t>
            </w:r>
          </w:p>
        </w:tc>
        <w:tc>
          <w:tcPr>
            <w:tcW w:w="1539" w:type="dxa"/>
          </w:tcPr>
          <w:p w14:paraId="17BBAD65" w14:textId="77777777" w:rsidR="00804529" w:rsidRPr="008D3C26" w:rsidRDefault="00804529" w:rsidP="00306178">
            <w:pPr>
              <w:rPr>
                <w:rFonts w:ascii="Times New Roman" w:hAnsi="Times New Roman" w:cs="Times New Roman"/>
                <w:sz w:val="24"/>
                <w:szCs w:val="24"/>
              </w:rPr>
            </w:pPr>
          </w:p>
          <w:p w14:paraId="15F7BC82" w14:textId="77777777" w:rsidR="007D2DBC" w:rsidRPr="008D3C26" w:rsidRDefault="00D72185" w:rsidP="00306178">
            <w:pPr>
              <w:rPr>
                <w:rFonts w:ascii="Times New Roman" w:hAnsi="Times New Roman" w:cs="Times New Roman"/>
                <w:sz w:val="24"/>
                <w:szCs w:val="24"/>
              </w:rPr>
            </w:pPr>
            <w:r w:rsidRPr="008D3C26">
              <w:rPr>
                <w:rFonts w:ascii="Times New Roman" w:hAnsi="Times New Roman" w:cs="Times New Roman"/>
                <w:sz w:val="24"/>
                <w:szCs w:val="24"/>
              </w:rPr>
              <w:t>58 605 000</w:t>
            </w:r>
          </w:p>
        </w:tc>
        <w:tc>
          <w:tcPr>
            <w:tcW w:w="1555" w:type="dxa"/>
            <w:vAlign w:val="bottom"/>
          </w:tcPr>
          <w:p w14:paraId="5C077F46"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56 465 297</w:t>
            </w:r>
          </w:p>
        </w:tc>
        <w:tc>
          <w:tcPr>
            <w:tcW w:w="1539" w:type="dxa"/>
            <w:vAlign w:val="bottom"/>
          </w:tcPr>
          <w:p w14:paraId="26AA752D"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56 478 023</w:t>
            </w:r>
          </w:p>
        </w:tc>
        <w:tc>
          <w:tcPr>
            <w:tcW w:w="1408" w:type="dxa"/>
            <w:vAlign w:val="bottom"/>
          </w:tcPr>
          <w:p w14:paraId="745E0388"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56 477 360</w:t>
            </w:r>
          </w:p>
        </w:tc>
        <w:tc>
          <w:tcPr>
            <w:tcW w:w="1459" w:type="dxa"/>
            <w:vAlign w:val="bottom"/>
          </w:tcPr>
          <w:p w14:paraId="55BA5D7C" w14:textId="77777777" w:rsidR="007D2DBC"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663</w:t>
            </w:r>
          </w:p>
        </w:tc>
      </w:tr>
      <w:tr w:rsidR="00D72185" w:rsidRPr="008D3C26" w14:paraId="05099A8D" w14:textId="77777777" w:rsidTr="0092252D">
        <w:tc>
          <w:tcPr>
            <w:tcW w:w="2134" w:type="dxa"/>
            <w:vAlign w:val="bottom"/>
          </w:tcPr>
          <w:p w14:paraId="691D8ECE" w14:textId="77777777" w:rsidR="00D72185" w:rsidRPr="008D3C26" w:rsidRDefault="00D72185"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Payment for capital assets</w:t>
            </w:r>
          </w:p>
        </w:tc>
        <w:tc>
          <w:tcPr>
            <w:tcW w:w="1539" w:type="dxa"/>
          </w:tcPr>
          <w:p w14:paraId="2DFC7723" w14:textId="77777777" w:rsidR="00491181" w:rsidRPr="008D3C26" w:rsidRDefault="00491181" w:rsidP="00306178">
            <w:pPr>
              <w:rPr>
                <w:rFonts w:ascii="Times New Roman" w:hAnsi="Times New Roman" w:cs="Times New Roman"/>
                <w:sz w:val="24"/>
                <w:szCs w:val="24"/>
              </w:rPr>
            </w:pPr>
          </w:p>
          <w:p w14:paraId="49734EAF" w14:textId="77777777" w:rsidR="00D72185" w:rsidRPr="008D3C26" w:rsidRDefault="00D72185" w:rsidP="00306178">
            <w:pPr>
              <w:rPr>
                <w:rFonts w:ascii="Times New Roman" w:hAnsi="Times New Roman" w:cs="Times New Roman"/>
                <w:sz w:val="24"/>
                <w:szCs w:val="24"/>
              </w:rPr>
            </w:pPr>
            <w:r w:rsidRPr="008D3C26">
              <w:rPr>
                <w:rFonts w:ascii="Times New Roman" w:hAnsi="Times New Roman" w:cs="Times New Roman"/>
                <w:sz w:val="24"/>
                <w:szCs w:val="24"/>
              </w:rPr>
              <w:t>7 705</w:t>
            </w:r>
          </w:p>
        </w:tc>
        <w:tc>
          <w:tcPr>
            <w:tcW w:w="1555" w:type="dxa"/>
            <w:vAlign w:val="bottom"/>
          </w:tcPr>
          <w:p w14:paraId="679E68A9" w14:textId="77777777" w:rsidR="00D72185"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7 705</w:t>
            </w:r>
          </w:p>
        </w:tc>
        <w:tc>
          <w:tcPr>
            <w:tcW w:w="1539" w:type="dxa"/>
            <w:vAlign w:val="bottom"/>
          </w:tcPr>
          <w:p w14:paraId="43221A79" w14:textId="77777777" w:rsidR="00D72185"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10 580</w:t>
            </w:r>
          </w:p>
        </w:tc>
        <w:tc>
          <w:tcPr>
            <w:tcW w:w="1408" w:type="dxa"/>
            <w:vAlign w:val="bottom"/>
          </w:tcPr>
          <w:p w14:paraId="0E5E7032" w14:textId="77777777" w:rsidR="00D72185"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9 935</w:t>
            </w:r>
          </w:p>
        </w:tc>
        <w:tc>
          <w:tcPr>
            <w:tcW w:w="1459" w:type="dxa"/>
            <w:vAlign w:val="bottom"/>
          </w:tcPr>
          <w:p w14:paraId="5802F8A4" w14:textId="77777777" w:rsidR="00D72185" w:rsidRPr="008D3C26" w:rsidRDefault="00E716B3" w:rsidP="00306178">
            <w:pPr>
              <w:jc w:val="cente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645</w:t>
            </w:r>
          </w:p>
        </w:tc>
      </w:tr>
      <w:tr w:rsidR="0092252D" w:rsidRPr="008D3C26" w14:paraId="3087AACC" w14:textId="77777777" w:rsidTr="0092252D">
        <w:tc>
          <w:tcPr>
            <w:tcW w:w="2134" w:type="dxa"/>
            <w:tcBorders>
              <w:bottom w:val="single" w:sz="4" w:space="0" w:color="auto"/>
            </w:tcBorders>
            <w:vAlign w:val="bottom"/>
          </w:tcPr>
          <w:p w14:paraId="5C7AC712" w14:textId="77777777" w:rsidR="007D2DBC" w:rsidRPr="008D3C26" w:rsidRDefault="007D2DBC" w:rsidP="00306178">
            <w:pPr>
              <w:rPr>
                <w:rFonts w:ascii="Times New Roman" w:eastAsia="Times New Roman" w:hAnsi="Times New Roman" w:cs="Times New Roman"/>
                <w:b/>
                <w:bCs/>
                <w:color w:val="000000"/>
                <w:sz w:val="24"/>
                <w:szCs w:val="24"/>
                <w:lang w:eastAsia="en-ZA"/>
              </w:rPr>
            </w:pPr>
            <w:r w:rsidRPr="008D3C26">
              <w:rPr>
                <w:rFonts w:ascii="Times New Roman" w:eastAsia="Times New Roman" w:hAnsi="Times New Roman" w:cs="Times New Roman"/>
                <w:b/>
                <w:bCs/>
                <w:color w:val="000000"/>
                <w:sz w:val="24"/>
                <w:szCs w:val="24"/>
                <w:lang w:eastAsia="en-ZA"/>
              </w:rPr>
              <w:t>Total</w:t>
            </w:r>
          </w:p>
        </w:tc>
        <w:tc>
          <w:tcPr>
            <w:tcW w:w="1539" w:type="dxa"/>
            <w:tcBorders>
              <w:bottom w:val="single" w:sz="4" w:space="0" w:color="auto"/>
            </w:tcBorders>
          </w:tcPr>
          <w:p w14:paraId="6D33F20D" w14:textId="77777777" w:rsidR="007D2DBC" w:rsidRPr="008D3C26" w:rsidRDefault="007D2DBC" w:rsidP="00306178">
            <w:pPr>
              <w:rPr>
                <w:rFonts w:ascii="Times New Roman" w:hAnsi="Times New Roman" w:cs="Times New Roman"/>
                <w:b/>
                <w:sz w:val="24"/>
                <w:szCs w:val="24"/>
              </w:rPr>
            </w:pPr>
            <w:r w:rsidRPr="008D3C26">
              <w:rPr>
                <w:rFonts w:ascii="Times New Roman" w:hAnsi="Times New Roman" w:cs="Times New Roman"/>
                <w:b/>
                <w:sz w:val="24"/>
                <w:szCs w:val="24"/>
              </w:rPr>
              <w:t>66 827 874</w:t>
            </w:r>
          </w:p>
        </w:tc>
        <w:tc>
          <w:tcPr>
            <w:tcW w:w="1555" w:type="dxa"/>
            <w:tcBorders>
              <w:bottom w:val="single" w:sz="4" w:space="0" w:color="auto"/>
            </w:tcBorders>
            <w:vAlign w:val="bottom"/>
          </w:tcPr>
          <w:p w14:paraId="7CD9C7DE" w14:textId="77777777" w:rsidR="007D2DBC" w:rsidRPr="008D3C26" w:rsidRDefault="007D2DBC"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64 421 288</w:t>
            </w:r>
          </w:p>
        </w:tc>
        <w:tc>
          <w:tcPr>
            <w:tcW w:w="1539" w:type="dxa"/>
            <w:vAlign w:val="bottom"/>
          </w:tcPr>
          <w:p w14:paraId="49D58642" w14:textId="77777777" w:rsidR="007D2DBC" w:rsidRPr="008D3C26" w:rsidRDefault="007D2DBC"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64 421 288</w:t>
            </w:r>
          </w:p>
        </w:tc>
        <w:tc>
          <w:tcPr>
            <w:tcW w:w="1408" w:type="dxa"/>
            <w:vAlign w:val="bottom"/>
          </w:tcPr>
          <w:p w14:paraId="1F8C8080" w14:textId="77777777" w:rsidR="007D2DBC" w:rsidRPr="008D3C26" w:rsidRDefault="007D2DBC"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64 370 571</w:t>
            </w:r>
          </w:p>
        </w:tc>
        <w:tc>
          <w:tcPr>
            <w:tcW w:w="1459" w:type="dxa"/>
            <w:tcBorders>
              <w:bottom w:val="single" w:sz="4" w:space="0" w:color="auto"/>
            </w:tcBorders>
            <w:vAlign w:val="bottom"/>
          </w:tcPr>
          <w:p w14:paraId="6C2A5EE7" w14:textId="77777777" w:rsidR="007D2DBC" w:rsidRPr="008D3C26" w:rsidRDefault="007D2DBC" w:rsidP="00306178">
            <w:pPr>
              <w:jc w:val="cente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50 717</w:t>
            </w:r>
          </w:p>
        </w:tc>
      </w:tr>
    </w:tbl>
    <w:p w14:paraId="5FB016B8" w14:textId="77777777" w:rsidR="007D2DBC" w:rsidRPr="008D3C26" w:rsidRDefault="007D2DBC" w:rsidP="00091B4D">
      <w:pPr>
        <w:spacing w:after="0"/>
        <w:rPr>
          <w:rFonts w:ascii="Times New Roman" w:hAnsi="Times New Roman" w:cs="Times New Roman"/>
          <w:sz w:val="24"/>
          <w:szCs w:val="24"/>
        </w:rPr>
      </w:pPr>
    </w:p>
    <w:p w14:paraId="01647D0B" w14:textId="77777777" w:rsidR="00A50AF9"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In terms of economic classification, </w:t>
      </w:r>
      <w:r w:rsidR="00C571E4" w:rsidRPr="008D3C26">
        <w:rPr>
          <w:rFonts w:ascii="Times New Roman" w:hAnsi="Times New Roman" w:cs="Times New Roman"/>
          <w:sz w:val="24"/>
          <w:szCs w:val="24"/>
        </w:rPr>
        <w:t xml:space="preserve">the total budget </w:t>
      </w:r>
      <w:r w:rsidR="0018106A" w:rsidRPr="008D3C26">
        <w:rPr>
          <w:rFonts w:ascii="Times New Roman" w:hAnsi="Times New Roman" w:cs="Times New Roman"/>
          <w:sz w:val="24"/>
          <w:szCs w:val="24"/>
        </w:rPr>
        <w:t xml:space="preserve">of </w:t>
      </w:r>
      <w:r w:rsidR="00C571E4" w:rsidRPr="008D3C26">
        <w:rPr>
          <w:rFonts w:ascii="Times New Roman" w:hAnsi="Times New Roman" w:cs="Times New Roman"/>
          <w:sz w:val="24"/>
          <w:szCs w:val="24"/>
        </w:rPr>
        <w:t xml:space="preserve">R7.948 billion was for current payments. </w:t>
      </w:r>
      <w:r w:rsidR="00A50AF9" w:rsidRPr="008D3C26">
        <w:rPr>
          <w:rFonts w:ascii="Times New Roman" w:hAnsi="Times New Roman" w:cs="Times New Roman"/>
          <w:sz w:val="24"/>
          <w:szCs w:val="24"/>
        </w:rPr>
        <w:t>The current payments budget was adjusted down by R282.589 million from the main appropriation of R8.215 billion to R7.93</w:t>
      </w:r>
      <w:r w:rsidR="004C4F56" w:rsidRPr="008D3C26">
        <w:rPr>
          <w:rFonts w:ascii="Times New Roman" w:hAnsi="Times New Roman" w:cs="Times New Roman"/>
          <w:sz w:val="24"/>
          <w:szCs w:val="24"/>
        </w:rPr>
        <w:t>3</w:t>
      </w:r>
      <w:r w:rsidR="00A50AF9" w:rsidRPr="008D3C26">
        <w:rPr>
          <w:rFonts w:ascii="Times New Roman" w:hAnsi="Times New Roman" w:cs="Times New Roman"/>
          <w:sz w:val="24"/>
          <w:szCs w:val="24"/>
        </w:rPr>
        <w:t xml:space="preserve"> billion </w:t>
      </w:r>
      <w:r w:rsidR="000B542F" w:rsidRPr="008D3C26">
        <w:rPr>
          <w:rFonts w:ascii="Times New Roman" w:hAnsi="Times New Roman" w:cs="Times New Roman"/>
          <w:sz w:val="24"/>
          <w:szCs w:val="24"/>
        </w:rPr>
        <w:t xml:space="preserve">during the </w:t>
      </w:r>
      <w:r w:rsidR="004C4F56" w:rsidRPr="008D3C26">
        <w:rPr>
          <w:rFonts w:ascii="Times New Roman" w:hAnsi="Times New Roman" w:cs="Times New Roman"/>
          <w:sz w:val="24"/>
          <w:szCs w:val="24"/>
        </w:rPr>
        <w:t xml:space="preserve">final </w:t>
      </w:r>
      <w:r w:rsidR="000B542F" w:rsidRPr="008D3C26">
        <w:rPr>
          <w:rFonts w:ascii="Times New Roman" w:hAnsi="Times New Roman" w:cs="Times New Roman"/>
          <w:sz w:val="24"/>
          <w:szCs w:val="24"/>
        </w:rPr>
        <w:t xml:space="preserve">adjustment period in </w:t>
      </w:r>
      <w:r w:rsidR="004C4F56" w:rsidRPr="008D3C26">
        <w:rPr>
          <w:rFonts w:ascii="Times New Roman" w:hAnsi="Times New Roman" w:cs="Times New Roman"/>
          <w:sz w:val="24"/>
          <w:szCs w:val="24"/>
        </w:rPr>
        <w:t>March</w:t>
      </w:r>
      <w:r w:rsidR="000B542F" w:rsidRPr="008D3C26">
        <w:rPr>
          <w:rFonts w:ascii="Times New Roman" w:hAnsi="Times New Roman" w:cs="Times New Roman"/>
          <w:sz w:val="24"/>
          <w:szCs w:val="24"/>
        </w:rPr>
        <w:t xml:space="preserve"> 201</w:t>
      </w:r>
      <w:r w:rsidR="004C4F56" w:rsidRPr="008D3C26">
        <w:rPr>
          <w:rFonts w:ascii="Times New Roman" w:hAnsi="Times New Roman" w:cs="Times New Roman"/>
          <w:sz w:val="24"/>
          <w:szCs w:val="24"/>
        </w:rPr>
        <w:t>7</w:t>
      </w:r>
      <w:r w:rsidR="000B542F" w:rsidRPr="008D3C26">
        <w:rPr>
          <w:rFonts w:ascii="Times New Roman" w:hAnsi="Times New Roman" w:cs="Times New Roman"/>
          <w:sz w:val="24"/>
          <w:szCs w:val="24"/>
        </w:rPr>
        <w:t xml:space="preserve">. R260 million was shifted from </w:t>
      </w:r>
      <w:r w:rsidR="00100A53" w:rsidRPr="008D3C26">
        <w:rPr>
          <w:rFonts w:ascii="Times New Roman" w:hAnsi="Times New Roman" w:cs="Times New Roman"/>
          <w:sz w:val="24"/>
          <w:szCs w:val="24"/>
        </w:rPr>
        <w:t xml:space="preserve">the </w:t>
      </w:r>
      <w:r w:rsidR="000B542F" w:rsidRPr="008D3C26">
        <w:rPr>
          <w:rFonts w:ascii="Times New Roman" w:hAnsi="Times New Roman" w:cs="Times New Roman"/>
          <w:sz w:val="24"/>
          <w:szCs w:val="24"/>
        </w:rPr>
        <w:t>compensation of employees in programme 4: Technical and Vocational Education and Training to transfer paymen</w:t>
      </w:r>
      <w:r w:rsidR="00100A53" w:rsidRPr="008D3C26">
        <w:rPr>
          <w:rFonts w:ascii="Times New Roman" w:hAnsi="Times New Roman" w:cs="Times New Roman"/>
          <w:sz w:val="24"/>
          <w:szCs w:val="24"/>
        </w:rPr>
        <w:t>t to TVET Colleges operations</w:t>
      </w:r>
      <w:r w:rsidR="004C4F56" w:rsidRPr="008D3C26">
        <w:rPr>
          <w:rFonts w:ascii="Times New Roman" w:hAnsi="Times New Roman" w:cs="Times New Roman"/>
          <w:sz w:val="24"/>
          <w:szCs w:val="24"/>
        </w:rPr>
        <w:t xml:space="preserve"> during the 2016/17 adjusted estimates</w:t>
      </w:r>
      <w:r w:rsidR="00100A53" w:rsidRPr="008D3C26">
        <w:rPr>
          <w:rFonts w:ascii="Times New Roman" w:hAnsi="Times New Roman" w:cs="Times New Roman"/>
          <w:sz w:val="24"/>
          <w:szCs w:val="24"/>
        </w:rPr>
        <w:t>. I</w:t>
      </w:r>
      <w:r w:rsidR="000B542F" w:rsidRPr="008D3C26">
        <w:rPr>
          <w:rFonts w:ascii="Times New Roman" w:hAnsi="Times New Roman" w:cs="Times New Roman"/>
          <w:sz w:val="24"/>
          <w:szCs w:val="24"/>
        </w:rPr>
        <w:t xml:space="preserve">t is important to note that approximately 81 per cent of the total TVET budget for compensation of employees was retained by the </w:t>
      </w:r>
      <w:r w:rsidR="000B542F" w:rsidRPr="008D3C26">
        <w:rPr>
          <w:rFonts w:ascii="Times New Roman" w:hAnsi="Times New Roman" w:cs="Times New Roman"/>
          <w:sz w:val="24"/>
          <w:szCs w:val="24"/>
        </w:rPr>
        <w:lastRenderedPageBreak/>
        <w:t xml:space="preserve">Department </w:t>
      </w:r>
      <w:r w:rsidR="00306178" w:rsidRPr="008D3C26">
        <w:rPr>
          <w:rFonts w:ascii="Times New Roman" w:hAnsi="Times New Roman" w:cs="Times New Roman"/>
          <w:sz w:val="24"/>
          <w:szCs w:val="24"/>
        </w:rPr>
        <w:t xml:space="preserve">due to </w:t>
      </w:r>
      <w:r w:rsidR="00AA0585" w:rsidRPr="008D3C26">
        <w:rPr>
          <w:rFonts w:ascii="Times New Roman" w:hAnsi="Times New Roman" w:cs="Times New Roman"/>
          <w:sz w:val="24"/>
          <w:szCs w:val="24"/>
        </w:rPr>
        <w:t xml:space="preserve">the </w:t>
      </w:r>
      <w:r w:rsidR="00306178" w:rsidRPr="008D3C26">
        <w:rPr>
          <w:rFonts w:ascii="Times New Roman" w:hAnsi="Times New Roman" w:cs="Times New Roman"/>
          <w:sz w:val="24"/>
          <w:szCs w:val="24"/>
        </w:rPr>
        <w:t>function shift at the time</w:t>
      </w:r>
      <w:r w:rsidR="00AA0585" w:rsidRPr="008D3C26">
        <w:rPr>
          <w:rFonts w:ascii="Times New Roman" w:hAnsi="Times New Roman" w:cs="Times New Roman"/>
          <w:sz w:val="24"/>
          <w:szCs w:val="24"/>
        </w:rPr>
        <w:t>.</w:t>
      </w:r>
      <w:r w:rsidR="00306178" w:rsidRPr="008D3C26">
        <w:rPr>
          <w:rFonts w:ascii="Times New Roman" w:hAnsi="Times New Roman" w:cs="Times New Roman"/>
          <w:sz w:val="24"/>
          <w:szCs w:val="24"/>
        </w:rPr>
        <w:t xml:space="preserve"> </w:t>
      </w:r>
      <w:r w:rsidR="00AA0585" w:rsidRPr="008D3C26">
        <w:rPr>
          <w:rFonts w:ascii="Times New Roman" w:hAnsi="Times New Roman" w:cs="Times New Roman"/>
          <w:sz w:val="24"/>
          <w:szCs w:val="24"/>
        </w:rPr>
        <w:t>T</w:t>
      </w:r>
      <w:r w:rsidR="00306178" w:rsidRPr="008D3C26">
        <w:rPr>
          <w:rFonts w:ascii="Times New Roman" w:hAnsi="Times New Roman" w:cs="Times New Roman"/>
          <w:sz w:val="24"/>
          <w:szCs w:val="24"/>
        </w:rPr>
        <w:t>h</w:t>
      </w:r>
      <w:r w:rsidR="0018700B" w:rsidRPr="008D3C26">
        <w:rPr>
          <w:rFonts w:ascii="Times New Roman" w:hAnsi="Times New Roman" w:cs="Times New Roman"/>
          <w:sz w:val="24"/>
          <w:szCs w:val="24"/>
        </w:rPr>
        <w:t xml:space="preserve">e funds were </w:t>
      </w:r>
      <w:r w:rsidR="007C203B" w:rsidRPr="008D3C26">
        <w:rPr>
          <w:rFonts w:ascii="Times New Roman" w:hAnsi="Times New Roman" w:cs="Times New Roman"/>
          <w:sz w:val="24"/>
          <w:szCs w:val="24"/>
        </w:rPr>
        <w:t>shifted to supplement college subsidies.</w:t>
      </w:r>
      <w:r w:rsidR="000B542F" w:rsidRPr="008D3C26">
        <w:rPr>
          <w:rFonts w:ascii="Times New Roman" w:hAnsi="Times New Roman" w:cs="Times New Roman"/>
          <w:sz w:val="24"/>
          <w:szCs w:val="24"/>
        </w:rPr>
        <w:t xml:space="preserve"> </w:t>
      </w:r>
    </w:p>
    <w:p w14:paraId="071DCD91" w14:textId="77777777" w:rsidR="00A50AF9" w:rsidRPr="008D3C26" w:rsidRDefault="00A50AF9" w:rsidP="00091B4D">
      <w:pPr>
        <w:spacing w:after="0"/>
        <w:rPr>
          <w:rFonts w:ascii="Times New Roman" w:hAnsi="Times New Roman" w:cs="Times New Roman"/>
          <w:sz w:val="24"/>
          <w:szCs w:val="24"/>
        </w:rPr>
      </w:pPr>
    </w:p>
    <w:p w14:paraId="1D63DA7E"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Of the total budget for current payments, R7.51</w:t>
      </w:r>
      <w:r w:rsidR="004C4F56" w:rsidRPr="008D3C26">
        <w:rPr>
          <w:rFonts w:ascii="Times New Roman" w:hAnsi="Times New Roman" w:cs="Times New Roman"/>
          <w:sz w:val="24"/>
          <w:szCs w:val="24"/>
        </w:rPr>
        <w:t>7</w:t>
      </w:r>
      <w:r w:rsidRPr="008D3C26">
        <w:rPr>
          <w:rFonts w:ascii="Times New Roman" w:hAnsi="Times New Roman" w:cs="Times New Roman"/>
          <w:sz w:val="24"/>
          <w:szCs w:val="24"/>
        </w:rPr>
        <w:t xml:space="preserve"> billion was an expenditure for compensation of employees, which </w:t>
      </w:r>
      <w:r w:rsidR="00C07591" w:rsidRPr="008D3C26">
        <w:rPr>
          <w:rFonts w:ascii="Times New Roman" w:hAnsi="Times New Roman" w:cs="Times New Roman"/>
          <w:sz w:val="24"/>
          <w:szCs w:val="24"/>
        </w:rPr>
        <w:t>represented</w:t>
      </w:r>
      <w:r w:rsidRPr="008D3C26">
        <w:rPr>
          <w:rFonts w:ascii="Times New Roman" w:hAnsi="Times New Roman" w:cs="Times New Roman"/>
          <w:sz w:val="24"/>
          <w:szCs w:val="24"/>
        </w:rPr>
        <w:t xml:space="preserve"> 95.3 per cent of the total expenditure on current payments. </w:t>
      </w:r>
      <w:r w:rsidR="005C4D32" w:rsidRPr="008D3C26">
        <w:rPr>
          <w:rFonts w:ascii="Times New Roman" w:hAnsi="Times New Roman" w:cs="Times New Roman"/>
          <w:sz w:val="24"/>
          <w:szCs w:val="24"/>
        </w:rPr>
        <w:t>The e</w:t>
      </w:r>
      <w:r w:rsidRPr="008D3C26">
        <w:rPr>
          <w:rFonts w:ascii="Times New Roman" w:hAnsi="Times New Roman" w:cs="Times New Roman"/>
          <w:sz w:val="24"/>
          <w:szCs w:val="24"/>
        </w:rPr>
        <w:t xml:space="preserve">xpenditure on goods and services </w:t>
      </w:r>
      <w:r w:rsidR="005C4D32" w:rsidRPr="008D3C26">
        <w:rPr>
          <w:rFonts w:ascii="Times New Roman" w:hAnsi="Times New Roman" w:cs="Times New Roman"/>
          <w:sz w:val="24"/>
          <w:szCs w:val="24"/>
        </w:rPr>
        <w:t>amounted</w:t>
      </w:r>
      <w:r w:rsidRPr="008D3C26">
        <w:rPr>
          <w:rFonts w:ascii="Times New Roman" w:hAnsi="Times New Roman" w:cs="Times New Roman"/>
          <w:sz w:val="24"/>
          <w:szCs w:val="24"/>
        </w:rPr>
        <w:t xml:space="preserve"> </w:t>
      </w:r>
      <w:r w:rsidR="00AA0585" w:rsidRPr="008D3C26">
        <w:rPr>
          <w:rFonts w:ascii="Times New Roman" w:hAnsi="Times New Roman" w:cs="Times New Roman"/>
          <w:sz w:val="24"/>
          <w:szCs w:val="24"/>
        </w:rPr>
        <w:t xml:space="preserve">to </w:t>
      </w:r>
      <w:r w:rsidRPr="008D3C26">
        <w:rPr>
          <w:rFonts w:ascii="Times New Roman" w:hAnsi="Times New Roman" w:cs="Times New Roman"/>
          <w:sz w:val="24"/>
          <w:szCs w:val="24"/>
        </w:rPr>
        <w:t xml:space="preserve">R366.567 million, which </w:t>
      </w:r>
      <w:r w:rsidR="00C07591" w:rsidRPr="008D3C26">
        <w:rPr>
          <w:rFonts w:ascii="Times New Roman" w:hAnsi="Times New Roman" w:cs="Times New Roman"/>
          <w:sz w:val="24"/>
          <w:szCs w:val="24"/>
        </w:rPr>
        <w:t>constituted</w:t>
      </w:r>
      <w:r w:rsidRPr="008D3C26">
        <w:rPr>
          <w:rFonts w:ascii="Times New Roman" w:hAnsi="Times New Roman" w:cs="Times New Roman"/>
          <w:sz w:val="24"/>
          <w:szCs w:val="24"/>
        </w:rPr>
        <w:t xml:space="preserve"> 4.6 per cent of the current payment expenditure. </w:t>
      </w:r>
    </w:p>
    <w:p w14:paraId="1AC1D633" w14:textId="77777777" w:rsidR="00091B4D" w:rsidRPr="008D3C26" w:rsidRDefault="00091B4D" w:rsidP="00091B4D">
      <w:pPr>
        <w:spacing w:after="0"/>
        <w:rPr>
          <w:rFonts w:ascii="Times New Roman" w:hAnsi="Times New Roman" w:cs="Times New Roman"/>
          <w:sz w:val="24"/>
          <w:szCs w:val="24"/>
        </w:rPr>
      </w:pPr>
    </w:p>
    <w:p w14:paraId="19432A20"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In terms of spending on goods and services line items, the bulk of the expenditure was R85.136 million on computer services, which increased by R20.106 million from an expenditure of R65.030 million in 2015/16. The allocation to computer services was increased by R7.643 million from the adjusted budget of R77.539 million. </w:t>
      </w:r>
      <w:r w:rsidR="005C4D32" w:rsidRPr="008D3C26">
        <w:rPr>
          <w:rFonts w:ascii="Times New Roman" w:hAnsi="Times New Roman" w:cs="Times New Roman"/>
          <w:sz w:val="24"/>
          <w:szCs w:val="24"/>
        </w:rPr>
        <w:t>The e</w:t>
      </w:r>
      <w:r w:rsidRPr="008D3C26">
        <w:rPr>
          <w:rFonts w:ascii="Times New Roman" w:hAnsi="Times New Roman" w:cs="Times New Roman"/>
          <w:sz w:val="24"/>
          <w:szCs w:val="24"/>
        </w:rPr>
        <w:t xml:space="preserve">xpenditure on travel and subsistence of R84.203 million was the second largest expenditure line item. Similarly, the allocation to this line item increased </w:t>
      </w:r>
      <w:r w:rsidR="005C4D32" w:rsidRPr="008D3C26">
        <w:rPr>
          <w:rFonts w:ascii="Times New Roman" w:hAnsi="Times New Roman" w:cs="Times New Roman"/>
          <w:sz w:val="24"/>
          <w:szCs w:val="24"/>
        </w:rPr>
        <w:t xml:space="preserve">to </w:t>
      </w:r>
      <w:r w:rsidRPr="008D3C26">
        <w:rPr>
          <w:rFonts w:ascii="Times New Roman" w:hAnsi="Times New Roman" w:cs="Times New Roman"/>
          <w:sz w:val="24"/>
          <w:szCs w:val="24"/>
        </w:rPr>
        <w:t xml:space="preserve">R18.216 million from an adjusted allocation of R68.010 million. </w:t>
      </w:r>
      <w:r w:rsidR="005C4D32" w:rsidRPr="008D3C26">
        <w:rPr>
          <w:rFonts w:ascii="Times New Roman" w:hAnsi="Times New Roman" w:cs="Times New Roman"/>
          <w:sz w:val="24"/>
          <w:szCs w:val="24"/>
        </w:rPr>
        <w:t>The e</w:t>
      </w:r>
      <w:r w:rsidRPr="008D3C26">
        <w:rPr>
          <w:rFonts w:ascii="Times New Roman" w:hAnsi="Times New Roman" w:cs="Times New Roman"/>
          <w:sz w:val="24"/>
          <w:szCs w:val="24"/>
        </w:rPr>
        <w:t>xpenditure of R59.1 million on property payments was the third largest expenditure line item, followed by expenditure of R30.391 million on consumable: stationery, printing and office supplies, and expenditure of R15.63</w:t>
      </w:r>
      <w:r w:rsidR="004C4F56" w:rsidRPr="008D3C26">
        <w:rPr>
          <w:rFonts w:ascii="Times New Roman" w:hAnsi="Times New Roman" w:cs="Times New Roman"/>
          <w:sz w:val="24"/>
          <w:szCs w:val="24"/>
        </w:rPr>
        <w:t>6</w:t>
      </w:r>
      <w:r w:rsidRPr="008D3C26">
        <w:rPr>
          <w:rFonts w:ascii="Times New Roman" w:hAnsi="Times New Roman" w:cs="Times New Roman"/>
          <w:sz w:val="24"/>
          <w:szCs w:val="24"/>
        </w:rPr>
        <w:t xml:space="preserve"> million on operating p</w:t>
      </w:r>
      <w:r w:rsidR="005C4D32" w:rsidRPr="008D3C26">
        <w:rPr>
          <w:rFonts w:ascii="Times New Roman" w:hAnsi="Times New Roman" w:cs="Times New Roman"/>
          <w:sz w:val="24"/>
          <w:szCs w:val="24"/>
        </w:rPr>
        <w:t>ayments and R14.597 million on a</w:t>
      </w:r>
      <w:r w:rsidRPr="008D3C26">
        <w:rPr>
          <w:rFonts w:ascii="Times New Roman" w:hAnsi="Times New Roman" w:cs="Times New Roman"/>
          <w:sz w:val="24"/>
          <w:szCs w:val="24"/>
        </w:rPr>
        <w:t xml:space="preserve">gency support/outsourced services.  </w:t>
      </w:r>
    </w:p>
    <w:p w14:paraId="40B3C350" w14:textId="77777777" w:rsidR="00091B4D" w:rsidRPr="008D3C26" w:rsidRDefault="00091B4D" w:rsidP="00091B4D">
      <w:pPr>
        <w:spacing w:after="0"/>
        <w:rPr>
          <w:rFonts w:ascii="Times New Roman" w:hAnsi="Times New Roman" w:cs="Times New Roman"/>
          <w:sz w:val="24"/>
          <w:szCs w:val="24"/>
        </w:rPr>
      </w:pPr>
    </w:p>
    <w:p w14:paraId="4B58A04D"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In terms of transfers and subsidies, the expenditure at the end of the financial year was R56.477 billion, </w:t>
      </w:r>
      <w:r w:rsidR="005C4D32" w:rsidRPr="008D3C26">
        <w:rPr>
          <w:rFonts w:ascii="Times New Roman" w:hAnsi="Times New Roman" w:cs="Times New Roman"/>
          <w:sz w:val="24"/>
          <w:szCs w:val="24"/>
        </w:rPr>
        <w:t xml:space="preserve">of </w:t>
      </w:r>
      <w:r w:rsidRPr="008D3C26">
        <w:rPr>
          <w:rFonts w:ascii="Times New Roman" w:hAnsi="Times New Roman" w:cs="Times New Roman"/>
          <w:sz w:val="24"/>
          <w:szCs w:val="24"/>
        </w:rPr>
        <w:t>which R26.819 billion was for transfers to departmental agencies and R27.96</w:t>
      </w:r>
      <w:r w:rsidR="00545DD0" w:rsidRPr="008D3C26">
        <w:rPr>
          <w:rFonts w:ascii="Times New Roman" w:hAnsi="Times New Roman" w:cs="Times New Roman"/>
          <w:sz w:val="24"/>
          <w:szCs w:val="24"/>
        </w:rPr>
        <w:t>5</w:t>
      </w:r>
      <w:r w:rsidRPr="008D3C26">
        <w:rPr>
          <w:rFonts w:ascii="Times New Roman" w:hAnsi="Times New Roman" w:cs="Times New Roman"/>
          <w:sz w:val="24"/>
          <w:szCs w:val="24"/>
        </w:rPr>
        <w:t xml:space="preserve"> billion was for transfers and subsidies to higher education institutions. </w:t>
      </w:r>
      <w:r w:rsidR="005C4D32" w:rsidRPr="008D3C26">
        <w:rPr>
          <w:rFonts w:ascii="Times New Roman" w:hAnsi="Times New Roman" w:cs="Times New Roman"/>
          <w:sz w:val="24"/>
          <w:szCs w:val="24"/>
        </w:rPr>
        <w:t>The p</w:t>
      </w:r>
      <w:r w:rsidRPr="008D3C26">
        <w:rPr>
          <w:rFonts w:ascii="Times New Roman" w:hAnsi="Times New Roman" w:cs="Times New Roman"/>
          <w:sz w:val="24"/>
          <w:szCs w:val="24"/>
        </w:rPr>
        <w:t xml:space="preserve">ayment </w:t>
      </w:r>
      <w:r w:rsidR="00AA0585" w:rsidRPr="008D3C26">
        <w:rPr>
          <w:rFonts w:ascii="Times New Roman" w:hAnsi="Times New Roman" w:cs="Times New Roman"/>
          <w:sz w:val="24"/>
          <w:szCs w:val="24"/>
        </w:rPr>
        <w:t xml:space="preserve">for </w:t>
      </w:r>
      <w:r w:rsidRPr="008D3C26">
        <w:rPr>
          <w:rFonts w:ascii="Times New Roman" w:hAnsi="Times New Roman" w:cs="Times New Roman"/>
          <w:sz w:val="24"/>
          <w:szCs w:val="24"/>
        </w:rPr>
        <w:t>capital assets was R9.935 million.</w:t>
      </w:r>
    </w:p>
    <w:p w14:paraId="220A9007" w14:textId="77777777" w:rsidR="00A936AB" w:rsidRPr="008D3C26" w:rsidRDefault="00A936AB" w:rsidP="00091B4D">
      <w:pPr>
        <w:spacing w:after="0"/>
        <w:rPr>
          <w:rFonts w:ascii="Times New Roman" w:hAnsi="Times New Roman" w:cs="Times New Roman"/>
          <w:sz w:val="24"/>
          <w:szCs w:val="24"/>
        </w:rPr>
      </w:pPr>
    </w:p>
    <w:p w14:paraId="0A441F28" w14:textId="77777777" w:rsidR="00A936AB" w:rsidRPr="008D3C26" w:rsidRDefault="009319A3" w:rsidP="00A936AB">
      <w:pPr>
        <w:spacing w:after="0"/>
        <w:rPr>
          <w:rFonts w:ascii="Times New Roman" w:hAnsi="Times New Roman" w:cs="Times New Roman"/>
          <w:b/>
          <w:sz w:val="24"/>
          <w:szCs w:val="24"/>
        </w:rPr>
      </w:pPr>
      <w:r w:rsidRPr="008D3C26">
        <w:rPr>
          <w:rFonts w:ascii="Times New Roman" w:hAnsi="Times New Roman" w:cs="Times New Roman"/>
          <w:b/>
          <w:sz w:val="24"/>
          <w:szCs w:val="24"/>
        </w:rPr>
        <w:t>4.1.4</w:t>
      </w:r>
      <w:r w:rsidR="00A936AB" w:rsidRPr="008D3C26">
        <w:rPr>
          <w:rFonts w:ascii="Times New Roman" w:hAnsi="Times New Roman" w:cs="Times New Roman"/>
          <w:sz w:val="24"/>
          <w:szCs w:val="24"/>
        </w:rPr>
        <w:t xml:space="preserve">. </w:t>
      </w:r>
      <w:r w:rsidR="00A936AB" w:rsidRPr="008D3C26">
        <w:rPr>
          <w:rFonts w:ascii="Times New Roman" w:hAnsi="Times New Roman" w:cs="Times New Roman"/>
          <w:b/>
          <w:sz w:val="24"/>
          <w:szCs w:val="24"/>
        </w:rPr>
        <w:t>Irregular, Wasteful and Fruitless and Unauthorized Expenditure incurred in the 2016/17 financial year</w:t>
      </w:r>
    </w:p>
    <w:p w14:paraId="726C075D" w14:textId="77777777" w:rsidR="00A936AB" w:rsidRPr="008D3C26" w:rsidRDefault="00A936AB" w:rsidP="00A936AB">
      <w:pPr>
        <w:spacing w:after="0"/>
        <w:rPr>
          <w:rFonts w:ascii="Times New Roman" w:hAnsi="Times New Roman" w:cs="Times New Roman"/>
          <w:sz w:val="24"/>
          <w:szCs w:val="24"/>
        </w:rPr>
      </w:pPr>
      <w:r w:rsidRPr="008D3C26">
        <w:rPr>
          <w:rFonts w:ascii="Times New Roman" w:hAnsi="Times New Roman" w:cs="Times New Roman"/>
          <w:b/>
          <w:sz w:val="24"/>
          <w:szCs w:val="24"/>
        </w:rPr>
        <w:t xml:space="preserve">Table </w:t>
      </w:r>
      <w:r w:rsidR="00924886" w:rsidRPr="008D3C26">
        <w:rPr>
          <w:rFonts w:ascii="Times New Roman" w:hAnsi="Times New Roman" w:cs="Times New Roman"/>
          <w:b/>
          <w:sz w:val="24"/>
          <w:szCs w:val="24"/>
        </w:rPr>
        <w:t>4</w:t>
      </w:r>
      <w:r w:rsidRPr="008D3C26">
        <w:rPr>
          <w:rFonts w:ascii="Times New Roman" w:hAnsi="Times New Roman" w:cs="Times New Roman"/>
          <w:b/>
          <w:sz w:val="24"/>
          <w:szCs w:val="24"/>
        </w:rPr>
        <w:t>: Irregular, wasteful, fruitless and unauthorised expenditure over a three-year period.</w:t>
      </w:r>
    </w:p>
    <w:tbl>
      <w:tblPr>
        <w:tblStyle w:val="TableGrid"/>
        <w:tblW w:w="0" w:type="auto"/>
        <w:tblLook w:val="04A0" w:firstRow="1" w:lastRow="0" w:firstColumn="1" w:lastColumn="0" w:noHBand="0" w:noVBand="1"/>
      </w:tblPr>
      <w:tblGrid>
        <w:gridCol w:w="1803"/>
        <w:gridCol w:w="1878"/>
        <w:gridCol w:w="1984"/>
        <w:gridCol w:w="1843"/>
      </w:tblGrid>
      <w:tr w:rsidR="00A936AB" w:rsidRPr="008D3C26" w14:paraId="405BBCBB" w14:textId="77777777" w:rsidTr="00B11BEA">
        <w:tc>
          <w:tcPr>
            <w:tcW w:w="7508"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14:paraId="35635FB7" w14:textId="77777777" w:rsidR="00A936AB" w:rsidRPr="008D3C26" w:rsidRDefault="00A936AB" w:rsidP="00B11BEA">
            <w:pPr>
              <w:jc w:val="center"/>
              <w:rPr>
                <w:rFonts w:ascii="Times New Roman" w:hAnsi="Times New Roman" w:cs="Times New Roman"/>
                <w:b/>
                <w:sz w:val="24"/>
                <w:szCs w:val="24"/>
              </w:rPr>
            </w:pPr>
            <w:r w:rsidRPr="008D3C26">
              <w:rPr>
                <w:rFonts w:ascii="Times New Roman" w:hAnsi="Times New Roman" w:cs="Times New Roman"/>
                <w:b/>
                <w:sz w:val="24"/>
                <w:szCs w:val="24"/>
              </w:rPr>
              <w:t>Higher Education and Training</w:t>
            </w:r>
          </w:p>
        </w:tc>
      </w:tr>
      <w:tr w:rsidR="00A936AB" w:rsidRPr="008D3C26" w14:paraId="69C19822" w14:textId="77777777" w:rsidTr="00B11BEA">
        <w:tc>
          <w:tcPr>
            <w:tcW w:w="1803" w:type="dxa"/>
            <w:vMerge w:val="restart"/>
            <w:tcBorders>
              <w:top w:val="single" w:sz="4" w:space="0" w:color="auto"/>
              <w:left w:val="single" w:sz="4" w:space="0" w:color="auto"/>
              <w:right w:val="single" w:sz="4" w:space="0" w:color="auto"/>
            </w:tcBorders>
          </w:tcPr>
          <w:p w14:paraId="1A643631" w14:textId="77777777" w:rsidR="00A936AB" w:rsidRPr="008D3C26" w:rsidRDefault="00A936AB" w:rsidP="00B11BEA">
            <w:pPr>
              <w:rPr>
                <w:rFonts w:ascii="Times New Roman" w:hAnsi="Times New Roman" w:cs="Times New Roman"/>
                <w:sz w:val="24"/>
                <w:szCs w:val="24"/>
              </w:rPr>
            </w:pPr>
          </w:p>
        </w:tc>
        <w:tc>
          <w:tcPr>
            <w:tcW w:w="5705"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14:paraId="117FAAA1" w14:textId="77777777" w:rsidR="00A936AB" w:rsidRPr="008D3C26" w:rsidRDefault="00A936AB" w:rsidP="00B11BEA">
            <w:pPr>
              <w:jc w:val="center"/>
              <w:rPr>
                <w:rFonts w:ascii="Times New Roman" w:hAnsi="Times New Roman" w:cs="Times New Roman"/>
                <w:b/>
                <w:sz w:val="24"/>
                <w:szCs w:val="24"/>
              </w:rPr>
            </w:pPr>
            <w:r w:rsidRPr="008D3C26">
              <w:rPr>
                <w:rFonts w:ascii="Times New Roman" w:hAnsi="Times New Roman" w:cs="Times New Roman"/>
                <w:b/>
                <w:sz w:val="24"/>
                <w:szCs w:val="24"/>
              </w:rPr>
              <w:t xml:space="preserve">Years </w:t>
            </w:r>
          </w:p>
        </w:tc>
      </w:tr>
      <w:tr w:rsidR="00A936AB" w:rsidRPr="008D3C26" w14:paraId="482FA2D4" w14:textId="77777777" w:rsidTr="00B11BEA">
        <w:tc>
          <w:tcPr>
            <w:tcW w:w="1803" w:type="dxa"/>
            <w:vMerge/>
            <w:tcBorders>
              <w:left w:val="single" w:sz="4" w:space="0" w:color="auto"/>
              <w:bottom w:val="single" w:sz="4" w:space="0" w:color="auto"/>
              <w:right w:val="single" w:sz="4" w:space="0" w:color="auto"/>
            </w:tcBorders>
          </w:tcPr>
          <w:p w14:paraId="42F652A7" w14:textId="77777777" w:rsidR="00A936AB" w:rsidRPr="008D3C26" w:rsidRDefault="00A936AB" w:rsidP="00B11BEA">
            <w:pPr>
              <w:rPr>
                <w:rFonts w:ascii="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shd w:val="clear" w:color="auto" w:fill="E7E6E6" w:themeFill="background2"/>
          </w:tcPr>
          <w:p w14:paraId="7ECDA5A2" w14:textId="77777777" w:rsidR="00A936AB" w:rsidRPr="008D3C26" w:rsidRDefault="00A936AB" w:rsidP="00B11BEA">
            <w:pPr>
              <w:rPr>
                <w:rFonts w:ascii="Times New Roman" w:hAnsi="Times New Roman" w:cs="Times New Roman"/>
                <w:b/>
                <w:sz w:val="24"/>
                <w:szCs w:val="24"/>
              </w:rPr>
            </w:pPr>
            <w:r w:rsidRPr="008D3C26">
              <w:rPr>
                <w:rFonts w:ascii="Times New Roman" w:hAnsi="Times New Roman" w:cs="Times New Roman"/>
                <w:b/>
                <w:sz w:val="24"/>
                <w:szCs w:val="24"/>
              </w:rPr>
              <w:t>2014/15</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3258374E" w14:textId="77777777" w:rsidR="00A936AB" w:rsidRPr="008D3C26" w:rsidRDefault="00A936AB" w:rsidP="00B11BEA">
            <w:pPr>
              <w:rPr>
                <w:rFonts w:ascii="Times New Roman" w:hAnsi="Times New Roman" w:cs="Times New Roman"/>
                <w:b/>
                <w:sz w:val="24"/>
                <w:szCs w:val="24"/>
              </w:rPr>
            </w:pPr>
            <w:r w:rsidRPr="008D3C26">
              <w:rPr>
                <w:rFonts w:ascii="Times New Roman" w:hAnsi="Times New Roman" w:cs="Times New Roman"/>
                <w:b/>
                <w:sz w:val="24"/>
                <w:szCs w:val="24"/>
              </w:rPr>
              <w:t>2015/16</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7D4E841F" w14:textId="77777777" w:rsidR="00A936AB" w:rsidRPr="008D3C26" w:rsidRDefault="00A936AB" w:rsidP="00B11BEA">
            <w:pPr>
              <w:rPr>
                <w:rFonts w:ascii="Times New Roman" w:hAnsi="Times New Roman" w:cs="Times New Roman"/>
                <w:b/>
                <w:sz w:val="24"/>
                <w:szCs w:val="24"/>
              </w:rPr>
            </w:pPr>
            <w:r w:rsidRPr="008D3C26">
              <w:rPr>
                <w:rFonts w:ascii="Times New Roman" w:hAnsi="Times New Roman" w:cs="Times New Roman"/>
                <w:b/>
                <w:sz w:val="24"/>
                <w:szCs w:val="24"/>
              </w:rPr>
              <w:t>2016/17</w:t>
            </w:r>
          </w:p>
        </w:tc>
      </w:tr>
      <w:tr w:rsidR="00A936AB" w:rsidRPr="008D3C26" w14:paraId="05F1177B" w14:textId="77777777" w:rsidTr="00B11BEA">
        <w:tc>
          <w:tcPr>
            <w:tcW w:w="1803" w:type="dxa"/>
            <w:tcBorders>
              <w:top w:val="single" w:sz="4" w:space="0" w:color="auto"/>
              <w:left w:val="single" w:sz="4" w:space="0" w:color="auto"/>
              <w:bottom w:val="single" w:sz="4" w:space="0" w:color="auto"/>
              <w:right w:val="single" w:sz="4" w:space="0" w:color="auto"/>
            </w:tcBorders>
            <w:hideMark/>
          </w:tcPr>
          <w:p w14:paraId="66868BBC" w14:textId="77777777" w:rsidR="00A936AB" w:rsidRPr="008D3C26" w:rsidRDefault="00A936AB" w:rsidP="00B11BEA">
            <w:pPr>
              <w:rPr>
                <w:rFonts w:ascii="Times New Roman" w:hAnsi="Times New Roman" w:cs="Times New Roman"/>
                <w:b/>
                <w:sz w:val="24"/>
                <w:szCs w:val="24"/>
              </w:rPr>
            </w:pPr>
            <w:r w:rsidRPr="008D3C26">
              <w:rPr>
                <w:rFonts w:ascii="Times New Roman" w:hAnsi="Times New Roman" w:cs="Times New Roman"/>
                <w:b/>
                <w:sz w:val="24"/>
                <w:szCs w:val="24"/>
              </w:rPr>
              <w:t>Irregular expenditure</w:t>
            </w:r>
          </w:p>
        </w:tc>
        <w:tc>
          <w:tcPr>
            <w:tcW w:w="1878" w:type="dxa"/>
            <w:tcBorders>
              <w:top w:val="single" w:sz="4" w:space="0" w:color="auto"/>
              <w:left w:val="single" w:sz="4" w:space="0" w:color="auto"/>
              <w:bottom w:val="single" w:sz="4" w:space="0" w:color="auto"/>
              <w:right w:val="single" w:sz="4" w:space="0" w:color="auto"/>
            </w:tcBorders>
            <w:hideMark/>
          </w:tcPr>
          <w:p w14:paraId="52AB9AA4"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t>R1.252 million</w:t>
            </w:r>
          </w:p>
        </w:tc>
        <w:tc>
          <w:tcPr>
            <w:tcW w:w="1984" w:type="dxa"/>
            <w:tcBorders>
              <w:top w:val="single" w:sz="4" w:space="0" w:color="auto"/>
              <w:left w:val="single" w:sz="4" w:space="0" w:color="auto"/>
              <w:bottom w:val="single" w:sz="4" w:space="0" w:color="auto"/>
              <w:right w:val="single" w:sz="4" w:space="0" w:color="auto"/>
            </w:tcBorders>
          </w:tcPr>
          <w:p w14:paraId="1C585C46"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t>R31.308 million</w:t>
            </w:r>
          </w:p>
        </w:tc>
        <w:tc>
          <w:tcPr>
            <w:tcW w:w="1843" w:type="dxa"/>
            <w:tcBorders>
              <w:top w:val="single" w:sz="4" w:space="0" w:color="auto"/>
              <w:left w:val="single" w:sz="4" w:space="0" w:color="auto"/>
              <w:bottom w:val="single" w:sz="4" w:space="0" w:color="auto"/>
              <w:right w:val="single" w:sz="4" w:space="0" w:color="auto"/>
            </w:tcBorders>
          </w:tcPr>
          <w:p w14:paraId="04D8A2FB"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t>63.817 million</w:t>
            </w:r>
          </w:p>
        </w:tc>
      </w:tr>
      <w:tr w:rsidR="00A936AB" w:rsidRPr="008D3C26" w14:paraId="7A8FA769" w14:textId="77777777" w:rsidTr="00B11BEA">
        <w:tc>
          <w:tcPr>
            <w:tcW w:w="1803" w:type="dxa"/>
            <w:tcBorders>
              <w:top w:val="single" w:sz="4" w:space="0" w:color="auto"/>
              <w:left w:val="single" w:sz="4" w:space="0" w:color="auto"/>
              <w:bottom w:val="single" w:sz="4" w:space="0" w:color="auto"/>
              <w:right w:val="single" w:sz="4" w:space="0" w:color="auto"/>
            </w:tcBorders>
            <w:hideMark/>
          </w:tcPr>
          <w:p w14:paraId="0D1E882D" w14:textId="77777777" w:rsidR="00A936AB" w:rsidRPr="008D3C26" w:rsidRDefault="00A936AB" w:rsidP="00B11BEA">
            <w:pPr>
              <w:rPr>
                <w:rFonts w:ascii="Times New Roman" w:hAnsi="Times New Roman" w:cs="Times New Roman"/>
                <w:b/>
                <w:sz w:val="24"/>
                <w:szCs w:val="24"/>
              </w:rPr>
            </w:pPr>
            <w:r w:rsidRPr="008D3C26">
              <w:rPr>
                <w:rFonts w:ascii="Times New Roman" w:hAnsi="Times New Roman" w:cs="Times New Roman"/>
                <w:b/>
                <w:sz w:val="24"/>
                <w:szCs w:val="24"/>
              </w:rPr>
              <w:t>Wasteful and fruitless</w:t>
            </w:r>
          </w:p>
        </w:tc>
        <w:tc>
          <w:tcPr>
            <w:tcW w:w="1878" w:type="dxa"/>
            <w:tcBorders>
              <w:top w:val="single" w:sz="4" w:space="0" w:color="auto"/>
              <w:left w:val="single" w:sz="4" w:space="0" w:color="auto"/>
              <w:bottom w:val="single" w:sz="4" w:space="0" w:color="auto"/>
              <w:right w:val="single" w:sz="4" w:space="0" w:color="auto"/>
            </w:tcBorders>
            <w:hideMark/>
          </w:tcPr>
          <w:p w14:paraId="675AEC8E"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2631E4FF"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632AC335"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t>-</w:t>
            </w:r>
          </w:p>
        </w:tc>
      </w:tr>
      <w:tr w:rsidR="00A936AB" w:rsidRPr="008D3C26" w14:paraId="199DEDAD" w14:textId="77777777" w:rsidTr="00B11BEA">
        <w:tc>
          <w:tcPr>
            <w:tcW w:w="1803" w:type="dxa"/>
            <w:tcBorders>
              <w:top w:val="single" w:sz="4" w:space="0" w:color="auto"/>
              <w:left w:val="single" w:sz="4" w:space="0" w:color="auto"/>
              <w:bottom w:val="single" w:sz="4" w:space="0" w:color="auto"/>
              <w:right w:val="single" w:sz="4" w:space="0" w:color="auto"/>
            </w:tcBorders>
            <w:hideMark/>
          </w:tcPr>
          <w:p w14:paraId="74165B35" w14:textId="77777777" w:rsidR="00A936AB" w:rsidRPr="008D3C26" w:rsidRDefault="00A936AB" w:rsidP="00B11BEA">
            <w:pPr>
              <w:rPr>
                <w:rFonts w:ascii="Times New Roman" w:hAnsi="Times New Roman" w:cs="Times New Roman"/>
                <w:b/>
                <w:sz w:val="24"/>
                <w:szCs w:val="24"/>
              </w:rPr>
            </w:pPr>
            <w:r w:rsidRPr="008D3C26">
              <w:rPr>
                <w:rFonts w:ascii="Times New Roman" w:hAnsi="Times New Roman" w:cs="Times New Roman"/>
                <w:b/>
                <w:sz w:val="24"/>
                <w:szCs w:val="24"/>
              </w:rPr>
              <w:t xml:space="preserve">Unauthorised </w:t>
            </w:r>
            <w:r w:rsidRPr="008D3C26">
              <w:rPr>
                <w:rFonts w:ascii="Times New Roman" w:hAnsi="Times New Roman" w:cs="Times New Roman"/>
                <w:b/>
                <w:sz w:val="24"/>
                <w:szCs w:val="24"/>
              </w:rPr>
              <w:lastRenderedPageBreak/>
              <w:t>Expenditure</w:t>
            </w:r>
          </w:p>
        </w:tc>
        <w:tc>
          <w:tcPr>
            <w:tcW w:w="1878" w:type="dxa"/>
            <w:tcBorders>
              <w:top w:val="single" w:sz="4" w:space="0" w:color="auto"/>
              <w:left w:val="single" w:sz="4" w:space="0" w:color="auto"/>
              <w:bottom w:val="single" w:sz="4" w:space="0" w:color="auto"/>
              <w:right w:val="single" w:sz="4" w:space="0" w:color="auto"/>
            </w:tcBorders>
            <w:hideMark/>
          </w:tcPr>
          <w:p w14:paraId="18B5E808"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hideMark/>
          </w:tcPr>
          <w:p w14:paraId="1593446A"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4DB45140" w14:textId="77777777" w:rsidR="00A936AB" w:rsidRPr="008D3C26" w:rsidRDefault="00A936AB" w:rsidP="00B11BEA">
            <w:pPr>
              <w:rPr>
                <w:rFonts w:ascii="Times New Roman" w:hAnsi="Times New Roman" w:cs="Times New Roman"/>
                <w:sz w:val="24"/>
                <w:szCs w:val="24"/>
              </w:rPr>
            </w:pPr>
            <w:r w:rsidRPr="008D3C26">
              <w:rPr>
                <w:rFonts w:ascii="Times New Roman" w:hAnsi="Times New Roman" w:cs="Times New Roman"/>
                <w:sz w:val="24"/>
                <w:szCs w:val="24"/>
              </w:rPr>
              <w:t>-</w:t>
            </w:r>
          </w:p>
        </w:tc>
      </w:tr>
    </w:tbl>
    <w:p w14:paraId="5AB3CF20" w14:textId="77777777" w:rsidR="00A936AB" w:rsidRPr="008D3C26" w:rsidRDefault="00A936AB" w:rsidP="00A936AB">
      <w:pPr>
        <w:rPr>
          <w:rFonts w:ascii="Times New Roman" w:hAnsi="Times New Roman" w:cs="Times New Roman"/>
          <w:sz w:val="24"/>
          <w:szCs w:val="24"/>
        </w:rPr>
      </w:pPr>
    </w:p>
    <w:p w14:paraId="3F1DF131" w14:textId="77777777" w:rsidR="002B6157" w:rsidRPr="008D3C26" w:rsidRDefault="00A936AB" w:rsidP="002B6157">
      <w:pPr>
        <w:rPr>
          <w:rFonts w:ascii="Times New Roman" w:hAnsi="Times New Roman" w:cs="Times New Roman"/>
          <w:sz w:val="24"/>
          <w:szCs w:val="24"/>
        </w:rPr>
      </w:pPr>
      <w:r w:rsidRPr="008D3C26">
        <w:rPr>
          <w:rFonts w:ascii="Times New Roman" w:hAnsi="Times New Roman" w:cs="Times New Roman"/>
          <w:sz w:val="24"/>
          <w:szCs w:val="24"/>
        </w:rPr>
        <w:t xml:space="preserve">For the 2016/17 financial year, the irregular expenditure incurred by the Department increased by 49.05 per cent from R31.308 million incurred in the 2015/16 financial year to R63.817 million in 2016/17. </w:t>
      </w:r>
      <w:r w:rsidR="00AA0585" w:rsidRPr="008D3C26">
        <w:rPr>
          <w:rFonts w:ascii="Times New Roman" w:hAnsi="Times New Roman" w:cs="Times New Roman"/>
          <w:sz w:val="24"/>
          <w:szCs w:val="24"/>
        </w:rPr>
        <w:t>I</w:t>
      </w:r>
      <w:r w:rsidRPr="008D3C26">
        <w:rPr>
          <w:rFonts w:ascii="Times New Roman" w:hAnsi="Times New Roman" w:cs="Times New Roman"/>
          <w:sz w:val="24"/>
          <w:szCs w:val="24"/>
        </w:rPr>
        <w:t xml:space="preserve">rregular expenditure had been on the increase since 2014/15 financial year. </w:t>
      </w:r>
      <w:r w:rsidR="002B6157" w:rsidRPr="008D3C26">
        <w:rPr>
          <w:rFonts w:ascii="Times New Roman" w:hAnsi="Times New Roman" w:cs="Times New Roman"/>
          <w:sz w:val="24"/>
          <w:szCs w:val="24"/>
        </w:rPr>
        <w:t>Irregular expenditure from the Department and entities reporting to it increased from R569 million in 2015/16 to R904 million in 2016/17. Irregular expenditure incurred in 2016/17 was as follows: DHET: R63.817 million, Agriculture SETA: R30.948 million; Culture, Arts, Tourism, Hospitality and Sports SETA: R43.487 million; Education, Training and Development Practices SETA: R1.3 million, Energy and Water SETA: R290 million, Public Services SETA: R80.498 million; Wholesale and Retail SETA: R144.735 million and Services SETA: R80.169 million) and the increase in fruitless and wasteful expenditure from R2 million in 2015/16 to R25 million (incurred by Finance and Accounting SETA: R22 million; Safety and Security SETA: R2.2 million and Education, Training and Development Practices SETA: R577 000)</w:t>
      </w:r>
    </w:p>
    <w:p w14:paraId="7ABAB439" w14:textId="77777777" w:rsidR="002B6157" w:rsidRPr="008D3C26" w:rsidRDefault="002B6157" w:rsidP="00A936AB">
      <w:pPr>
        <w:rPr>
          <w:rFonts w:ascii="Times New Roman" w:hAnsi="Times New Roman" w:cs="Times New Roman"/>
          <w:sz w:val="24"/>
          <w:szCs w:val="24"/>
        </w:rPr>
      </w:pPr>
    </w:p>
    <w:p w14:paraId="67A0DD39" w14:textId="77777777" w:rsidR="002B6157" w:rsidRPr="008D3C26" w:rsidRDefault="002B6157" w:rsidP="00A936AB">
      <w:pPr>
        <w:rPr>
          <w:rFonts w:ascii="Times New Roman" w:hAnsi="Times New Roman" w:cs="Times New Roman"/>
          <w:sz w:val="24"/>
          <w:szCs w:val="24"/>
        </w:rPr>
      </w:pPr>
    </w:p>
    <w:p w14:paraId="2153D0EA" w14:textId="77777777" w:rsidR="00A936AB" w:rsidRPr="008D3C26" w:rsidRDefault="00A936AB" w:rsidP="00A936AB">
      <w:pPr>
        <w:rPr>
          <w:rFonts w:ascii="Times New Roman" w:hAnsi="Times New Roman" w:cs="Times New Roman"/>
          <w:sz w:val="24"/>
          <w:szCs w:val="24"/>
        </w:rPr>
      </w:pPr>
      <w:r w:rsidRPr="008D3C26">
        <w:rPr>
          <w:rFonts w:ascii="Times New Roman" w:hAnsi="Times New Roman" w:cs="Times New Roman"/>
          <w:sz w:val="24"/>
          <w:szCs w:val="24"/>
        </w:rPr>
        <w:t>The following were the five (5) cases of irregular expenditure</w:t>
      </w:r>
      <w:r w:rsidR="002B6157" w:rsidRPr="008D3C26">
        <w:rPr>
          <w:rFonts w:ascii="Times New Roman" w:hAnsi="Times New Roman" w:cs="Times New Roman"/>
          <w:sz w:val="24"/>
          <w:szCs w:val="24"/>
        </w:rPr>
        <w:t xml:space="preserve"> incurred by the Department</w:t>
      </w:r>
      <w:r w:rsidRPr="008D3C26">
        <w:rPr>
          <w:rFonts w:ascii="Times New Roman" w:hAnsi="Times New Roman" w:cs="Times New Roman"/>
          <w:sz w:val="24"/>
          <w:szCs w:val="24"/>
        </w:rPr>
        <w:t xml:space="preserve"> during the year under review:</w:t>
      </w:r>
    </w:p>
    <w:p w14:paraId="2782687E" w14:textId="77777777" w:rsidR="00A936AB" w:rsidRPr="008D3C26" w:rsidRDefault="00A936AB" w:rsidP="00A936AB">
      <w:pPr>
        <w:rPr>
          <w:rFonts w:ascii="Times New Roman" w:hAnsi="Times New Roman" w:cs="Times New Roman"/>
          <w:sz w:val="24"/>
          <w:szCs w:val="24"/>
        </w:rPr>
      </w:pPr>
      <w:r w:rsidRPr="008D3C26">
        <w:rPr>
          <w:rFonts w:ascii="Times New Roman" w:eastAsia="Times New Roman" w:hAnsi="Times New Roman" w:cs="Times New Roman"/>
          <w:b/>
          <w:sz w:val="24"/>
          <w:szCs w:val="24"/>
        </w:rPr>
        <w:t xml:space="preserve">Appointment of a service provider not scoring </w:t>
      </w:r>
      <w:r w:rsidR="00100A53" w:rsidRPr="008D3C26">
        <w:rPr>
          <w:rFonts w:ascii="Times New Roman" w:eastAsia="Times New Roman" w:hAnsi="Times New Roman" w:cs="Times New Roman"/>
          <w:b/>
          <w:sz w:val="24"/>
          <w:szCs w:val="24"/>
        </w:rPr>
        <w:t xml:space="preserve">the </w:t>
      </w:r>
      <w:r w:rsidRPr="008D3C26">
        <w:rPr>
          <w:rFonts w:ascii="Times New Roman" w:eastAsia="Times New Roman" w:hAnsi="Times New Roman" w:cs="Times New Roman"/>
          <w:b/>
          <w:sz w:val="24"/>
          <w:szCs w:val="24"/>
        </w:rPr>
        <w:t xml:space="preserve">highest point during </w:t>
      </w:r>
      <w:r w:rsidR="00100A53" w:rsidRPr="008D3C26">
        <w:rPr>
          <w:rFonts w:ascii="Times New Roman" w:eastAsia="Times New Roman" w:hAnsi="Times New Roman" w:cs="Times New Roman"/>
          <w:b/>
          <w:sz w:val="24"/>
          <w:szCs w:val="24"/>
        </w:rPr>
        <w:t xml:space="preserve">the </w:t>
      </w:r>
      <w:r w:rsidRPr="008D3C26">
        <w:rPr>
          <w:rFonts w:ascii="Times New Roman" w:eastAsia="Times New Roman" w:hAnsi="Times New Roman" w:cs="Times New Roman"/>
          <w:b/>
          <w:sz w:val="24"/>
          <w:szCs w:val="24"/>
        </w:rPr>
        <w:t xml:space="preserve">evaluation: </w:t>
      </w:r>
      <w:r w:rsidR="004B1753" w:rsidRPr="008D3C26">
        <w:rPr>
          <w:rFonts w:ascii="Times New Roman" w:eastAsia="Times New Roman" w:hAnsi="Times New Roman" w:cs="Times New Roman"/>
          <w:sz w:val="24"/>
          <w:szCs w:val="24"/>
        </w:rPr>
        <w:t>A recurring finding</w:t>
      </w:r>
      <w:r w:rsidRPr="008D3C26">
        <w:rPr>
          <w:rFonts w:ascii="Times New Roman" w:eastAsia="Times New Roman" w:hAnsi="Times New Roman" w:cs="Times New Roman"/>
          <w:sz w:val="24"/>
          <w:szCs w:val="24"/>
        </w:rPr>
        <w:t xml:space="preserve"> </w:t>
      </w:r>
      <w:r w:rsidR="004B1753" w:rsidRPr="008D3C26">
        <w:rPr>
          <w:rFonts w:ascii="Times New Roman" w:eastAsia="Times New Roman" w:hAnsi="Times New Roman" w:cs="Times New Roman"/>
          <w:sz w:val="24"/>
          <w:szCs w:val="24"/>
        </w:rPr>
        <w:t xml:space="preserve">of </w:t>
      </w:r>
      <w:r w:rsidRPr="008D3C26">
        <w:rPr>
          <w:rFonts w:ascii="Times New Roman" w:hAnsi="Times New Roman" w:cs="Times New Roman"/>
          <w:sz w:val="24"/>
          <w:szCs w:val="24"/>
        </w:rPr>
        <w:t xml:space="preserve">R58.931 million of irregular expenditure was incurred, which represented 92.3 per cent of the total irregular expenditure during the year under review. A similar irregularity was recorded in the 2015/16 financial year, where a contract to the value of R30.118 million was awarded to a bidder who did not score the highest points in the evaluation process. </w:t>
      </w:r>
      <w:r w:rsidRPr="008D3C26">
        <w:rPr>
          <w:rFonts w:ascii="Times New Roman" w:eastAsia="Times New Roman" w:hAnsi="Times New Roman" w:cs="Times New Roman"/>
          <w:sz w:val="24"/>
          <w:szCs w:val="24"/>
        </w:rPr>
        <w:t xml:space="preserve">The Department appointed a service provider as </w:t>
      </w:r>
      <w:r w:rsidR="00100A53" w:rsidRPr="008D3C26">
        <w:rPr>
          <w:rFonts w:ascii="Times New Roman" w:eastAsia="Times New Roman" w:hAnsi="Times New Roman" w:cs="Times New Roman"/>
          <w:sz w:val="24"/>
          <w:szCs w:val="24"/>
        </w:rPr>
        <w:t xml:space="preserve">a </w:t>
      </w:r>
      <w:r w:rsidRPr="008D3C26">
        <w:rPr>
          <w:rFonts w:ascii="Times New Roman" w:eastAsia="Times New Roman" w:hAnsi="Times New Roman" w:cs="Times New Roman"/>
          <w:sz w:val="24"/>
          <w:szCs w:val="24"/>
        </w:rPr>
        <w:t xml:space="preserve">travel agent during the 2015/16 financial year. The service provider scored the second highest points and a recommendation was made by the Chief Financial Officer (CFO) to the Accounting Officer for this appointment. The recommendation resulted from the budgetary constraints within the Department as well as the problems experienced with the previous service provider in terms of the quality of services and the invoicing of services. The recommendation of the CFO was based on the fact that the service provider scored the highest points on functionality and price. The Auditor-General was not in agreement with the recommendation and requested </w:t>
      </w:r>
      <w:r w:rsidRPr="008D3C26">
        <w:rPr>
          <w:rFonts w:ascii="Times New Roman" w:eastAsia="Times New Roman" w:hAnsi="Times New Roman" w:cs="Times New Roman"/>
          <w:sz w:val="24"/>
          <w:szCs w:val="24"/>
        </w:rPr>
        <w:lastRenderedPageBreak/>
        <w:t>that the matter be regarded as irregular. A detailed analysis of the process and the appointment had been performed and the Department maintains the view that a fair and transparent process had been followed.</w:t>
      </w:r>
      <w:r w:rsidRPr="008D3C26">
        <w:rPr>
          <w:rFonts w:ascii="Times New Roman" w:hAnsi="Times New Roman" w:cs="Times New Roman"/>
          <w:sz w:val="24"/>
          <w:szCs w:val="24"/>
        </w:rPr>
        <w:t xml:space="preserve"> </w:t>
      </w:r>
      <w:r w:rsidRPr="008D3C26">
        <w:rPr>
          <w:rFonts w:ascii="Times New Roman" w:eastAsia="Times New Roman" w:hAnsi="Times New Roman" w:cs="Times New Roman"/>
          <w:sz w:val="24"/>
          <w:szCs w:val="24"/>
        </w:rPr>
        <w:t xml:space="preserve">The matter </w:t>
      </w:r>
      <w:r w:rsidR="00AA0585" w:rsidRPr="008D3C26">
        <w:rPr>
          <w:rFonts w:ascii="Times New Roman" w:eastAsia="Times New Roman" w:hAnsi="Times New Roman" w:cs="Times New Roman"/>
          <w:sz w:val="24"/>
          <w:szCs w:val="24"/>
        </w:rPr>
        <w:t xml:space="preserve">is in the process to be submitted for condonation by </w:t>
      </w:r>
      <w:r w:rsidRPr="008D3C26">
        <w:rPr>
          <w:rFonts w:ascii="Times New Roman" w:eastAsia="Times New Roman" w:hAnsi="Times New Roman" w:cs="Times New Roman"/>
          <w:sz w:val="24"/>
          <w:szCs w:val="24"/>
        </w:rPr>
        <w:t>National Treasury</w:t>
      </w:r>
      <w:r w:rsidR="00AA0585" w:rsidRPr="008D3C26">
        <w:rPr>
          <w:rFonts w:ascii="Times New Roman" w:eastAsia="Times New Roman" w:hAnsi="Times New Roman" w:cs="Times New Roman"/>
          <w:sz w:val="24"/>
          <w:szCs w:val="24"/>
        </w:rPr>
        <w:t>.</w:t>
      </w:r>
    </w:p>
    <w:p w14:paraId="50EF6830" w14:textId="77777777" w:rsidR="00A936AB" w:rsidRPr="008D3C26" w:rsidRDefault="00A936AB" w:rsidP="00A936AB">
      <w:pPr>
        <w:spacing w:after="120"/>
        <w:rPr>
          <w:rFonts w:ascii="Times New Roman" w:eastAsia="Times New Roman" w:hAnsi="Times New Roman" w:cs="Times New Roman"/>
          <w:sz w:val="24"/>
          <w:szCs w:val="24"/>
        </w:rPr>
      </w:pPr>
      <w:r w:rsidRPr="008D3C26">
        <w:rPr>
          <w:rFonts w:ascii="Times New Roman" w:eastAsia="Times New Roman" w:hAnsi="Times New Roman" w:cs="Times New Roman"/>
          <w:b/>
          <w:sz w:val="24"/>
          <w:szCs w:val="24"/>
        </w:rPr>
        <w:t xml:space="preserve">Appointment of suppliers not listed on database: </w:t>
      </w:r>
      <w:r w:rsidRPr="008D3C26">
        <w:rPr>
          <w:rFonts w:ascii="Times New Roman" w:hAnsi="Times New Roman" w:cs="Times New Roman"/>
          <w:sz w:val="24"/>
          <w:szCs w:val="24"/>
        </w:rPr>
        <w:t xml:space="preserve">A contract to the value of R440 000 was awarded to suppliers not listed on the database. This was a recurring finding as </w:t>
      </w:r>
      <w:r w:rsidR="00DD1D7E" w:rsidRPr="008D3C26">
        <w:rPr>
          <w:rFonts w:ascii="Times New Roman" w:hAnsi="Times New Roman" w:cs="Times New Roman"/>
          <w:sz w:val="24"/>
          <w:szCs w:val="24"/>
        </w:rPr>
        <w:t xml:space="preserve">a </w:t>
      </w:r>
      <w:r w:rsidRPr="008D3C26">
        <w:rPr>
          <w:rFonts w:ascii="Times New Roman" w:hAnsi="Times New Roman" w:cs="Times New Roman"/>
          <w:sz w:val="24"/>
          <w:szCs w:val="24"/>
        </w:rPr>
        <w:t>similar irregularity was recorded in the 2015/16 financial year where the Department awa</w:t>
      </w:r>
      <w:r w:rsidR="00DD1D7E" w:rsidRPr="008D3C26">
        <w:rPr>
          <w:rFonts w:ascii="Times New Roman" w:hAnsi="Times New Roman" w:cs="Times New Roman"/>
          <w:sz w:val="24"/>
          <w:szCs w:val="24"/>
        </w:rPr>
        <w:t>rded contracts to the value of R493 711</w:t>
      </w:r>
      <w:r w:rsidRPr="008D3C26">
        <w:rPr>
          <w:rFonts w:ascii="Times New Roman" w:hAnsi="Times New Roman" w:cs="Times New Roman"/>
          <w:sz w:val="24"/>
          <w:szCs w:val="24"/>
        </w:rPr>
        <w:t xml:space="preserve"> to suppliers who were not listed on the database. This was due to the fact that</w:t>
      </w:r>
      <w:r w:rsidRPr="008D3C26">
        <w:rPr>
          <w:rFonts w:ascii="Times New Roman" w:eastAsia="Times New Roman" w:hAnsi="Times New Roman" w:cs="Times New Roman"/>
          <w:sz w:val="24"/>
          <w:szCs w:val="24"/>
        </w:rPr>
        <w:t xml:space="preserve"> services required by the Department was not listed on the database and the Department therefore had to obtain quotations from service providers not listed on the database to perform these services. The services were applicable to business processes and social media campaigns. These services were required before the implementation of the Central Database by National Treasury. All these appointments were reviewed in detail and is in the process to be submitted for condonation</w:t>
      </w:r>
      <w:r w:rsidR="00DD1D7E" w:rsidRPr="008D3C26">
        <w:rPr>
          <w:rFonts w:ascii="Times New Roman" w:eastAsia="Times New Roman" w:hAnsi="Times New Roman" w:cs="Times New Roman"/>
          <w:sz w:val="24"/>
          <w:szCs w:val="24"/>
        </w:rPr>
        <w:t xml:space="preserve"> by National Treasury</w:t>
      </w:r>
      <w:r w:rsidRPr="008D3C26">
        <w:rPr>
          <w:rFonts w:ascii="Times New Roman" w:eastAsia="Times New Roman" w:hAnsi="Times New Roman" w:cs="Times New Roman"/>
          <w:sz w:val="24"/>
          <w:szCs w:val="24"/>
        </w:rPr>
        <w:t>.</w:t>
      </w:r>
    </w:p>
    <w:p w14:paraId="0B7CDF0B" w14:textId="77777777" w:rsidR="00A936AB" w:rsidRPr="008D3C26" w:rsidRDefault="00A936AB" w:rsidP="00A936AB">
      <w:pPr>
        <w:spacing w:after="120"/>
        <w:rPr>
          <w:rFonts w:ascii="Times New Roman" w:eastAsia="Times New Roman" w:hAnsi="Times New Roman" w:cs="Times New Roman"/>
          <w:b/>
          <w:sz w:val="24"/>
          <w:szCs w:val="24"/>
        </w:rPr>
      </w:pPr>
      <w:r w:rsidRPr="008D3C26">
        <w:rPr>
          <w:rFonts w:ascii="Times New Roman" w:eastAsia="Times New Roman" w:hAnsi="Times New Roman" w:cs="Times New Roman"/>
          <w:b/>
          <w:sz w:val="24"/>
          <w:szCs w:val="24"/>
        </w:rPr>
        <w:t xml:space="preserve">Tender advertised for 14 days: </w:t>
      </w:r>
      <w:r w:rsidRPr="008D3C26">
        <w:rPr>
          <w:rFonts w:ascii="Times New Roman" w:hAnsi="Times New Roman" w:cs="Times New Roman"/>
          <w:sz w:val="24"/>
          <w:szCs w:val="24"/>
        </w:rPr>
        <w:t xml:space="preserve">This was the second highest irregular expenditure of R3.370 million incurred as a result of awarding a contract after a bidding process was advertised for two weeks. </w:t>
      </w:r>
      <w:r w:rsidRPr="008D3C26">
        <w:rPr>
          <w:rFonts w:ascii="Times New Roman" w:eastAsia="Times New Roman" w:hAnsi="Times New Roman" w:cs="Times New Roman"/>
          <w:sz w:val="24"/>
          <w:szCs w:val="24"/>
        </w:rPr>
        <w:t xml:space="preserve">The Department appointed a service provider as </w:t>
      </w:r>
      <w:r w:rsidR="00100A53" w:rsidRPr="008D3C26">
        <w:rPr>
          <w:rFonts w:ascii="Times New Roman" w:eastAsia="Times New Roman" w:hAnsi="Times New Roman" w:cs="Times New Roman"/>
          <w:sz w:val="24"/>
          <w:szCs w:val="24"/>
        </w:rPr>
        <w:t xml:space="preserve">an </w:t>
      </w:r>
      <w:r w:rsidRPr="008D3C26">
        <w:rPr>
          <w:rFonts w:ascii="Times New Roman" w:eastAsia="Times New Roman" w:hAnsi="Times New Roman" w:cs="Times New Roman"/>
          <w:sz w:val="24"/>
          <w:szCs w:val="24"/>
        </w:rPr>
        <w:t>events manager. The tender was advertised for a period of 14 days as approved by the accounting officer within the allowed delegations of authority. The reduced bid period did not impact on a fair and transparent process and was due to an urgent need for an event manager to prevent any deviations. The matter was on route to the National Treasury for condonation.</w:t>
      </w:r>
    </w:p>
    <w:p w14:paraId="50856829" w14:textId="77777777" w:rsidR="00A936AB" w:rsidRPr="008D3C26" w:rsidRDefault="00A936AB" w:rsidP="00A936AB">
      <w:pPr>
        <w:spacing w:after="120"/>
        <w:rPr>
          <w:rFonts w:ascii="Times New Roman" w:eastAsia="Times New Roman" w:hAnsi="Times New Roman" w:cs="Times New Roman"/>
          <w:b/>
          <w:sz w:val="24"/>
          <w:szCs w:val="24"/>
        </w:rPr>
      </w:pPr>
      <w:r w:rsidRPr="008D3C26">
        <w:rPr>
          <w:rFonts w:ascii="Times New Roman" w:eastAsia="Times New Roman" w:hAnsi="Times New Roman" w:cs="Times New Roman"/>
          <w:b/>
          <w:sz w:val="24"/>
          <w:szCs w:val="24"/>
        </w:rPr>
        <w:t xml:space="preserve">Appointment of service provider due to time constraints: </w:t>
      </w:r>
      <w:r w:rsidR="009836D1" w:rsidRPr="008D3C26">
        <w:rPr>
          <w:rFonts w:ascii="Times New Roman" w:hAnsi="Times New Roman" w:cs="Times New Roman"/>
          <w:sz w:val="24"/>
          <w:szCs w:val="24"/>
        </w:rPr>
        <w:t>I</w:t>
      </w:r>
      <w:r w:rsidRPr="008D3C26">
        <w:rPr>
          <w:rFonts w:ascii="Times New Roman" w:hAnsi="Times New Roman" w:cs="Times New Roman"/>
          <w:sz w:val="24"/>
          <w:szCs w:val="24"/>
        </w:rPr>
        <w:t>rregular expenditure to the value of R731 000 was incurred as a result of not following correct procurement procedures due to time constraints</w:t>
      </w:r>
      <w:r w:rsidRPr="008D3C26">
        <w:rPr>
          <w:rFonts w:ascii="Times New Roman" w:eastAsia="Times New Roman" w:hAnsi="Times New Roman" w:cs="Times New Roman"/>
          <w:b/>
          <w:sz w:val="24"/>
          <w:szCs w:val="24"/>
        </w:rPr>
        <w:t xml:space="preserve">. </w:t>
      </w:r>
      <w:r w:rsidRPr="008D3C26">
        <w:rPr>
          <w:rFonts w:ascii="Times New Roman" w:eastAsia="Times New Roman" w:hAnsi="Times New Roman" w:cs="Times New Roman"/>
          <w:sz w:val="24"/>
          <w:szCs w:val="24"/>
        </w:rPr>
        <w:t>T</w:t>
      </w:r>
      <w:r w:rsidRPr="008D3C26">
        <w:rPr>
          <w:rFonts w:ascii="Times New Roman" w:eastAsia="Calibri" w:hAnsi="Times New Roman" w:cs="Times New Roman"/>
          <w:color w:val="000000"/>
          <w:sz w:val="24"/>
          <w:szCs w:val="24"/>
        </w:rPr>
        <w:t>he Department of Higher Education and Training approved a deviation for the appointment of a service provider to organise the graduate placement and career exhibition expo to be held in Pietermaritzburg on 8 April 2016</w:t>
      </w:r>
      <w:r w:rsidRPr="008D3C26">
        <w:rPr>
          <w:rFonts w:ascii="Times New Roman" w:hAnsi="Times New Roman" w:cs="Times New Roman"/>
          <w:sz w:val="24"/>
          <w:szCs w:val="24"/>
          <w:lang w:val="en-US"/>
        </w:rPr>
        <w:t>. Due to late notification from the KwaZulu-Natal provincial government that the services of a service provider were not secured, the Department sourced quotations on 17 March 2016 after the approval of a deviation from the normal bidding process by the Director General. Due to time constraints</w:t>
      </w:r>
      <w:r w:rsidR="00100A53" w:rsidRPr="008D3C26">
        <w:rPr>
          <w:rFonts w:ascii="Times New Roman" w:hAnsi="Times New Roman" w:cs="Times New Roman"/>
          <w:sz w:val="24"/>
          <w:szCs w:val="24"/>
          <w:lang w:val="en-US"/>
        </w:rPr>
        <w:t>,</w:t>
      </w:r>
      <w:r w:rsidRPr="008D3C26">
        <w:rPr>
          <w:rFonts w:ascii="Times New Roman" w:hAnsi="Times New Roman" w:cs="Times New Roman"/>
          <w:sz w:val="24"/>
          <w:szCs w:val="24"/>
          <w:lang w:val="en-US"/>
        </w:rPr>
        <w:t xml:space="preserve"> it was impractical and impossible to subscribe to a public competitive bidding process which in all normal circumstances would have taken more than 60 days.</w:t>
      </w:r>
      <w:r w:rsidRPr="008D3C26">
        <w:rPr>
          <w:rFonts w:ascii="Times New Roman" w:eastAsia="Times New Roman" w:hAnsi="Times New Roman" w:cs="Times New Roman"/>
          <w:sz w:val="24"/>
          <w:szCs w:val="24"/>
        </w:rPr>
        <w:t xml:space="preserve"> Five</w:t>
      </w:r>
      <w:r w:rsidRPr="008D3C26">
        <w:rPr>
          <w:rFonts w:ascii="Times New Roman" w:hAnsi="Times New Roman" w:cs="Times New Roman"/>
          <w:sz w:val="24"/>
          <w:szCs w:val="24"/>
          <w:lang w:val="en-US"/>
        </w:rPr>
        <w:t xml:space="preserve"> </w:t>
      </w:r>
      <w:r w:rsidR="009836D1" w:rsidRPr="008D3C26">
        <w:rPr>
          <w:rFonts w:ascii="Times New Roman" w:hAnsi="Times New Roman" w:cs="Times New Roman"/>
          <w:sz w:val="24"/>
          <w:szCs w:val="24"/>
          <w:lang w:val="en-US"/>
        </w:rPr>
        <w:t>p</w:t>
      </w:r>
      <w:r w:rsidRPr="008D3C26">
        <w:rPr>
          <w:rFonts w:ascii="Times New Roman" w:hAnsi="Times New Roman" w:cs="Times New Roman"/>
          <w:sz w:val="24"/>
          <w:szCs w:val="24"/>
          <w:lang w:val="en-US"/>
        </w:rPr>
        <w:t>rospective bidders were approached on a quotation basis as the Department was left in a precarious position to take full responsibility to avoid embarrassment and lose credibility as stated by the Director-</w:t>
      </w:r>
      <w:r w:rsidRPr="008D3C26">
        <w:rPr>
          <w:rFonts w:ascii="Times New Roman" w:hAnsi="Times New Roman" w:cs="Times New Roman"/>
          <w:sz w:val="24"/>
          <w:szCs w:val="24"/>
          <w:lang w:val="en-US"/>
        </w:rPr>
        <w:lastRenderedPageBreak/>
        <w:t>General.</w:t>
      </w:r>
      <w:r w:rsidRPr="008D3C26">
        <w:rPr>
          <w:rFonts w:ascii="Times New Roman" w:eastAsia="Times New Roman" w:hAnsi="Times New Roman" w:cs="Times New Roman"/>
          <w:b/>
          <w:sz w:val="24"/>
          <w:szCs w:val="24"/>
          <w:lang w:val="en-US"/>
        </w:rPr>
        <w:t xml:space="preserve"> </w:t>
      </w:r>
      <w:r w:rsidRPr="008D3C26">
        <w:rPr>
          <w:rFonts w:ascii="Times New Roman" w:hAnsi="Times New Roman" w:cs="Times New Roman"/>
          <w:sz w:val="24"/>
          <w:szCs w:val="24"/>
          <w:lang w:val="en-US"/>
        </w:rPr>
        <w:t>In view of the finding by the Auditor-General, the matter was under investigation for possible condonation.</w:t>
      </w:r>
    </w:p>
    <w:p w14:paraId="28F9CB75" w14:textId="77777777" w:rsidR="009836D1" w:rsidRPr="008D3C26" w:rsidRDefault="00A936AB" w:rsidP="00A936AB">
      <w:pPr>
        <w:rPr>
          <w:rFonts w:ascii="Times New Roman" w:hAnsi="Times New Roman" w:cs="Times New Roman"/>
          <w:sz w:val="24"/>
          <w:szCs w:val="24"/>
          <w:lang w:val="en-US"/>
        </w:rPr>
      </w:pPr>
      <w:r w:rsidRPr="008D3C26">
        <w:rPr>
          <w:rFonts w:ascii="Times New Roman" w:eastAsia="Times New Roman" w:hAnsi="Times New Roman" w:cs="Times New Roman"/>
          <w:b/>
          <w:sz w:val="24"/>
          <w:szCs w:val="24"/>
        </w:rPr>
        <w:t xml:space="preserve">Incorrect procurement procedure: </w:t>
      </w:r>
      <w:r w:rsidRPr="008D3C26">
        <w:rPr>
          <w:rFonts w:ascii="Times New Roman" w:eastAsia="Times New Roman" w:hAnsi="Times New Roman" w:cs="Times New Roman"/>
          <w:sz w:val="24"/>
          <w:szCs w:val="24"/>
        </w:rPr>
        <w:t xml:space="preserve"> </w:t>
      </w:r>
      <w:r w:rsidR="009836D1" w:rsidRPr="008D3C26">
        <w:rPr>
          <w:rFonts w:ascii="Times New Roman" w:eastAsia="Times New Roman" w:hAnsi="Times New Roman" w:cs="Times New Roman"/>
          <w:sz w:val="24"/>
          <w:szCs w:val="24"/>
        </w:rPr>
        <w:t>I</w:t>
      </w:r>
      <w:r w:rsidRPr="008D3C26">
        <w:rPr>
          <w:rFonts w:ascii="Times New Roman" w:eastAsia="Times New Roman" w:hAnsi="Times New Roman" w:cs="Times New Roman"/>
          <w:sz w:val="24"/>
          <w:szCs w:val="24"/>
        </w:rPr>
        <w:t xml:space="preserve">rregular expenditure amounting to </w:t>
      </w:r>
      <w:r w:rsidRPr="008D3C26">
        <w:rPr>
          <w:rFonts w:ascii="Times New Roman" w:hAnsi="Times New Roman" w:cs="Times New Roman"/>
          <w:sz w:val="24"/>
          <w:szCs w:val="24"/>
        </w:rPr>
        <w:t xml:space="preserve">R345 000 was incurred due to not following correct procurement procedures with regards to quotations. </w:t>
      </w:r>
      <w:r w:rsidRPr="008D3C26">
        <w:rPr>
          <w:rFonts w:ascii="Times New Roman" w:eastAsia="Times New Roman" w:hAnsi="Times New Roman" w:cs="Times New Roman"/>
          <w:sz w:val="24"/>
          <w:szCs w:val="24"/>
        </w:rPr>
        <w:t xml:space="preserve">The Department identified the utilisation of service providers for legal services as well as training without appropriate procurement procedure been followed. This was identified at a stage when invoices were presented for payment. Both cases involved the utilisation of selected providers without applying for the services through the Supply Management Office or by securing the services through the required three quotations process. </w:t>
      </w:r>
      <w:r w:rsidRPr="008D3C26">
        <w:rPr>
          <w:rFonts w:ascii="Times New Roman" w:hAnsi="Times New Roman" w:cs="Times New Roman"/>
          <w:sz w:val="24"/>
          <w:szCs w:val="24"/>
          <w:lang w:val="en-US"/>
        </w:rPr>
        <w:t xml:space="preserve">The matters were under investigation by the Department. </w:t>
      </w:r>
    </w:p>
    <w:p w14:paraId="11FF03D3" w14:textId="77777777" w:rsidR="00A936AB" w:rsidRPr="008D3C26" w:rsidRDefault="009836D1" w:rsidP="00A936AB">
      <w:pPr>
        <w:rPr>
          <w:rFonts w:ascii="Times New Roman" w:hAnsi="Times New Roman" w:cs="Times New Roman"/>
          <w:sz w:val="24"/>
          <w:szCs w:val="24"/>
        </w:rPr>
      </w:pPr>
      <w:r w:rsidRPr="008D3C26">
        <w:rPr>
          <w:rFonts w:ascii="Times New Roman" w:hAnsi="Times New Roman" w:cs="Times New Roman"/>
          <w:b/>
          <w:sz w:val="24"/>
          <w:szCs w:val="24"/>
        </w:rPr>
        <w:t>Wasteful, fruitless and unauthorised expenditure:</w:t>
      </w:r>
      <w:r w:rsidRPr="008D3C26">
        <w:rPr>
          <w:rFonts w:ascii="Times New Roman" w:hAnsi="Times New Roman" w:cs="Times New Roman"/>
          <w:sz w:val="24"/>
          <w:szCs w:val="24"/>
        </w:rPr>
        <w:t xml:space="preserve"> </w:t>
      </w:r>
      <w:r w:rsidR="00A936AB" w:rsidRPr="008D3C26">
        <w:rPr>
          <w:rFonts w:ascii="Times New Roman" w:hAnsi="Times New Roman" w:cs="Times New Roman"/>
          <w:sz w:val="24"/>
          <w:szCs w:val="24"/>
        </w:rPr>
        <w:t>The Department did not incur unauthorised, fruitless and wasteful expenditure during the year under review.</w:t>
      </w:r>
    </w:p>
    <w:p w14:paraId="7F427197" w14:textId="77777777" w:rsidR="00A936AB" w:rsidRPr="008D3C26" w:rsidRDefault="00A71218" w:rsidP="00091B4D">
      <w:pPr>
        <w:spacing w:after="0"/>
        <w:rPr>
          <w:rFonts w:ascii="Times New Roman" w:hAnsi="Times New Roman" w:cs="Times New Roman"/>
          <w:b/>
          <w:sz w:val="24"/>
          <w:szCs w:val="24"/>
        </w:rPr>
      </w:pPr>
      <w:r w:rsidRPr="008D3C26">
        <w:rPr>
          <w:rFonts w:ascii="Times New Roman" w:hAnsi="Times New Roman" w:cs="Times New Roman"/>
          <w:b/>
          <w:sz w:val="24"/>
          <w:szCs w:val="24"/>
        </w:rPr>
        <w:t>4.1.</w:t>
      </w:r>
      <w:r w:rsidR="009319A3" w:rsidRPr="008D3C26">
        <w:rPr>
          <w:rFonts w:ascii="Times New Roman" w:hAnsi="Times New Roman" w:cs="Times New Roman"/>
          <w:b/>
          <w:sz w:val="24"/>
          <w:szCs w:val="24"/>
        </w:rPr>
        <w:t>5</w:t>
      </w:r>
      <w:r w:rsidRPr="008D3C26">
        <w:rPr>
          <w:rFonts w:ascii="Times New Roman" w:hAnsi="Times New Roman" w:cs="Times New Roman"/>
          <w:b/>
          <w:sz w:val="24"/>
          <w:szCs w:val="24"/>
        </w:rPr>
        <w:t xml:space="preserve">. </w:t>
      </w:r>
      <w:r w:rsidR="00E41555" w:rsidRPr="008D3C26">
        <w:rPr>
          <w:rFonts w:ascii="Times New Roman" w:hAnsi="Times New Roman" w:cs="Times New Roman"/>
          <w:b/>
          <w:sz w:val="24"/>
          <w:szCs w:val="24"/>
        </w:rPr>
        <w:t>V</w:t>
      </w:r>
      <w:r w:rsidRPr="008D3C26">
        <w:rPr>
          <w:rFonts w:ascii="Times New Roman" w:hAnsi="Times New Roman" w:cs="Times New Roman"/>
          <w:b/>
          <w:sz w:val="24"/>
          <w:szCs w:val="24"/>
        </w:rPr>
        <w:t>irements</w:t>
      </w:r>
      <w:r w:rsidR="00E41555" w:rsidRPr="008D3C26">
        <w:rPr>
          <w:rFonts w:ascii="Times New Roman" w:hAnsi="Times New Roman" w:cs="Times New Roman"/>
          <w:b/>
          <w:sz w:val="24"/>
          <w:szCs w:val="24"/>
        </w:rPr>
        <w:t xml:space="preserve"> </w:t>
      </w:r>
      <w:r w:rsidR="00403D71" w:rsidRPr="008D3C26">
        <w:rPr>
          <w:rFonts w:ascii="Times New Roman" w:hAnsi="Times New Roman" w:cs="Times New Roman"/>
          <w:b/>
          <w:sz w:val="24"/>
          <w:szCs w:val="24"/>
        </w:rPr>
        <w:t>and shifting of funds</w:t>
      </w:r>
    </w:p>
    <w:p w14:paraId="330CBA0C" w14:textId="77777777" w:rsidR="00A71218" w:rsidRPr="008D3C26" w:rsidRDefault="00A71218" w:rsidP="00A71218">
      <w:pPr>
        <w:autoSpaceDE w:val="0"/>
        <w:autoSpaceDN w:val="0"/>
        <w:adjustRightInd w:val="0"/>
        <w:spacing w:after="0"/>
        <w:rPr>
          <w:rFonts w:ascii="Times New Roman" w:hAnsi="Times New Roman" w:cs="Times New Roman"/>
          <w:sz w:val="24"/>
          <w:szCs w:val="24"/>
        </w:rPr>
      </w:pPr>
      <w:r w:rsidRPr="008D3C26">
        <w:rPr>
          <w:rFonts w:ascii="Times New Roman" w:hAnsi="Times New Roman" w:cs="Times New Roman"/>
          <w:sz w:val="24"/>
          <w:szCs w:val="24"/>
        </w:rPr>
        <w:t xml:space="preserve">During the year under review, the Department effected virements amounting to R78.2 million. The virements </w:t>
      </w:r>
      <w:r w:rsidR="00403D71" w:rsidRPr="008D3C26">
        <w:rPr>
          <w:rFonts w:ascii="Times New Roman" w:hAnsi="Times New Roman" w:cs="Times New Roman"/>
          <w:sz w:val="24"/>
          <w:szCs w:val="24"/>
        </w:rPr>
        <w:t xml:space="preserve">amount </w:t>
      </w:r>
      <w:r w:rsidRPr="008D3C26">
        <w:rPr>
          <w:rFonts w:ascii="Times New Roman" w:hAnsi="Times New Roman" w:cs="Times New Roman"/>
          <w:sz w:val="24"/>
          <w:szCs w:val="24"/>
        </w:rPr>
        <w:t xml:space="preserve">increased by R67.3 million from R10.9 million in </w:t>
      </w:r>
      <w:r w:rsidR="006B1E76"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2015/16 financial year. Virements were effected mainly to defray excess expenditure on cost for communications and </w:t>
      </w:r>
      <w:r w:rsidR="005A2107" w:rsidRPr="008D3C26">
        <w:rPr>
          <w:rFonts w:ascii="Times New Roman" w:hAnsi="Times New Roman" w:cs="Times New Roman"/>
          <w:sz w:val="24"/>
          <w:szCs w:val="24"/>
        </w:rPr>
        <w:t>o</w:t>
      </w:r>
      <w:r w:rsidRPr="008D3C26">
        <w:rPr>
          <w:rFonts w:ascii="Times New Roman" w:hAnsi="Times New Roman" w:cs="Times New Roman"/>
          <w:sz w:val="24"/>
          <w:szCs w:val="24"/>
        </w:rPr>
        <w:t xml:space="preserve">ffice </w:t>
      </w:r>
      <w:r w:rsidR="005A2107" w:rsidRPr="008D3C26">
        <w:rPr>
          <w:rFonts w:ascii="Times New Roman" w:hAnsi="Times New Roman" w:cs="Times New Roman"/>
          <w:sz w:val="24"/>
          <w:szCs w:val="24"/>
        </w:rPr>
        <w:t>a</w:t>
      </w:r>
      <w:r w:rsidRPr="008D3C26">
        <w:rPr>
          <w:rFonts w:ascii="Times New Roman" w:hAnsi="Times New Roman" w:cs="Times New Roman"/>
          <w:sz w:val="24"/>
          <w:szCs w:val="24"/>
        </w:rPr>
        <w:t xml:space="preserve">ccommodation in </w:t>
      </w:r>
      <w:r w:rsidR="005A2107" w:rsidRPr="008D3C26">
        <w:rPr>
          <w:rFonts w:ascii="Times New Roman" w:hAnsi="Times New Roman" w:cs="Times New Roman"/>
          <w:sz w:val="24"/>
          <w:szCs w:val="24"/>
        </w:rPr>
        <w:t xml:space="preserve">the </w:t>
      </w:r>
      <w:r w:rsidRPr="008D3C26">
        <w:rPr>
          <w:rFonts w:ascii="Times New Roman" w:hAnsi="Times New Roman" w:cs="Times New Roman"/>
          <w:sz w:val="24"/>
          <w:szCs w:val="24"/>
        </w:rPr>
        <w:t>Administration programme and examination and moderation related costs in TVET programme. The virements were effected from three programmes</w:t>
      </w:r>
      <w:r w:rsidR="005A2107" w:rsidRPr="008D3C26">
        <w:rPr>
          <w:rFonts w:ascii="Times New Roman" w:hAnsi="Times New Roman" w:cs="Times New Roman"/>
          <w:sz w:val="24"/>
          <w:szCs w:val="24"/>
        </w:rPr>
        <w:t>. A</w:t>
      </w:r>
      <w:r w:rsidRPr="008D3C26">
        <w:rPr>
          <w:rFonts w:ascii="Times New Roman" w:hAnsi="Times New Roman" w:cs="Times New Roman"/>
          <w:sz w:val="24"/>
          <w:szCs w:val="24"/>
        </w:rPr>
        <w:t xml:space="preserve">n amount of R806 000 from University Education to </w:t>
      </w:r>
      <w:r w:rsidR="005A2107"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Administration programme, R6.080 million from </w:t>
      </w:r>
      <w:r w:rsidR="005A2107"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Community Education and Training to Administration programme and R71.378 million from </w:t>
      </w:r>
      <w:r w:rsidR="005A2107"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Community Education and Training to </w:t>
      </w:r>
      <w:r w:rsidR="005A2107"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Technical and Vocational Education and Training programme. </w:t>
      </w:r>
    </w:p>
    <w:p w14:paraId="0A4A3282" w14:textId="77777777" w:rsidR="00890578" w:rsidRPr="008D3C26" w:rsidRDefault="00890578" w:rsidP="00A616C3">
      <w:pPr>
        <w:spacing w:after="0"/>
        <w:rPr>
          <w:rFonts w:ascii="Times New Roman" w:hAnsi="Times New Roman" w:cs="Times New Roman"/>
          <w:b/>
          <w:sz w:val="24"/>
          <w:szCs w:val="24"/>
        </w:rPr>
      </w:pPr>
    </w:p>
    <w:p w14:paraId="5B805807" w14:textId="77777777" w:rsidR="00603E7D" w:rsidRPr="008D3C26" w:rsidRDefault="00A616C3" w:rsidP="00A616C3">
      <w:pPr>
        <w:spacing w:after="0"/>
        <w:rPr>
          <w:rFonts w:ascii="Times New Roman" w:hAnsi="Times New Roman" w:cs="Times New Roman"/>
          <w:b/>
          <w:sz w:val="24"/>
          <w:szCs w:val="24"/>
        </w:rPr>
      </w:pPr>
      <w:r w:rsidRPr="008D3C26">
        <w:rPr>
          <w:rFonts w:ascii="Times New Roman" w:hAnsi="Times New Roman" w:cs="Times New Roman"/>
          <w:b/>
          <w:sz w:val="24"/>
          <w:szCs w:val="24"/>
        </w:rPr>
        <w:t>4.2. Overview and assessment of the programme budget and expenditure for 2016/17 financial year</w:t>
      </w:r>
    </w:p>
    <w:p w14:paraId="65BDE439" w14:textId="77777777" w:rsidR="00A616C3" w:rsidRPr="008D3C26" w:rsidRDefault="00A616C3" w:rsidP="00A616C3">
      <w:pPr>
        <w:spacing w:after="0"/>
        <w:rPr>
          <w:rFonts w:ascii="Times New Roman" w:hAnsi="Times New Roman" w:cs="Times New Roman"/>
          <w:b/>
          <w:sz w:val="24"/>
          <w:szCs w:val="24"/>
        </w:rPr>
      </w:pPr>
      <w:r w:rsidRPr="008D3C26">
        <w:rPr>
          <w:rFonts w:ascii="Times New Roman" w:hAnsi="Times New Roman" w:cs="Times New Roman"/>
          <w:b/>
          <w:sz w:val="24"/>
          <w:szCs w:val="24"/>
        </w:rPr>
        <w:t>4.2.1. Programme 1: Administration</w:t>
      </w:r>
    </w:p>
    <w:p w14:paraId="40E95D30" w14:textId="77777777" w:rsidR="00091B4D" w:rsidRPr="008D3C26" w:rsidRDefault="00091B4D" w:rsidP="00091B4D">
      <w:pPr>
        <w:rPr>
          <w:rFonts w:ascii="Times New Roman" w:hAnsi="Times New Roman" w:cs="Times New Roman"/>
          <w:sz w:val="24"/>
          <w:szCs w:val="24"/>
        </w:rPr>
      </w:pPr>
      <w:r w:rsidRPr="008D3C26">
        <w:rPr>
          <w:rFonts w:ascii="Times New Roman" w:hAnsi="Times New Roman" w:cs="Times New Roman"/>
          <w:sz w:val="24"/>
          <w:szCs w:val="24"/>
        </w:rPr>
        <w:t>The programme</w:t>
      </w:r>
      <w:r w:rsidR="005C4D32" w:rsidRPr="008D3C26">
        <w:rPr>
          <w:rFonts w:ascii="Times New Roman" w:hAnsi="Times New Roman" w:cs="Times New Roman"/>
          <w:sz w:val="24"/>
          <w:szCs w:val="24"/>
        </w:rPr>
        <w:t xml:space="preserve"> had six budget sub-programmes </w:t>
      </w:r>
      <w:r w:rsidRPr="008D3C26">
        <w:rPr>
          <w:rFonts w:ascii="Times New Roman" w:hAnsi="Times New Roman" w:cs="Times New Roman"/>
          <w:sz w:val="24"/>
          <w:szCs w:val="24"/>
        </w:rPr>
        <w:t xml:space="preserve">for the 2016/17 financial, namely; Ministry, Department Management, Corporate Services, Office of the Chief Financial Officer, Internal Audit and Office Accommodation. </w:t>
      </w:r>
    </w:p>
    <w:p w14:paraId="53A8C54A"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The programme had a total appropriation of R379.624 million. Shifts were effected within the programme from sub-programme 3: Corporate Services (R4.139 million) and sub-programme 4: Office of the Chief Financial Officer (R10.869 million) to increase allocations </w:t>
      </w:r>
      <w:r w:rsidRPr="008D3C26">
        <w:rPr>
          <w:rFonts w:ascii="Times New Roman" w:hAnsi="Times New Roman" w:cs="Times New Roman"/>
          <w:sz w:val="24"/>
          <w:szCs w:val="24"/>
        </w:rPr>
        <w:lastRenderedPageBreak/>
        <w:t>in sub-programmes 1: Ministry by R6.624</w:t>
      </w:r>
      <w:r w:rsidR="00B97E31" w:rsidRPr="008D3C26">
        <w:rPr>
          <w:rFonts w:ascii="Times New Roman" w:hAnsi="Times New Roman" w:cs="Times New Roman"/>
          <w:sz w:val="24"/>
          <w:szCs w:val="24"/>
        </w:rPr>
        <w:t xml:space="preserve"> million</w:t>
      </w:r>
      <w:r w:rsidRPr="008D3C26">
        <w:rPr>
          <w:rFonts w:ascii="Times New Roman" w:hAnsi="Times New Roman" w:cs="Times New Roman"/>
          <w:sz w:val="24"/>
          <w:szCs w:val="24"/>
        </w:rPr>
        <w:t xml:space="preserve">, 2: Departmental Management by R5.348 million, 5: Internal Audit by R512 000 and 6: Office Accommodation by R2.524 million. The expenditure at the end of the financial year was R372.713 million, which </w:t>
      </w:r>
      <w:r w:rsidR="00C07591" w:rsidRPr="008D3C26">
        <w:rPr>
          <w:rFonts w:ascii="Times New Roman" w:hAnsi="Times New Roman" w:cs="Times New Roman"/>
          <w:sz w:val="24"/>
          <w:szCs w:val="24"/>
        </w:rPr>
        <w:t>represented</w:t>
      </w:r>
      <w:r w:rsidRPr="008D3C26">
        <w:rPr>
          <w:rFonts w:ascii="Times New Roman" w:hAnsi="Times New Roman" w:cs="Times New Roman"/>
          <w:sz w:val="24"/>
          <w:szCs w:val="24"/>
        </w:rPr>
        <w:t xml:space="preserve"> 98.2 per cent of the total budget. The expenditure increased by 0.47 per cent from the 2015/16 expenditure. </w:t>
      </w:r>
    </w:p>
    <w:p w14:paraId="0CA59355" w14:textId="77777777" w:rsidR="00091B4D" w:rsidRPr="008D3C26" w:rsidRDefault="00091B4D" w:rsidP="00091B4D">
      <w:pPr>
        <w:spacing w:after="0"/>
        <w:rPr>
          <w:rFonts w:ascii="Times New Roman" w:hAnsi="Times New Roman" w:cs="Times New Roman"/>
          <w:sz w:val="24"/>
          <w:szCs w:val="24"/>
        </w:rPr>
      </w:pPr>
    </w:p>
    <w:p w14:paraId="4711E97D"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The programme recorded an underspending of R6.911 million at the end of the financial year. The underspending decreased by R1.228 million from R8.139 million recorded in 2015/16 financial year. Sub-programmes 3: Corporate Services and 4: Office of the Chief Financial Officer recorded a combined underspending of R5.362 million, which </w:t>
      </w:r>
      <w:r w:rsidR="00C07591" w:rsidRPr="008D3C26">
        <w:rPr>
          <w:rFonts w:ascii="Times New Roman" w:hAnsi="Times New Roman" w:cs="Times New Roman"/>
          <w:sz w:val="24"/>
          <w:szCs w:val="24"/>
        </w:rPr>
        <w:t>constituted</w:t>
      </w:r>
      <w:r w:rsidRPr="008D3C26">
        <w:rPr>
          <w:rFonts w:ascii="Times New Roman" w:hAnsi="Times New Roman" w:cs="Times New Roman"/>
          <w:sz w:val="24"/>
          <w:szCs w:val="24"/>
        </w:rPr>
        <w:t xml:space="preserve"> 77.58 per cent of the total underspending within the programme. The underspending was attributed to posts that became vacant during the year and could not </w:t>
      </w:r>
      <w:r w:rsidR="005A2107" w:rsidRPr="008D3C26">
        <w:rPr>
          <w:rFonts w:ascii="Times New Roman" w:hAnsi="Times New Roman" w:cs="Times New Roman"/>
          <w:sz w:val="24"/>
          <w:szCs w:val="24"/>
        </w:rPr>
        <w:t xml:space="preserve">be </w:t>
      </w:r>
      <w:r w:rsidRPr="008D3C26">
        <w:rPr>
          <w:rFonts w:ascii="Times New Roman" w:hAnsi="Times New Roman" w:cs="Times New Roman"/>
          <w:sz w:val="24"/>
          <w:szCs w:val="24"/>
        </w:rPr>
        <w:t xml:space="preserve">filled as projected as well as vacant funded posts that were advertised as part of </w:t>
      </w:r>
      <w:r w:rsidR="005C4D32" w:rsidRPr="008D3C26">
        <w:rPr>
          <w:rFonts w:ascii="Times New Roman" w:hAnsi="Times New Roman" w:cs="Times New Roman"/>
          <w:sz w:val="24"/>
          <w:szCs w:val="24"/>
        </w:rPr>
        <w:t xml:space="preserve">the </w:t>
      </w:r>
      <w:r w:rsidRPr="008D3C26">
        <w:rPr>
          <w:rFonts w:ascii="Times New Roman" w:hAnsi="Times New Roman" w:cs="Times New Roman"/>
          <w:sz w:val="24"/>
          <w:szCs w:val="24"/>
        </w:rPr>
        <w:t>TVET and CET function shift process during 2015/16</w:t>
      </w:r>
      <w:r w:rsidR="00FE5CA5" w:rsidRPr="008D3C26">
        <w:rPr>
          <w:rFonts w:ascii="Times New Roman" w:hAnsi="Times New Roman" w:cs="Times New Roman"/>
          <w:sz w:val="24"/>
          <w:szCs w:val="24"/>
        </w:rPr>
        <w:t>. These posts</w:t>
      </w:r>
      <w:r w:rsidRPr="008D3C26">
        <w:rPr>
          <w:rFonts w:ascii="Times New Roman" w:hAnsi="Times New Roman" w:cs="Times New Roman"/>
          <w:sz w:val="24"/>
          <w:szCs w:val="24"/>
        </w:rPr>
        <w:t xml:space="preserve"> were only filled mid 2016/17 due to large volumes of applications received and concomitant savings on goods and services, machinery and equipment. </w:t>
      </w:r>
      <w:r w:rsidR="00CC1447" w:rsidRPr="008D3C26">
        <w:rPr>
          <w:rFonts w:ascii="Times New Roman" w:hAnsi="Times New Roman" w:cs="Times New Roman"/>
          <w:sz w:val="24"/>
          <w:szCs w:val="24"/>
        </w:rPr>
        <w:t>The largest</w:t>
      </w:r>
      <w:r w:rsidRPr="008D3C26">
        <w:rPr>
          <w:rFonts w:ascii="Times New Roman" w:hAnsi="Times New Roman" w:cs="Times New Roman"/>
          <w:sz w:val="24"/>
          <w:szCs w:val="24"/>
        </w:rPr>
        <w:t xml:space="preserve"> expenditure of R143.098 million was on sub-programme 3: Corporate services, which </w:t>
      </w:r>
      <w:r w:rsidR="00C07591" w:rsidRPr="008D3C26">
        <w:rPr>
          <w:rFonts w:ascii="Times New Roman" w:hAnsi="Times New Roman" w:cs="Times New Roman"/>
          <w:sz w:val="24"/>
          <w:szCs w:val="24"/>
        </w:rPr>
        <w:t>represented</w:t>
      </w:r>
      <w:r w:rsidRPr="008D3C26">
        <w:rPr>
          <w:rFonts w:ascii="Times New Roman" w:hAnsi="Times New Roman" w:cs="Times New Roman"/>
          <w:sz w:val="24"/>
          <w:szCs w:val="24"/>
        </w:rPr>
        <w:t xml:space="preserve"> 38.3 per cent of the total programme expenditure, followed by </w:t>
      </w:r>
      <w:r w:rsidR="00FE5CA5" w:rsidRPr="008D3C26">
        <w:rPr>
          <w:rFonts w:ascii="Times New Roman" w:hAnsi="Times New Roman" w:cs="Times New Roman"/>
          <w:sz w:val="24"/>
          <w:szCs w:val="24"/>
        </w:rPr>
        <w:t xml:space="preserve">an </w:t>
      </w:r>
      <w:r w:rsidRPr="008D3C26">
        <w:rPr>
          <w:rFonts w:ascii="Times New Roman" w:hAnsi="Times New Roman" w:cs="Times New Roman"/>
          <w:sz w:val="24"/>
          <w:szCs w:val="24"/>
        </w:rPr>
        <w:t xml:space="preserve">expenditure of R66.443 million in sub-programme 4: Office of the Chief Financial Officer, R58.281 million in sub-programme 6: Office Accommodation, R56.308 million in sub-programme 2: Department Management and R39.558 million in sub-programme 1: Ministry. </w:t>
      </w:r>
    </w:p>
    <w:p w14:paraId="15373070" w14:textId="77777777" w:rsidR="00091B4D" w:rsidRPr="008D3C26" w:rsidRDefault="00091B4D" w:rsidP="00091B4D">
      <w:pPr>
        <w:spacing w:after="0"/>
        <w:rPr>
          <w:rFonts w:ascii="Times New Roman" w:hAnsi="Times New Roman" w:cs="Times New Roman"/>
          <w:sz w:val="24"/>
          <w:szCs w:val="24"/>
        </w:rPr>
      </w:pPr>
    </w:p>
    <w:p w14:paraId="0149EBDE" w14:textId="77777777" w:rsidR="00091B4D" w:rsidRPr="008D3C26" w:rsidRDefault="00CC1447" w:rsidP="00091B4D">
      <w:pPr>
        <w:spacing w:after="0"/>
        <w:rPr>
          <w:rFonts w:ascii="Times New Roman" w:hAnsi="Times New Roman" w:cs="Times New Roman"/>
          <w:sz w:val="24"/>
          <w:szCs w:val="24"/>
        </w:rPr>
      </w:pPr>
      <w:r w:rsidRPr="008D3C26">
        <w:rPr>
          <w:rFonts w:ascii="Times New Roman" w:hAnsi="Times New Roman" w:cs="Times New Roman"/>
          <w:sz w:val="24"/>
          <w:szCs w:val="24"/>
        </w:rPr>
        <w:t>In terms of expenditure per</w:t>
      </w:r>
      <w:r w:rsidR="00091B4D" w:rsidRPr="008D3C26">
        <w:rPr>
          <w:rFonts w:ascii="Times New Roman" w:hAnsi="Times New Roman" w:cs="Times New Roman"/>
          <w:sz w:val="24"/>
          <w:szCs w:val="24"/>
        </w:rPr>
        <w:t xml:space="preserve"> economic classifications, R366.785 million was for current payments, which R196.833 </w:t>
      </w:r>
      <w:r w:rsidR="005C4D32" w:rsidRPr="008D3C26">
        <w:rPr>
          <w:rFonts w:ascii="Times New Roman" w:hAnsi="Times New Roman" w:cs="Times New Roman"/>
          <w:sz w:val="24"/>
          <w:szCs w:val="24"/>
        </w:rPr>
        <w:t xml:space="preserve">million </w:t>
      </w:r>
      <w:r w:rsidR="00091B4D" w:rsidRPr="008D3C26">
        <w:rPr>
          <w:rFonts w:ascii="Times New Roman" w:hAnsi="Times New Roman" w:cs="Times New Roman"/>
          <w:sz w:val="24"/>
          <w:szCs w:val="24"/>
        </w:rPr>
        <w:t xml:space="preserve">was expenditure on compensation of employees and R169.952 million on goods and services. With regards to spending on goods and services line items, </w:t>
      </w:r>
      <w:r w:rsidR="00EA2A05" w:rsidRPr="008D3C26">
        <w:rPr>
          <w:rFonts w:ascii="Times New Roman" w:hAnsi="Times New Roman" w:cs="Times New Roman"/>
          <w:sz w:val="24"/>
          <w:szCs w:val="24"/>
        </w:rPr>
        <w:t xml:space="preserve">an </w:t>
      </w:r>
      <w:r w:rsidR="00091B4D" w:rsidRPr="008D3C26">
        <w:rPr>
          <w:rFonts w:ascii="Times New Roman" w:hAnsi="Times New Roman" w:cs="Times New Roman"/>
          <w:sz w:val="24"/>
          <w:szCs w:val="24"/>
        </w:rPr>
        <w:t>expenditure of R58.76</w:t>
      </w:r>
      <w:r w:rsidR="004C4F56" w:rsidRPr="008D3C26">
        <w:rPr>
          <w:rFonts w:ascii="Times New Roman" w:hAnsi="Times New Roman" w:cs="Times New Roman"/>
          <w:sz w:val="24"/>
          <w:szCs w:val="24"/>
        </w:rPr>
        <w:t>7</w:t>
      </w:r>
      <w:r w:rsidR="00091B4D" w:rsidRPr="008D3C26">
        <w:rPr>
          <w:rFonts w:ascii="Times New Roman" w:hAnsi="Times New Roman" w:cs="Times New Roman"/>
          <w:sz w:val="24"/>
          <w:szCs w:val="24"/>
        </w:rPr>
        <w:t xml:space="preserve"> million </w:t>
      </w:r>
      <w:r w:rsidR="00EA2A05" w:rsidRPr="008D3C26">
        <w:rPr>
          <w:rFonts w:ascii="Times New Roman" w:hAnsi="Times New Roman" w:cs="Times New Roman"/>
          <w:sz w:val="24"/>
          <w:szCs w:val="24"/>
        </w:rPr>
        <w:t xml:space="preserve">was </w:t>
      </w:r>
      <w:r w:rsidR="00091B4D" w:rsidRPr="008D3C26">
        <w:rPr>
          <w:rFonts w:ascii="Times New Roman" w:hAnsi="Times New Roman" w:cs="Times New Roman"/>
          <w:sz w:val="24"/>
          <w:szCs w:val="24"/>
        </w:rPr>
        <w:t xml:space="preserve">on property payments, </w:t>
      </w:r>
      <w:r w:rsidR="00EA2A05" w:rsidRPr="008D3C26">
        <w:rPr>
          <w:rFonts w:ascii="Times New Roman" w:hAnsi="Times New Roman" w:cs="Times New Roman"/>
          <w:sz w:val="24"/>
          <w:szCs w:val="24"/>
        </w:rPr>
        <w:t xml:space="preserve">which </w:t>
      </w:r>
      <w:r w:rsidR="00C07591" w:rsidRPr="008D3C26">
        <w:rPr>
          <w:rFonts w:ascii="Times New Roman" w:hAnsi="Times New Roman" w:cs="Times New Roman"/>
          <w:sz w:val="24"/>
          <w:szCs w:val="24"/>
        </w:rPr>
        <w:t>constituted</w:t>
      </w:r>
      <w:r w:rsidR="00091B4D" w:rsidRPr="008D3C26">
        <w:rPr>
          <w:rFonts w:ascii="Times New Roman" w:hAnsi="Times New Roman" w:cs="Times New Roman"/>
          <w:sz w:val="24"/>
          <w:szCs w:val="24"/>
        </w:rPr>
        <w:t xml:space="preserve"> the </w:t>
      </w:r>
      <w:r w:rsidR="00EA2A05" w:rsidRPr="008D3C26">
        <w:rPr>
          <w:rFonts w:ascii="Times New Roman" w:hAnsi="Times New Roman" w:cs="Times New Roman"/>
          <w:sz w:val="24"/>
          <w:szCs w:val="24"/>
        </w:rPr>
        <w:t>large</w:t>
      </w:r>
      <w:r w:rsidR="00091B4D" w:rsidRPr="008D3C26">
        <w:rPr>
          <w:rFonts w:ascii="Times New Roman" w:hAnsi="Times New Roman" w:cs="Times New Roman"/>
          <w:sz w:val="24"/>
          <w:szCs w:val="24"/>
        </w:rPr>
        <w:t xml:space="preserve">st expenditure line item, followed by expenditure of R25.354 million on computer services, </w:t>
      </w:r>
      <w:r w:rsidRPr="008D3C26">
        <w:rPr>
          <w:rFonts w:ascii="Times New Roman" w:hAnsi="Times New Roman" w:cs="Times New Roman"/>
          <w:sz w:val="24"/>
          <w:szCs w:val="24"/>
        </w:rPr>
        <w:t xml:space="preserve">an </w:t>
      </w:r>
      <w:r w:rsidR="00091B4D" w:rsidRPr="008D3C26">
        <w:rPr>
          <w:rFonts w:ascii="Times New Roman" w:hAnsi="Times New Roman" w:cs="Times New Roman"/>
          <w:sz w:val="24"/>
          <w:szCs w:val="24"/>
        </w:rPr>
        <w:t xml:space="preserve">expenditure of R20.497 million on travel and subsistence line item and R13.070 million on </w:t>
      </w:r>
      <w:r w:rsidR="00EA2A05" w:rsidRPr="008D3C26">
        <w:rPr>
          <w:rFonts w:ascii="Times New Roman" w:hAnsi="Times New Roman" w:cs="Times New Roman"/>
          <w:sz w:val="24"/>
          <w:szCs w:val="24"/>
        </w:rPr>
        <w:t>a</w:t>
      </w:r>
      <w:r w:rsidR="00091B4D" w:rsidRPr="008D3C26">
        <w:rPr>
          <w:rFonts w:ascii="Times New Roman" w:hAnsi="Times New Roman" w:cs="Times New Roman"/>
          <w:sz w:val="24"/>
          <w:szCs w:val="24"/>
        </w:rPr>
        <w:t xml:space="preserve">gency and support/outsourced services.   </w:t>
      </w:r>
    </w:p>
    <w:p w14:paraId="0BEA5973" w14:textId="77777777" w:rsidR="00091B4D" w:rsidRPr="008D3C26" w:rsidRDefault="00091B4D" w:rsidP="00091B4D">
      <w:pPr>
        <w:spacing w:after="0"/>
        <w:rPr>
          <w:rFonts w:ascii="Times New Roman" w:hAnsi="Times New Roman" w:cs="Times New Roman"/>
          <w:sz w:val="24"/>
          <w:szCs w:val="24"/>
        </w:rPr>
      </w:pPr>
    </w:p>
    <w:p w14:paraId="3876544A"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An </w:t>
      </w:r>
      <w:r w:rsidR="00FE5CA5" w:rsidRPr="008D3C26">
        <w:rPr>
          <w:rFonts w:ascii="Times New Roman" w:hAnsi="Times New Roman" w:cs="Times New Roman"/>
          <w:sz w:val="24"/>
          <w:szCs w:val="24"/>
        </w:rPr>
        <w:t xml:space="preserve">amount </w:t>
      </w:r>
      <w:r w:rsidRPr="008D3C26">
        <w:rPr>
          <w:rFonts w:ascii="Times New Roman" w:hAnsi="Times New Roman" w:cs="Times New Roman"/>
          <w:sz w:val="24"/>
          <w:szCs w:val="24"/>
        </w:rPr>
        <w:t xml:space="preserve">of R902 000 was for transfers and subsidies to Departmental agencies and accounts and households. </w:t>
      </w:r>
      <w:r w:rsidR="00EA2A05" w:rsidRPr="008D3C26">
        <w:rPr>
          <w:rFonts w:ascii="Times New Roman" w:hAnsi="Times New Roman" w:cs="Times New Roman"/>
          <w:sz w:val="24"/>
          <w:szCs w:val="24"/>
        </w:rPr>
        <w:t>The p</w:t>
      </w:r>
      <w:r w:rsidRPr="008D3C26">
        <w:rPr>
          <w:rFonts w:ascii="Times New Roman" w:hAnsi="Times New Roman" w:cs="Times New Roman"/>
          <w:sz w:val="24"/>
          <w:szCs w:val="24"/>
        </w:rPr>
        <w:t xml:space="preserve">ayments for capital assets expenditure was R5.026 million. </w:t>
      </w:r>
    </w:p>
    <w:p w14:paraId="2E8C731D" w14:textId="77777777" w:rsidR="00A616C3" w:rsidRPr="008D3C26" w:rsidRDefault="00A616C3" w:rsidP="00A616C3">
      <w:pPr>
        <w:spacing w:after="0"/>
        <w:rPr>
          <w:rFonts w:ascii="Times New Roman" w:hAnsi="Times New Roman" w:cs="Times New Roman"/>
          <w:b/>
          <w:sz w:val="24"/>
          <w:szCs w:val="24"/>
        </w:rPr>
      </w:pPr>
    </w:p>
    <w:p w14:paraId="5D28E19F" w14:textId="77777777" w:rsidR="00A616C3" w:rsidRPr="008D3C26" w:rsidRDefault="00A616C3" w:rsidP="00A616C3">
      <w:pPr>
        <w:spacing w:after="0"/>
        <w:rPr>
          <w:rFonts w:ascii="Times New Roman" w:hAnsi="Times New Roman" w:cs="Times New Roman"/>
          <w:b/>
          <w:sz w:val="24"/>
          <w:szCs w:val="24"/>
        </w:rPr>
      </w:pPr>
      <w:r w:rsidRPr="008D3C26">
        <w:rPr>
          <w:rFonts w:ascii="Times New Roman" w:hAnsi="Times New Roman" w:cs="Times New Roman"/>
          <w:b/>
          <w:sz w:val="24"/>
          <w:szCs w:val="24"/>
        </w:rPr>
        <w:t>4.2.2. Programme 2: Planning, Policy and Strategy</w:t>
      </w:r>
    </w:p>
    <w:p w14:paraId="0464728C"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lastRenderedPageBreak/>
        <w:t>This programme had six budget sub-programmes, namely; Programme Management: Planning, Policy and Strategy (previously known as Programme Management: Human Resource Development, Planning and Monitoring Coordination); Human Resource Development Strategic Planning and Coordination; Planning, Information, Monitoring and Evaluation Coordination; International Relations; Legal and Legislative Services and Social Inclusion in Education.</w:t>
      </w:r>
    </w:p>
    <w:p w14:paraId="1C8B19E9" w14:textId="77777777" w:rsidR="00091B4D" w:rsidRPr="008D3C26" w:rsidRDefault="00091B4D" w:rsidP="00091B4D">
      <w:pPr>
        <w:spacing w:after="0"/>
        <w:rPr>
          <w:rFonts w:ascii="Times New Roman" w:hAnsi="Times New Roman" w:cs="Times New Roman"/>
          <w:sz w:val="24"/>
          <w:szCs w:val="24"/>
        </w:rPr>
      </w:pPr>
    </w:p>
    <w:p w14:paraId="1F6DCA33"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For the year under review, the programme had a total allocation of R71.584 million. The allocation increased by R16.335 million from R55.249 million allocated in </w:t>
      </w:r>
      <w:r w:rsidR="00444BE9"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2015/16 financial year. The programme expenditure at the end of the financial year was R56.816 million, which </w:t>
      </w:r>
      <w:r w:rsidR="00C07591" w:rsidRPr="008D3C26">
        <w:rPr>
          <w:rFonts w:ascii="Times New Roman" w:hAnsi="Times New Roman" w:cs="Times New Roman"/>
          <w:sz w:val="24"/>
          <w:szCs w:val="24"/>
        </w:rPr>
        <w:t>represented</w:t>
      </w:r>
      <w:r w:rsidRPr="008D3C26">
        <w:rPr>
          <w:rFonts w:ascii="Times New Roman" w:hAnsi="Times New Roman" w:cs="Times New Roman"/>
          <w:sz w:val="24"/>
          <w:szCs w:val="24"/>
        </w:rPr>
        <w:t xml:space="preserve"> 79.4 per cent of the total budget. </w:t>
      </w:r>
      <w:r w:rsidR="00FE5CA5" w:rsidRPr="008D3C26">
        <w:rPr>
          <w:rFonts w:ascii="Times New Roman" w:hAnsi="Times New Roman" w:cs="Times New Roman"/>
          <w:sz w:val="24"/>
          <w:szCs w:val="24"/>
        </w:rPr>
        <w:t xml:space="preserve">An underspending </w:t>
      </w:r>
      <w:r w:rsidRPr="008D3C26">
        <w:rPr>
          <w:rFonts w:ascii="Times New Roman" w:hAnsi="Times New Roman" w:cs="Times New Roman"/>
          <w:sz w:val="24"/>
          <w:szCs w:val="24"/>
        </w:rPr>
        <w:t xml:space="preserve"> of R14.768 million was recorded under this programme</w:t>
      </w:r>
      <w:r w:rsidR="00FE5CA5" w:rsidRPr="008D3C26">
        <w:rPr>
          <w:rFonts w:ascii="Times New Roman" w:hAnsi="Times New Roman" w:cs="Times New Roman"/>
          <w:sz w:val="24"/>
          <w:szCs w:val="24"/>
        </w:rPr>
        <w:t xml:space="preserve">. </w:t>
      </w:r>
      <w:r w:rsidR="00444BE9" w:rsidRPr="008D3C26">
        <w:rPr>
          <w:rFonts w:ascii="Times New Roman" w:hAnsi="Times New Roman" w:cs="Times New Roman"/>
          <w:sz w:val="24"/>
          <w:szCs w:val="24"/>
        </w:rPr>
        <w:t xml:space="preserve"> </w:t>
      </w:r>
      <w:r w:rsidR="00FE5CA5" w:rsidRPr="008D3C26">
        <w:rPr>
          <w:rFonts w:ascii="Times New Roman" w:hAnsi="Times New Roman" w:cs="Times New Roman"/>
          <w:sz w:val="24"/>
          <w:szCs w:val="24"/>
        </w:rPr>
        <w:t>T</w:t>
      </w:r>
      <w:r w:rsidR="00444BE9" w:rsidRPr="008D3C26">
        <w:rPr>
          <w:rFonts w:ascii="Times New Roman" w:hAnsi="Times New Roman" w:cs="Times New Roman"/>
          <w:sz w:val="24"/>
          <w:szCs w:val="24"/>
        </w:rPr>
        <w:t xml:space="preserve">his </w:t>
      </w:r>
      <w:r w:rsidRPr="008D3C26">
        <w:rPr>
          <w:rFonts w:ascii="Times New Roman" w:hAnsi="Times New Roman" w:cs="Times New Roman"/>
          <w:sz w:val="24"/>
          <w:szCs w:val="24"/>
        </w:rPr>
        <w:t>was attributed</w:t>
      </w:r>
      <w:r w:rsidR="00444BE9" w:rsidRPr="008D3C26">
        <w:rPr>
          <w:rFonts w:ascii="Times New Roman" w:hAnsi="Times New Roman" w:cs="Times New Roman"/>
          <w:sz w:val="24"/>
          <w:szCs w:val="24"/>
        </w:rPr>
        <w:t xml:space="preserve"> </w:t>
      </w:r>
      <w:r w:rsidRPr="008D3C26">
        <w:rPr>
          <w:rFonts w:ascii="Times New Roman" w:hAnsi="Times New Roman" w:cs="Times New Roman"/>
          <w:sz w:val="24"/>
          <w:szCs w:val="24"/>
        </w:rPr>
        <w:t>to posts that became vacant during the year that could not be filled as well as vacant funded posts that were advertised as part of the TVET and CET function shift process during the 2015/16</w:t>
      </w:r>
      <w:r w:rsidR="00CD6DC4" w:rsidRPr="008D3C26">
        <w:rPr>
          <w:rFonts w:ascii="Times New Roman" w:hAnsi="Times New Roman" w:cs="Times New Roman"/>
          <w:sz w:val="24"/>
          <w:szCs w:val="24"/>
        </w:rPr>
        <w:t>. These posts</w:t>
      </w:r>
      <w:r w:rsidRPr="008D3C26">
        <w:rPr>
          <w:rFonts w:ascii="Times New Roman" w:hAnsi="Times New Roman" w:cs="Times New Roman"/>
          <w:sz w:val="24"/>
          <w:szCs w:val="24"/>
        </w:rPr>
        <w:t xml:space="preserve"> were only filled mid 2016/17 due to large volumes of applications received. </w:t>
      </w:r>
      <w:r w:rsidR="00CD6DC4" w:rsidRPr="008D3C26">
        <w:rPr>
          <w:rFonts w:ascii="Times New Roman" w:hAnsi="Times New Roman" w:cs="Times New Roman"/>
          <w:sz w:val="24"/>
          <w:szCs w:val="24"/>
        </w:rPr>
        <w:t xml:space="preserve">Under expenditure was also as a result of </w:t>
      </w:r>
      <w:r w:rsidRPr="008D3C26">
        <w:rPr>
          <w:rFonts w:ascii="Times New Roman" w:hAnsi="Times New Roman" w:cs="Times New Roman"/>
          <w:sz w:val="24"/>
          <w:szCs w:val="24"/>
        </w:rPr>
        <w:t xml:space="preserve"> outstanding invoices for litigation matters and </w:t>
      </w:r>
      <w:r w:rsidR="003D5F5E"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 transfer to the India-Brazil-South Africa Trilateral Commission</w:t>
      </w:r>
      <w:r w:rsidR="003D5F5E" w:rsidRPr="008D3C26">
        <w:rPr>
          <w:rFonts w:ascii="Times New Roman" w:hAnsi="Times New Roman" w:cs="Times New Roman"/>
          <w:sz w:val="24"/>
          <w:szCs w:val="24"/>
        </w:rPr>
        <w:t>.</w:t>
      </w:r>
      <w:r w:rsidRPr="008D3C26">
        <w:rPr>
          <w:rFonts w:ascii="Times New Roman" w:hAnsi="Times New Roman" w:cs="Times New Roman"/>
          <w:sz w:val="24"/>
          <w:szCs w:val="24"/>
        </w:rPr>
        <w:t xml:space="preserve"> </w:t>
      </w:r>
      <w:r w:rsidR="003D5F5E" w:rsidRPr="008D3C26">
        <w:rPr>
          <w:rFonts w:ascii="Times New Roman" w:hAnsi="Times New Roman" w:cs="Times New Roman"/>
          <w:sz w:val="24"/>
          <w:szCs w:val="24"/>
        </w:rPr>
        <w:t xml:space="preserve">There was </w:t>
      </w:r>
      <w:r w:rsidRPr="008D3C26">
        <w:rPr>
          <w:rFonts w:ascii="Times New Roman" w:hAnsi="Times New Roman" w:cs="Times New Roman"/>
          <w:sz w:val="24"/>
          <w:szCs w:val="24"/>
        </w:rPr>
        <w:t xml:space="preserve">favourable Rand/Dollar Exchange rate that was applicable when payments were made to the Commonwealth of Learning. </w:t>
      </w:r>
    </w:p>
    <w:p w14:paraId="51F2D61A" w14:textId="77777777" w:rsidR="00EA2A05" w:rsidRPr="008D3C26" w:rsidRDefault="00EA2A05" w:rsidP="00091B4D">
      <w:pPr>
        <w:spacing w:after="0"/>
        <w:rPr>
          <w:rFonts w:ascii="Times New Roman" w:hAnsi="Times New Roman" w:cs="Times New Roman"/>
          <w:sz w:val="24"/>
          <w:szCs w:val="24"/>
        </w:rPr>
      </w:pPr>
    </w:p>
    <w:p w14:paraId="6C0C7989"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In terms of spending </w:t>
      </w:r>
      <w:r w:rsidR="00444BE9" w:rsidRPr="008D3C26">
        <w:rPr>
          <w:rFonts w:ascii="Times New Roman" w:hAnsi="Times New Roman" w:cs="Times New Roman"/>
          <w:sz w:val="24"/>
          <w:szCs w:val="24"/>
        </w:rPr>
        <w:t>per</w:t>
      </w:r>
      <w:r w:rsidRPr="008D3C26">
        <w:rPr>
          <w:rFonts w:ascii="Times New Roman" w:hAnsi="Times New Roman" w:cs="Times New Roman"/>
          <w:sz w:val="24"/>
          <w:szCs w:val="24"/>
        </w:rPr>
        <w:t xml:space="preserve"> economic classification, R53.680 million was expenditure on current payments, which R44.362 million was expenditure on compensation of employees and R9.318 mill</w:t>
      </w:r>
      <w:r w:rsidR="00EA2A05" w:rsidRPr="008D3C26">
        <w:rPr>
          <w:rFonts w:ascii="Times New Roman" w:hAnsi="Times New Roman" w:cs="Times New Roman"/>
          <w:sz w:val="24"/>
          <w:szCs w:val="24"/>
        </w:rPr>
        <w:t xml:space="preserve">ion was for goods and services. </w:t>
      </w:r>
      <w:r w:rsidRPr="008D3C26">
        <w:rPr>
          <w:rFonts w:ascii="Times New Roman" w:hAnsi="Times New Roman" w:cs="Times New Roman"/>
          <w:sz w:val="24"/>
          <w:szCs w:val="24"/>
        </w:rPr>
        <w:t>With regard</w:t>
      </w:r>
      <w:r w:rsidR="00EA2A05" w:rsidRPr="008D3C26">
        <w:rPr>
          <w:rFonts w:ascii="Times New Roman" w:hAnsi="Times New Roman" w:cs="Times New Roman"/>
          <w:sz w:val="24"/>
          <w:szCs w:val="24"/>
        </w:rPr>
        <w:t>s</w:t>
      </w:r>
      <w:r w:rsidRPr="008D3C26">
        <w:rPr>
          <w:rFonts w:ascii="Times New Roman" w:hAnsi="Times New Roman" w:cs="Times New Roman"/>
          <w:sz w:val="24"/>
          <w:szCs w:val="24"/>
        </w:rPr>
        <w:t xml:space="preserve"> to goods and services, the bulk of the expenditure of R3.674 million was on legal services, followed by expenditure of R2.983 million on travel and subsistence. </w:t>
      </w:r>
      <w:r w:rsidR="00EA2A05" w:rsidRPr="008D3C26">
        <w:rPr>
          <w:rFonts w:ascii="Times New Roman" w:hAnsi="Times New Roman" w:cs="Times New Roman"/>
          <w:sz w:val="24"/>
          <w:szCs w:val="24"/>
        </w:rPr>
        <w:t>The</w:t>
      </w:r>
      <w:r w:rsidRPr="008D3C26">
        <w:rPr>
          <w:rFonts w:ascii="Times New Roman" w:hAnsi="Times New Roman" w:cs="Times New Roman"/>
          <w:sz w:val="24"/>
          <w:szCs w:val="24"/>
        </w:rPr>
        <w:t xml:space="preserve"> expenditure of R2.726 million was for transfer and subsidies, </w:t>
      </w:r>
      <w:r w:rsidR="004C4F56" w:rsidRPr="008D3C26">
        <w:rPr>
          <w:rFonts w:ascii="Times New Roman" w:hAnsi="Times New Roman" w:cs="Times New Roman"/>
          <w:sz w:val="24"/>
          <w:szCs w:val="24"/>
        </w:rPr>
        <w:t xml:space="preserve">of </w:t>
      </w:r>
      <w:r w:rsidRPr="008D3C26">
        <w:rPr>
          <w:rFonts w:ascii="Times New Roman" w:hAnsi="Times New Roman" w:cs="Times New Roman"/>
          <w:sz w:val="24"/>
          <w:szCs w:val="24"/>
        </w:rPr>
        <w:t>which R2.</w:t>
      </w:r>
      <w:r w:rsidR="004C4F56" w:rsidRPr="008D3C26">
        <w:rPr>
          <w:rFonts w:ascii="Times New Roman" w:hAnsi="Times New Roman" w:cs="Times New Roman"/>
          <w:sz w:val="24"/>
          <w:szCs w:val="24"/>
        </w:rPr>
        <w:t>648</w:t>
      </w:r>
      <w:r w:rsidRPr="008D3C26">
        <w:rPr>
          <w:rFonts w:ascii="Times New Roman" w:hAnsi="Times New Roman" w:cs="Times New Roman"/>
          <w:sz w:val="24"/>
          <w:szCs w:val="24"/>
        </w:rPr>
        <w:t xml:space="preserve"> million was for transfers to foreign governments and international organisation</w:t>
      </w:r>
      <w:r w:rsidR="005C3930" w:rsidRPr="008D3C26">
        <w:rPr>
          <w:rFonts w:ascii="Times New Roman" w:hAnsi="Times New Roman" w:cs="Times New Roman"/>
          <w:sz w:val="24"/>
          <w:szCs w:val="24"/>
        </w:rPr>
        <w:t>s</w:t>
      </w:r>
      <w:r w:rsidRPr="008D3C26">
        <w:rPr>
          <w:rFonts w:ascii="Times New Roman" w:hAnsi="Times New Roman" w:cs="Times New Roman"/>
          <w:sz w:val="24"/>
          <w:szCs w:val="24"/>
        </w:rPr>
        <w:t xml:space="preserve">. </w:t>
      </w:r>
      <w:r w:rsidR="00EA2A05" w:rsidRPr="008D3C26">
        <w:rPr>
          <w:rFonts w:ascii="Times New Roman" w:hAnsi="Times New Roman" w:cs="Times New Roman"/>
          <w:sz w:val="24"/>
          <w:szCs w:val="24"/>
        </w:rPr>
        <w:t xml:space="preserve"> </w:t>
      </w:r>
      <w:r w:rsidR="005C3930" w:rsidRPr="008D3C26">
        <w:rPr>
          <w:rFonts w:ascii="Times New Roman" w:hAnsi="Times New Roman" w:cs="Times New Roman"/>
          <w:sz w:val="24"/>
          <w:szCs w:val="24"/>
        </w:rPr>
        <w:t>P</w:t>
      </w:r>
      <w:r w:rsidRPr="008D3C26">
        <w:rPr>
          <w:rFonts w:ascii="Times New Roman" w:hAnsi="Times New Roman" w:cs="Times New Roman"/>
          <w:sz w:val="24"/>
          <w:szCs w:val="24"/>
        </w:rPr>
        <w:t xml:space="preserve">ayments for capital assets </w:t>
      </w:r>
      <w:r w:rsidR="005C3930" w:rsidRPr="008D3C26">
        <w:rPr>
          <w:rFonts w:ascii="Times New Roman" w:hAnsi="Times New Roman" w:cs="Times New Roman"/>
          <w:sz w:val="24"/>
          <w:szCs w:val="24"/>
        </w:rPr>
        <w:t xml:space="preserve">amounted to </w:t>
      </w:r>
      <w:r w:rsidRPr="008D3C26">
        <w:rPr>
          <w:rFonts w:ascii="Times New Roman" w:hAnsi="Times New Roman" w:cs="Times New Roman"/>
          <w:sz w:val="24"/>
          <w:szCs w:val="24"/>
        </w:rPr>
        <w:t>R41</w:t>
      </w:r>
      <w:r w:rsidR="004C4F56" w:rsidRPr="008D3C26">
        <w:rPr>
          <w:rFonts w:ascii="Times New Roman" w:hAnsi="Times New Roman" w:cs="Times New Roman"/>
          <w:sz w:val="24"/>
          <w:szCs w:val="24"/>
        </w:rPr>
        <w:t>0</w:t>
      </w:r>
      <w:r w:rsidRPr="008D3C26">
        <w:rPr>
          <w:rFonts w:ascii="Times New Roman" w:hAnsi="Times New Roman" w:cs="Times New Roman"/>
          <w:sz w:val="24"/>
          <w:szCs w:val="24"/>
        </w:rPr>
        <w:t xml:space="preserve"> 000. </w:t>
      </w:r>
    </w:p>
    <w:p w14:paraId="359F71A9" w14:textId="77777777" w:rsidR="004915B1" w:rsidRPr="008D3C26" w:rsidRDefault="004915B1" w:rsidP="00A616C3">
      <w:pPr>
        <w:spacing w:after="0"/>
        <w:rPr>
          <w:rFonts w:ascii="Times New Roman" w:hAnsi="Times New Roman" w:cs="Times New Roman"/>
          <w:b/>
          <w:sz w:val="24"/>
          <w:szCs w:val="24"/>
        </w:rPr>
      </w:pPr>
    </w:p>
    <w:p w14:paraId="40D821A8" w14:textId="77777777" w:rsidR="00767186" w:rsidRPr="008D3C26" w:rsidRDefault="00767186" w:rsidP="00A616C3">
      <w:pPr>
        <w:spacing w:after="0"/>
        <w:rPr>
          <w:rFonts w:ascii="Times New Roman" w:hAnsi="Times New Roman" w:cs="Times New Roman"/>
          <w:b/>
          <w:sz w:val="24"/>
          <w:szCs w:val="24"/>
        </w:rPr>
      </w:pPr>
    </w:p>
    <w:p w14:paraId="3E900BE3" w14:textId="77777777" w:rsidR="00A616C3" w:rsidRPr="008D3C26" w:rsidRDefault="00A616C3" w:rsidP="00A616C3">
      <w:pPr>
        <w:spacing w:after="0"/>
        <w:rPr>
          <w:rFonts w:ascii="Times New Roman" w:hAnsi="Times New Roman" w:cs="Times New Roman"/>
          <w:b/>
          <w:sz w:val="24"/>
          <w:szCs w:val="24"/>
        </w:rPr>
      </w:pPr>
      <w:r w:rsidRPr="008D3C26">
        <w:rPr>
          <w:rFonts w:ascii="Times New Roman" w:hAnsi="Times New Roman" w:cs="Times New Roman"/>
          <w:b/>
          <w:sz w:val="24"/>
          <w:szCs w:val="24"/>
        </w:rPr>
        <w:t>4.2.3. Programme 3: University Education</w:t>
      </w:r>
    </w:p>
    <w:p w14:paraId="3724E5D9" w14:textId="77777777" w:rsidR="00091B4D" w:rsidRPr="008D3C26" w:rsidRDefault="00091B4D" w:rsidP="00091B4D">
      <w:pPr>
        <w:rPr>
          <w:rFonts w:ascii="Times New Roman" w:hAnsi="Times New Roman" w:cs="Times New Roman"/>
          <w:sz w:val="24"/>
          <w:szCs w:val="24"/>
        </w:rPr>
      </w:pPr>
      <w:r w:rsidRPr="008D3C26">
        <w:rPr>
          <w:rFonts w:ascii="Times New Roman" w:hAnsi="Times New Roman" w:cs="Times New Roman"/>
          <w:sz w:val="24"/>
          <w:szCs w:val="24"/>
        </w:rPr>
        <w:t>This programme had six budget sub-programmes, namely; Programme: University Education; University – Academic Planning and Management; University – Financial Planning and Information Systems; University – Policy and Development; Teacher Education, and University- Subsidies. There were no changes made to the Programme and Sub-Programmes.</w:t>
      </w:r>
    </w:p>
    <w:p w14:paraId="1D927C44"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lastRenderedPageBreak/>
        <w:t>The programme received a total allocation of R39.531 billion for the year under review</w:t>
      </w:r>
      <w:r w:rsidR="001C2C66" w:rsidRPr="008D3C26">
        <w:rPr>
          <w:rFonts w:ascii="Times New Roman" w:hAnsi="Times New Roman" w:cs="Times New Roman"/>
          <w:sz w:val="24"/>
          <w:szCs w:val="24"/>
        </w:rPr>
        <w:t>, which</w:t>
      </w:r>
      <w:r w:rsidRPr="008D3C26">
        <w:rPr>
          <w:rFonts w:ascii="Times New Roman" w:hAnsi="Times New Roman" w:cs="Times New Roman"/>
          <w:sz w:val="24"/>
          <w:szCs w:val="24"/>
        </w:rPr>
        <w:t xml:space="preserve"> increased by R6.684 billion from R32.847 billion allocated in </w:t>
      </w:r>
      <w:r w:rsidR="001C2C66"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2015/16 financial year. The programme expenditure at the end of </w:t>
      </w:r>
      <w:r w:rsidR="00731268"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financial </w:t>
      </w:r>
      <w:r w:rsidR="00731268" w:rsidRPr="008D3C26">
        <w:rPr>
          <w:rFonts w:ascii="Times New Roman" w:hAnsi="Times New Roman" w:cs="Times New Roman"/>
          <w:sz w:val="24"/>
          <w:szCs w:val="24"/>
        </w:rPr>
        <w:t xml:space="preserve">year </w:t>
      </w:r>
      <w:r w:rsidRPr="008D3C26">
        <w:rPr>
          <w:rFonts w:ascii="Times New Roman" w:hAnsi="Times New Roman" w:cs="Times New Roman"/>
          <w:sz w:val="24"/>
          <w:szCs w:val="24"/>
        </w:rPr>
        <w:t xml:space="preserve">was 100.0 per cent. The spending rate increased by 0.8 per cent from 99.2 per cent in 2015/16. The programme recorded an underspending to the amount of R15.969 million, attributed to posts that became vacant during the year that could not filled </w:t>
      </w:r>
      <w:r w:rsidR="00EE3553" w:rsidRPr="008D3C26">
        <w:rPr>
          <w:rFonts w:ascii="Times New Roman" w:hAnsi="Times New Roman" w:cs="Times New Roman"/>
          <w:sz w:val="24"/>
          <w:szCs w:val="24"/>
        </w:rPr>
        <w:t xml:space="preserve">due to </w:t>
      </w:r>
      <w:r w:rsidRPr="008D3C26">
        <w:rPr>
          <w:rFonts w:ascii="Times New Roman" w:hAnsi="Times New Roman" w:cs="Times New Roman"/>
          <w:sz w:val="24"/>
          <w:szCs w:val="24"/>
        </w:rPr>
        <w:t xml:space="preserve">challenges in finding suitable candidates for specific professional posts. An expenditure of R27.964 billion in sub-programme 6: University Subsidies </w:t>
      </w:r>
      <w:r w:rsidR="00C07591" w:rsidRPr="008D3C26">
        <w:rPr>
          <w:rFonts w:ascii="Times New Roman" w:hAnsi="Times New Roman" w:cs="Times New Roman"/>
          <w:sz w:val="24"/>
          <w:szCs w:val="24"/>
        </w:rPr>
        <w:t>constituted</w:t>
      </w:r>
      <w:r w:rsidRPr="008D3C26">
        <w:rPr>
          <w:rFonts w:ascii="Times New Roman" w:hAnsi="Times New Roman" w:cs="Times New Roman"/>
          <w:sz w:val="24"/>
          <w:szCs w:val="24"/>
        </w:rPr>
        <w:t xml:space="preserve"> the highest programme expenditure, which </w:t>
      </w:r>
      <w:r w:rsidR="00EA2A05" w:rsidRPr="008D3C26">
        <w:rPr>
          <w:rFonts w:ascii="Times New Roman" w:hAnsi="Times New Roman" w:cs="Times New Roman"/>
          <w:sz w:val="24"/>
          <w:szCs w:val="24"/>
        </w:rPr>
        <w:t>was</w:t>
      </w:r>
      <w:r w:rsidRPr="008D3C26">
        <w:rPr>
          <w:rFonts w:ascii="Times New Roman" w:hAnsi="Times New Roman" w:cs="Times New Roman"/>
          <w:sz w:val="24"/>
          <w:szCs w:val="24"/>
        </w:rPr>
        <w:t xml:space="preserve"> 70.7 per cent. This sub-programme is responsible for transfers of </w:t>
      </w:r>
      <w:r w:rsidR="00100A53"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annual payments to universities. An expenditure of R11.504 billion, which </w:t>
      </w:r>
      <w:r w:rsidR="00C07591" w:rsidRPr="008D3C26">
        <w:rPr>
          <w:rFonts w:ascii="Times New Roman" w:hAnsi="Times New Roman" w:cs="Times New Roman"/>
          <w:sz w:val="24"/>
          <w:szCs w:val="24"/>
        </w:rPr>
        <w:t>constituted</w:t>
      </w:r>
      <w:r w:rsidRPr="008D3C26">
        <w:rPr>
          <w:rFonts w:ascii="Times New Roman" w:hAnsi="Times New Roman" w:cs="Times New Roman"/>
          <w:sz w:val="24"/>
          <w:szCs w:val="24"/>
        </w:rPr>
        <w:t xml:space="preserve"> the second highest programme expenditure was in sub-programme 2: University Academic Planning and Management, which plans and monitors the university system, through analysing institutional and national plans, maintaining programmes and qualification combination. </w:t>
      </w:r>
    </w:p>
    <w:p w14:paraId="17B60CA8" w14:textId="77777777" w:rsidR="00091B4D" w:rsidRPr="008D3C26" w:rsidRDefault="00091B4D" w:rsidP="00091B4D">
      <w:pPr>
        <w:spacing w:after="0"/>
        <w:rPr>
          <w:rFonts w:ascii="Times New Roman" w:hAnsi="Times New Roman" w:cs="Times New Roman"/>
          <w:sz w:val="24"/>
          <w:szCs w:val="24"/>
        </w:rPr>
      </w:pPr>
    </w:p>
    <w:p w14:paraId="3E10353D"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In terms </w:t>
      </w:r>
      <w:r w:rsidR="00731268" w:rsidRPr="008D3C26">
        <w:rPr>
          <w:rFonts w:ascii="Times New Roman" w:hAnsi="Times New Roman" w:cs="Times New Roman"/>
          <w:sz w:val="24"/>
          <w:szCs w:val="24"/>
        </w:rPr>
        <w:t xml:space="preserve">expenditure per </w:t>
      </w:r>
      <w:r w:rsidRPr="008D3C26">
        <w:rPr>
          <w:rFonts w:ascii="Times New Roman" w:hAnsi="Times New Roman" w:cs="Times New Roman"/>
          <w:sz w:val="24"/>
          <w:szCs w:val="24"/>
        </w:rPr>
        <w:t xml:space="preserve">economic classifications, R52.124 million was for current payments, </w:t>
      </w:r>
      <w:r w:rsidR="00EA2A05" w:rsidRPr="008D3C26">
        <w:rPr>
          <w:rFonts w:ascii="Times New Roman" w:hAnsi="Times New Roman" w:cs="Times New Roman"/>
          <w:sz w:val="24"/>
          <w:szCs w:val="24"/>
        </w:rPr>
        <w:t xml:space="preserve">of </w:t>
      </w:r>
      <w:r w:rsidRPr="008D3C26">
        <w:rPr>
          <w:rFonts w:ascii="Times New Roman" w:hAnsi="Times New Roman" w:cs="Times New Roman"/>
          <w:sz w:val="24"/>
          <w:szCs w:val="24"/>
        </w:rPr>
        <w:t>which R45.918 million was for compensation of employees and R6.206 million was for goods and services. In terms of spending on goods and services</w:t>
      </w:r>
      <w:r w:rsidR="00731268" w:rsidRPr="008D3C26">
        <w:rPr>
          <w:rFonts w:ascii="Times New Roman" w:hAnsi="Times New Roman" w:cs="Times New Roman"/>
          <w:sz w:val="24"/>
          <w:szCs w:val="24"/>
        </w:rPr>
        <w:t xml:space="preserve"> line items</w:t>
      </w:r>
      <w:r w:rsidRPr="008D3C26">
        <w:rPr>
          <w:rFonts w:ascii="Times New Roman" w:hAnsi="Times New Roman" w:cs="Times New Roman"/>
          <w:sz w:val="24"/>
          <w:szCs w:val="24"/>
        </w:rPr>
        <w:t xml:space="preserve">, the bulk of the expenditure of R3.993 million was on travel and subsistence line item. Transfers and subsidies expenditure was R39.463 billion, </w:t>
      </w:r>
      <w:r w:rsidR="00EA2A05" w:rsidRPr="008D3C26">
        <w:rPr>
          <w:rFonts w:ascii="Times New Roman" w:hAnsi="Times New Roman" w:cs="Times New Roman"/>
          <w:sz w:val="24"/>
          <w:szCs w:val="24"/>
        </w:rPr>
        <w:t xml:space="preserve">of </w:t>
      </w:r>
      <w:r w:rsidRPr="008D3C26">
        <w:rPr>
          <w:rFonts w:ascii="Times New Roman" w:hAnsi="Times New Roman" w:cs="Times New Roman"/>
          <w:sz w:val="24"/>
          <w:szCs w:val="24"/>
        </w:rPr>
        <w:t>which R11.490 billion was transfers to the Department</w:t>
      </w:r>
      <w:r w:rsidR="00EE3553" w:rsidRPr="008D3C26">
        <w:rPr>
          <w:rFonts w:ascii="Times New Roman" w:hAnsi="Times New Roman" w:cs="Times New Roman"/>
          <w:sz w:val="24"/>
          <w:szCs w:val="24"/>
        </w:rPr>
        <w:t>al</w:t>
      </w:r>
      <w:r w:rsidRPr="008D3C26">
        <w:rPr>
          <w:rFonts w:ascii="Times New Roman" w:hAnsi="Times New Roman" w:cs="Times New Roman"/>
          <w:sz w:val="24"/>
          <w:szCs w:val="24"/>
        </w:rPr>
        <w:t xml:space="preserve"> agencies and accounts, R27.964 billion was for higher education institutions and R8.172 million for non-profit institutions. </w:t>
      </w:r>
      <w:r w:rsidR="00EA2A05" w:rsidRPr="008D3C26">
        <w:rPr>
          <w:rFonts w:ascii="Times New Roman" w:hAnsi="Times New Roman" w:cs="Times New Roman"/>
          <w:sz w:val="24"/>
          <w:szCs w:val="24"/>
        </w:rPr>
        <w:t xml:space="preserve"> </w:t>
      </w:r>
      <w:r w:rsidR="00EE3553" w:rsidRPr="008D3C26">
        <w:rPr>
          <w:rFonts w:ascii="Times New Roman" w:hAnsi="Times New Roman" w:cs="Times New Roman"/>
          <w:sz w:val="24"/>
          <w:szCs w:val="24"/>
        </w:rPr>
        <w:t>P</w:t>
      </w:r>
      <w:r w:rsidRPr="008D3C26">
        <w:rPr>
          <w:rFonts w:ascii="Times New Roman" w:hAnsi="Times New Roman" w:cs="Times New Roman"/>
          <w:sz w:val="24"/>
          <w:szCs w:val="24"/>
        </w:rPr>
        <w:t xml:space="preserve">ayments for capital assets </w:t>
      </w:r>
      <w:r w:rsidR="00EE3553" w:rsidRPr="008D3C26">
        <w:rPr>
          <w:rFonts w:ascii="Times New Roman" w:hAnsi="Times New Roman" w:cs="Times New Roman"/>
          <w:sz w:val="24"/>
          <w:szCs w:val="24"/>
        </w:rPr>
        <w:t>was amounted to</w:t>
      </w:r>
      <w:r w:rsidRPr="008D3C26">
        <w:rPr>
          <w:rFonts w:ascii="Times New Roman" w:hAnsi="Times New Roman" w:cs="Times New Roman"/>
          <w:sz w:val="24"/>
          <w:szCs w:val="24"/>
        </w:rPr>
        <w:t xml:space="preserve"> R278 000.</w:t>
      </w:r>
    </w:p>
    <w:p w14:paraId="0ED74572" w14:textId="77777777" w:rsidR="00A616C3" w:rsidRPr="008D3C26" w:rsidRDefault="00A616C3" w:rsidP="00A616C3">
      <w:pPr>
        <w:spacing w:after="0"/>
        <w:rPr>
          <w:rFonts w:ascii="Times New Roman" w:hAnsi="Times New Roman" w:cs="Times New Roman"/>
          <w:b/>
          <w:sz w:val="24"/>
          <w:szCs w:val="24"/>
        </w:rPr>
      </w:pPr>
    </w:p>
    <w:p w14:paraId="738FE98C" w14:textId="77777777" w:rsidR="00A616C3" w:rsidRPr="008D3C26" w:rsidRDefault="00A616C3" w:rsidP="00A616C3">
      <w:pPr>
        <w:spacing w:after="0"/>
        <w:rPr>
          <w:rFonts w:ascii="Times New Roman" w:hAnsi="Times New Roman" w:cs="Times New Roman"/>
          <w:b/>
          <w:sz w:val="24"/>
          <w:szCs w:val="24"/>
        </w:rPr>
      </w:pPr>
      <w:r w:rsidRPr="008D3C26">
        <w:rPr>
          <w:rFonts w:ascii="Times New Roman" w:hAnsi="Times New Roman" w:cs="Times New Roman"/>
          <w:b/>
          <w:sz w:val="24"/>
          <w:szCs w:val="24"/>
        </w:rPr>
        <w:t>4.</w:t>
      </w:r>
      <w:r w:rsidR="00E01B75" w:rsidRPr="008D3C26">
        <w:rPr>
          <w:rFonts w:ascii="Times New Roman" w:hAnsi="Times New Roman" w:cs="Times New Roman"/>
          <w:b/>
          <w:sz w:val="24"/>
          <w:szCs w:val="24"/>
        </w:rPr>
        <w:t>2</w:t>
      </w:r>
      <w:r w:rsidRPr="008D3C26">
        <w:rPr>
          <w:rFonts w:ascii="Times New Roman" w:hAnsi="Times New Roman" w:cs="Times New Roman"/>
          <w:b/>
          <w:sz w:val="24"/>
          <w:szCs w:val="24"/>
        </w:rPr>
        <w:t>.4. Programme 4: Technical and Vocational Education and Training</w:t>
      </w:r>
    </w:p>
    <w:p w14:paraId="72FF9678" w14:textId="77777777" w:rsidR="00091B4D" w:rsidRPr="008D3C26" w:rsidRDefault="00091B4D" w:rsidP="00091B4D">
      <w:pPr>
        <w:rPr>
          <w:rFonts w:ascii="Times New Roman" w:hAnsi="Times New Roman" w:cs="Times New Roman"/>
          <w:sz w:val="24"/>
          <w:szCs w:val="24"/>
        </w:rPr>
      </w:pPr>
      <w:r w:rsidRPr="008D3C26">
        <w:rPr>
          <w:rFonts w:ascii="Times New Roman" w:hAnsi="Times New Roman" w:cs="Times New Roman"/>
          <w:sz w:val="24"/>
          <w:szCs w:val="24"/>
        </w:rPr>
        <w:t xml:space="preserve">The programme had five budget sub-programmes: Programme Management: Technical and Vocational Education and Training; Technical and Vocational Education and Training System Planning and Institutional Support; Programmes and Qualifications; National Examination and Assessments and Financial Planning. </w:t>
      </w:r>
    </w:p>
    <w:p w14:paraId="523C681D" w14:textId="77777777" w:rsidR="00091B4D" w:rsidRPr="008D3C26" w:rsidRDefault="00091B4D" w:rsidP="00091B4D">
      <w:pPr>
        <w:rPr>
          <w:rFonts w:ascii="Times New Roman" w:hAnsi="Times New Roman" w:cs="Times New Roman"/>
          <w:sz w:val="24"/>
          <w:szCs w:val="24"/>
        </w:rPr>
      </w:pPr>
      <w:r w:rsidRPr="008D3C26">
        <w:rPr>
          <w:rFonts w:ascii="Times New Roman" w:hAnsi="Times New Roman" w:cs="Times New Roman"/>
          <w:sz w:val="24"/>
          <w:szCs w:val="24"/>
        </w:rPr>
        <w:t xml:space="preserve">For the year under review, the programme was allocated a total of R7.031 billion. The budget increased by R425.372 million from R6.606 billion allocated in 2015/16. Shifts were effected within the programme to increase allocations </w:t>
      </w:r>
      <w:r w:rsidR="00EE3553" w:rsidRPr="008D3C26">
        <w:rPr>
          <w:rFonts w:ascii="Times New Roman" w:hAnsi="Times New Roman" w:cs="Times New Roman"/>
          <w:sz w:val="24"/>
          <w:szCs w:val="24"/>
        </w:rPr>
        <w:t xml:space="preserve">to </w:t>
      </w:r>
      <w:r w:rsidRPr="008D3C26">
        <w:rPr>
          <w:rFonts w:ascii="Times New Roman" w:hAnsi="Times New Roman" w:cs="Times New Roman"/>
          <w:sz w:val="24"/>
          <w:szCs w:val="24"/>
        </w:rPr>
        <w:t xml:space="preserve">other line items. The shifts </w:t>
      </w:r>
      <w:r w:rsidR="00EE3553" w:rsidRPr="008D3C26">
        <w:rPr>
          <w:rFonts w:ascii="Times New Roman" w:hAnsi="Times New Roman" w:cs="Times New Roman"/>
          <w:sz w:val="24"/>
          <w:szCs w:val="24"/>
        </w:rPr>
        <w:t xml:space="preserve">constituted </w:t>
      </w:r>
      <w:r w:rsidRPr="008D3C26">
        <w:rPr>
          <w:rFonts w:ascii="Times New Roman" w:hAnsi="Times New Roman" w:cs="Times New Roman"/>
          <w:sz w:val="24"/>
          <w:szCs w:val="24"/>
        </w:rPr>
        <w:t>3.9 per cent of the total programme budget. The bulk of the programme</w:t>
      </w:r>
      <w:r w:rsidR="00EE3553" w:rsidRPr="008D3C26">
        <w:rPr>
          <w:rFonts w:ascii="Times New Roman" w:hAnsi="Times New Roman" w:cs="Times New Roman"/>
          <w:sz w:val="24"/>
          <w:szCs w:val="24"/>
        </w:rPr>
        <w:t xml:space="preserve"> budget</w:t>
      </w:r>
      <w:r w:rsidRPr="008D3C26">
        <w:rPr>
          <w:rFonts w:ascii="Times New Roman" w:hAnsi="Times New Roman" w:cs="Times New Roman"/>
          <w:sz w:val="24"/>
          <w:szCs w:val="24"/>
        </w:rPr>
        <w:t xml:space="preserve">, R6.572 billion, which </w:t>
      </w:r>
      <w:r w:rsidR="00C07591" w:rsidRPr="008D3C26">
        <w:rPr>
          <w:rFonts w:ascii="Times New Roman" w:hAnsi="Times New Roman" w:cs="Times New Roman"/>
          <w:sz w:val="24"/>
          <w:szCs w:val="24"/>
        </w:rPr>
        <w:t>represented</w:t>
      </w:r>
      <w:r w:rsidRPr="008D3C26">
        <w:rPr>
          <w:rFonts w:ascii="Times New Roman" w:hAnsi="Times New Roman" w:cs="Times New Roman"/>
          <w:sz w:val="24"/>
          <w:szCs w:val="24"/>
        </w:rPr>
        <w:t xml:space="preserve"> 93.4 per cent of the total programme budget was allocated for sub-</w:t>
      </w:r>
      <w:r w:rsidRPr="008D3C26">
        <w:rPr>
          <w:rFonts w:ascii="Times New Roman" w:hAnsi="Times New Roman" w:cs="Times New Roman"/>
          <w:sz w:val="24"/>
          <w:szCs w:val="24"/>
        </w:rPr>
        <w:lastRenderedPageBreak/>
        <w:t xml:space="preserve">programme 2: Technical and Vocational Education and Training System Planning and Institutional Support. The sub-programme provides support to management and councils; monitors and evaluates the TVET system performance against set indicators; develops regulatory frameworks for the system; manages and monitors procurement and distribution of learning and teaching support materials; provides leadership for TVET Colleges to enter into partnerships for utilisation of infrastructure and funding resources; and maps out the institutional landscape for the rollout of the TVET College system. </w:t>
      </w:r>
    </w:p>
    <w:p w14:paraId="7272F760" w14:textId="77777777" w:rsidR="00A616C3" w:rsidRPr="008D3C26" w:rsidRDefault="00091B4D" w:rsidP="00601B8C">
      <w:pPr>
        <w:rPr>
          <w:rFonts w:ascii="Times New Roman" w:hAnsi="Times New Roman" w:cs="Times New Roman"/>
          <w:sz w:val="24"/>
          <w:szCs w:val="24"/>
        </w:rPr>
      </w:pPr>
      <w:r w:rsidRPr="008D3C26">
        <w:rPr>
          <w:rFonts w:ascii="Times New Roman" w:hAnsi="Times New Roman" w:cs="Times New Roman"/>
          <w:sz w:val="24"/>
          <w:szCs w:val="24"/>
        </w:rPr>
        <w:t xml:space="preserve">The programme’s expenditure at the end of the financial year was R7.029 billion, which </w:t>
      </w:r>
      <w:r w:rsidR="00C07591" w:rsidRPr="008D3C26">
        <w:rPr>
          <w:rFonts w:ascii="Times New Roman" w:hAnsi="Times New Roman" w:cs="Times New Roman"/>
          <w:sz w:val="24"/>
          <w:szCs w:val="24"/>
        </w:rPr>
        <w:t>represented</w:t>
      </w:r>
      <w:r w:rsidRPr="008D3C26">
        <w:rPr>
          <w:rFonts w:ascii="Times New Roman" w:hAnsi="Times New Roman" w:cs="Times New Roman"/>
          <w:sz w:val="24"/>
          <w:szCs w:val="24"/>
        </w:rPr>
        <w:t xml:space="preserve"> 100.0 per cent of the total budget. </w:t>
      </w:r>
      <w:r w:rsidR="00731268" w:rsidRPr="008D3C26">
        <w:rPr>
          <w:rFonts w:ascii="Times New Roman" w:hAnsi="Times New Roman" w:cs="Times New Roman"/>
          <w:sz w:val="24"/>
          <w:szCs w:val="24"/>
        </w:rPr>
        <w:t>In terms of spending per</w:t>
      </w:r>
      <w:r w:rsidRPr="008D3C26">
        <w:rPr>
          <w:rFonts w:ascii="Times New Roman" w:hAnsi="Times New Roman" w:cs="Times New Roman"/>
          <w:sz w:val="24"/>
          <w:szCs w:val="24"/>
        </w:rPr>
        <w:t xml:space="preserve"> economic classifications, R5.434 billion was expenditure for current payments, </w:t>
      </w:r>
      <w:r w:rsidR="00E51DBB" w:rsidRPr="008D3C26">
        <w:rPr>
          <w:rFonts w:ascii="Times New Roman" w:hAnsi="Times New Roman" w:cs="Times New Roman"/>
          <w:sz w:val="24"/>
          <w:szCs w:val="24"/>
        </w:rPr>
        <w:t xml:space="preserve">of </w:t>
      </w:r>
      <w:r w:rsidRPr="008D3C26">
        <w:rPr>
          <w:rFonts w:ascii="Times New Roman" w:hAnsi="Times New Roman" w:cs="Times New Roman"/>
          <w:sz w:val="24"/>
          <w:szCs w:val="24"/>
        </w:rPr>
        <w:t xml:space="preserve">which R5.289 billion was for compensation of employees and R145.374 million was for goods and services. In terms of spending on goods and services line items, expenditure of R59.608 million on computer services </w:t>
      </w:r>
      <w:r w:rsidR="00C07591" w:rsidRPr="008D3C26">
        <w:rPr>
          <w:rFonts w:ascii="Times New Roman" w:hAnsi="Times New Roman" w:cs="Times New Roman"/>
          <w:sz w:val="24"/>
          <w:szCs w:val="24"/>
        </w:rPr>
        <w:t>constituted</w:t>
      </w:r>
      <w:r w:rsidRPr="008D3C26">
        <w:rPr>
          <w:rFonts w:ascii="Times New Roman" w:hAnsi="Times New Roman" w:cs="Times New Roman"/>
          <w:sz w:val="24"/>
          <w:szCs w:val="24"/>
        </w:rPr>
        <w:t xml:space="preserve"> the </w:t>
      </w:r>
      <w:r w:rsidR="00731268" w:rsidRPr="008D3C26">
        <w:rPr>
          <w:rFonts w:ascii="Times New Roman" w:hAnsi="Times New Roman" w:cs="Times New Roman"/>
          <w:sz w:val="24"/>
          <w:szCs w:val="24"/>
        </w:rPr>
        <w:t>largest</w:t>
      </w:r>
      <w:r w:rsidRPr="008D3C26">
        <w:rPr>
          <w:rFonts w:ascii="Times New Roman" w:hAnsi="Times New Roman" w:cs="Times New Roman"/>
          <w:sz w:val="24"/>
          <w:szCs w:val="24"/>
        </w:rPr>
        <w:t xml:space="preserve"> expenditure line item, followed by R41.517 million on travel and subsistence, R19.889 million on consumables: stationery, printing and office supplies and R11.211 million on operating payments. In terms of transfers and subsidies, the expenditure was R1.593 billion, </w:t>
      </w:r>
      <w:r w:rsidR="005838BD" w:rsidRPr="008D3C26">
        <w:rPr>
          <w:rFonts w:ascii="Times New Roman" w:hAnsi="Times New Roman" w:cs="Times New Roman"/>
          <w:sz w:val="24"/>
          <w:szCs w:val="24"/>
        </w:rPr>
        <w:t xml:space="preserve">of </w:t>
      </w:r>
      <w:r w:rsidRPr="008D3C26">
        <w:rPr>
          <w:rFonts w:ascii="Times New Roman" w:hAnsi="Times New Roman" w:cs="Times New Roman"/>
          <w:sz w:val="24"/>
          <w:szCs w:val="24"/>
        </w:rPr>
        <w:t xml:space="preserve">which R1.566 billion was </w:t>
      </w:r>
      <w:r w:rsidR="005838BD" w:rsidRPr="008D3C26">
        <w:rPr>
          <w:rFonts w:ascii="Times New Roman" w:hAnsi="Times New Roman" w:cs="Times New Roman"/>
          <w:sz w:val="24"/>
          <w:szCs w:val="24"/>
        </w:rPr>
        <w:t xml:space="preserve">for </w:t>
      </w:r>
      <w:r w:rsidR="00731268" w:rsidRPr="008D3C26">
        <w:rPr>
          <w:rFonts w:ascii="Times New Roman" w:hAnsi="Times New Roman" w:cs="Times New Roman"/>
          <w:sz w:val="24"/>
          <w:szCs w:val="24"/>
        </w:rPr>
        <w:t xml:space="preserve">subsidies to </w:t>
      </w:r>
      <w:r w:rsidRPr="008D3C26">
        <w:rPr>
          <w:rFonts w:ascii="Times New Roman" w:hAnsi="Times New Roman" w:cs="Times New Roman"/>
          <w:sz w:val="24"/>
          <w:szCs w:val="24"/>
        </w:rPr>
        <w:t xml:space="preserve">TVET Colleges. </w:t>
      </w:r>
      <w:r w:rsidR="00EA2A05" w:rsidRPr="008D3C26">
        <w:rPr>
          <w:rFonts w:ascii="Times New Roman" w:hAnsi="Times New Roman" w:cs="Times New Roman"/>
          <w:sz w:val="24"/>
          <w:szCs w:val="24"/>
        </w:rPr>
        <w:t xml:space="preserve"> </w:t>
      </w:r>
      <w:r w:rsidR="005838BD" w:rsidRPr="008D3C26">
        <w:rPr>
          <w:rFonts w:ascii="Times New Roman" w:hAnsi="Times New Roman" w:cs="Times New Roman"/>
          <w:sz w:val="24"/>
          <w:szCs w:val="24"/>
        </w:rPr>
        <w:t>P</w:t>
      </w:r>
      <w:r w:rsidRPr="008D3C26">
        <w:rPr>
          <w:rFonts w:ascii="Times New Roman" w:hAnsi="Times New Roman" w:cs="Times New Roman"/>
          <w:sz w:val="24"/>
          <w:szCs w:val="24"/>
        </w:rPr>
        <w:t xml:space="preserve">ayments for capital assets </w:t>
      </w:r>
      <w:r w:rsidR="005838BD" w:rsidRPr="008D3C26">
        <w:rPr>
          <w:rFonts w:ascii="Times New Roman" w:hAnsi="Times New Roman" w:cs="Times New Roman"/>
          <w:sz w:val="24"/>
          <w:szCs w:val="24"/>
        </w:rPr>
        <w:t xml:space="preserve"> amounted to</w:t>
      </w:r>
      <w:r w:rsidRPr="008D3C26">
        <w:rPr>
          <w:rFonts w:ascii="Times New Roman" w:hAnsi="Times New Roman" w:cs="Times New Roman"/>
          <w:sz w:val="24"/>
          <w:szCs w:val="24"/>
        </w:rPr>
        <w:t xml:space="preserve"> R1.538 million. </w:t>
      </w:r>
    </w:p>
    <w:p w14:paraId="3F890BB8" w14:textId="77777777" w:rsidR="00A616C3" w:rsidRPr="008D3C26" w:rsidRDefault="00A616C3" w:rsidP="00A616C3">
      <w:pPr>
        <w:spacing w:after="0"/>
        <w:rPr>
          <w:rFonts w:ascii="Times New Roman" w:hAnsi="Times New Roman" w:cs="Times New Roman"/>
          <w:b/>
          <w:sz w:val="24"/>
          <w:szCs w:val="24"/>
        </w:rPr>
      </w:pPr>
      <w:r w:rsidRPr="008D3C26">
        <w:rPr>
          <w:rFonts w:ascii="Times New Roman" w:hAnsi="Times New Roman" w:cs="Times New Roman"/>
          <w:b/>
          <w:sz w:val="24"/>
          <w:szCs w:val="24"/>
        </w:rPr>
        <w:t>4.</w:t>
      </w:r>
      <w:r w:rsidR="00E01B75" w:rsidRPr="008D3C26">
        <w:rPr>
          <w:rFonts w:ascii="Times New Roman" w:hAnsi="Times New Roman" w:cs="Times New Roman"/>
          <w:b/>
          <w:sz w:val="24"/>
          <w:szCs w:val="24"/>
        </w:rPr>
        <w:t>2</w:t>
      </w:r>
      <w:r w:rsidRPr="008D3C26">
        <w:rPr>
          <w:rFonts w:ascii="Times New Roman" w:hAnsi="Times New Roman" w:cs="Times New Roman"/>
          <w:b/>
          <w:sz w:val="24"/>
          <w:szCs w:val="24"/>
        </w:rPr>
        <w:t xml:space="preserve">.5. </w:t>
      </w:r>
      <w:r w:rsidR="00F02509" w:rsidRPr="008D3C26">
        <w:rPr>
          <w:rFonts w:ascii="Times New Roman" w:hAnsi="Times New Roman" w:cs="Times New Roman"/>
          <w:b/>
          <w:sz w:val="24"/>
          <w:szCs w:val="24"/>
        </w:rPr>
        <w:t>Programme 5: Skills Development</w:t>
      </w:r>
    </w:p>
    <w:p w14:paraId="079376C7" w14:textId="77777777" w:rsidR="00A64059" w:rsidRPr="008D3C26" w:rsidRDefault="00091B4D" w:rsidP="00A64059">
      <w:pPr>
        <w:spacing w:after="0"/>
        <w:rPr>
          <w:rFonts w:ascii="Times New Roman" w:hAnsi="Times New Roman" w:cs="Times New Roman"/>
          <w:sz w:val="24"/>
          <w:szCs w:val="24"/>
        </w:rPr>
      </w:pPr>
      <w:r w:rsidRPr="008D3C26">
        <w:rPr>
          <w:rFonts w:ascii="Times New Roman" w:hAnsi="Times New Roman" w:cs="Times New Roman"/>
          <w:sz w:val="24"/>
          <w:szCs w:val="24"/>
        </w:rPr>
        <w:t>The programme had four (4) budget sub-programmes: Programme Management: Skills Development, SETA Coordination, National Skills Development Services and Qual</w:t>
      </w:r>
      <w:r w:rsidR="00A64059" w:rsidRPr="008D3C26">
        <w:rPr>
          <w:rFonts w:ascii="Times New Roman" w:hAnsi="Times New Roman" w:cs="Times New Roman"/>
          <w:sz w:val="24"/>
          <w:szCs w:val="24"/>
        </w:rPr>
        <w:t xml:space="preserve">ity Development and Promotion. </w:t>
      </w:r>
    </w:p>
    <w:p w14:paraId="3F40571B" w14:textId="77777777" w:rsidR="00A64059" w:rsidRPr="008D3C26" w:rsidRDefault="00A64059" w:rsidP="00A64059">
      <w:pPr>
        <w:spacing w:after="0"/>
        <w:rPr>
          <w:rFonts w:ascii="Times New Roman" w:hAnsi="Times New Roman" w:cs="Times New Roman"/>
          <w:sz w:val="24"/>
          <w:szCs w:val="24"/>
        </w:rPr>
      </w:pPr>
    </w:p>
    <w:p w14:paraId="225A8419" w14:textId="77777777" w:rsidR="00091B4D" w:rsidRPr="008D3C26" w:rsidRDefault="00091B4D" w:rsidP="00A64059">
      <w:pPr>
        <w:spacing w:after="0"/>
        <w:rPr>
          <w:rFonts w:ascii="Times New Roman" w:hAnsi="Times New Roman" w:cs="Times New Roman"/>
          <w:sz w:val="24"/>
          <w:szCs w:val="24"/>
        </w:rPr>
      </w:pPr>
      <w:r w:rsidRPr="008D3C26">
        <w:rPr>
          <w:rFonts w:ascii="Times New Roman" w:hAnsi="Times New Roman" w:cs="Times New Roman"/>
          <w:sz w:val="24"/>
          <w:szCs w:val="24"/>
        </w:rPr>
        <w:t>The programme received an allocation of R181.443 million. The budget increased by R57.896 million from R123.547 million allocated in 2015/16. Shift</w:t>
      </w:r>
      <w:r w:rsidR="00A513B3" w:rsidRPr="008D3C26">
        <w:rPr>
          <w:rFonts w:ascii="Times New Roman" w:hAnsi="Times New Roman" w:cs="Times New Roman"/>
          <w:sz w:val="24"/>
          <w:szCs w:val="24"/>
        </w:rPr>
        <w:t>s</w:t>
      </w:r>
      <w:r w:rsidRPr="008D3C26">
        <w:rPr>
          <w:rFonts w:ascii="Times New Roman" w:hAnsi="Times New Roman" w:cs="Times New Roman"/>
          <w:sz w:val="24"/>
          <w:szCs w:val="24"/>
        </w:rPr>
        <w:t xml:space="preserve"> to the value of R503 000 (R278 000 from sub-programme 1: Programme Management: Skills Development and R225 000 from sub-programme 3: National Skills Development Services) were effected to increase allocation for sub-programme 2: SETA Coordination. The programme expenditure at the end of the financial year was R180.635 million, which </w:t>
      </w:r>
      <w:r w:rsidR="00C07591" w:rsidRPr="008D3C26">
        <w:rPr>
          <w:rFonts w:ascii="Times New Roman" w:hAnsi="Times New Roman" w:cs="Times New Roman"/>
          <w:sz w:val="24"/>
          <w:szCs w:val="24"/>
        </w:rPr>
        <w:t>represented</w:t>
      </w:r>
      <w:r w:rsidRPr="008D3C26">
        <w:rPr>
          <w:rFonts w:ascii="Times New Roman" w:hAnsi="Times New Roman" w:cs="Times New Roman"/>
          <w:sz w:val="24"/>
          <w:szCs w:val="24"/>
        </w:rPr>
        <w:t xml:space="preserve"> 99.6 per cent of the total programme budget. An expenditure of R147.961 million was in sub-programme 2: SETA Coordination, which </w:t>
      </w:r>
      <w:r w:rsidR="00C07591" w:rsidRPr="008D3C26">
        <w:rPr>
          <w:rFonts w:ascii="Times New Roman" w:hAnsi="Times New Roman" w:cs="Times New Roman"/>
          <w:sz w:val="24"/>
          <w:szCs w:val="24"/>
        </w:rPr>
        <w:t>constituted</w:t>
      </w:r>
      <w:r w:rsidRPr="008D3C26">
        <w:rPr>
          <w:rFonts w:ascii="Times New Roman" w:hAnsi="Times New Roman" w:cs="Times New Roman"/>
          <w:sz w:val="24"/>
          <w:szCs w:val="24"/>
        </w:rPr>
        <w:t xml:space="preserve"> 91.9 per cent of the total programme budget. </w:t>
      </w:r>
      <w:r w:rsidR="00A513B3" w:rsidRPr="008D3C26">
        <w:rPr>
          <w:rFonts w:ascii="Times New Roman" w:hAnsi="Times New Roman" w:cs="Times New Roman"/>
          <w:sz w:val="24"/>
          <w:szCs w:val="24"/>
        </w:rPr>
        <w:t>A</w:t>
      </w:r>
      <w:r w:rsidRPr="008D3C26">
        <w:rPr>
          <w:rFonts w:ascii="Times New Roman" w:hAnsi="Times New Roman" w:cs="Times New Roman"/>
          <w:sz w:val="24"/>
          <w:szCs w:val="24"/>
        </w:rPr>
        <w:t xml:space="preserve">n expenditure of R23.138 million in sub-programme 4: Quality Development and Promotion was the second </w:t>
      </w:r>
      <w:r w:rsidR="00A513B3" w:rsidRPr="008D3C26">
        <w:rPr>
          <w:rFonts w:ascii="Times New Roman" w:hAnsi="Times New Roman" w:cs="Times New Roman"/>
          <w:sz w:val="24"/>
          <w:szCs w:val="24"/>
        </w:rPr>
        <w:t xml:space="preserve">largest </w:t>
      </w:r>
      <w:r w:rsidRPr="008D3C26">
        <w:rPr>
          <w:rFonts w:ascii="Times New Roman" w:hAnsi="Times New Roman" w:cs="Times New Roman"/>
          <w:sz w:val="24"/>
          <w:szCs w:val="24"/>
        </w:rPr>
        <w:t xml:space="preserve">programme expenditure. </w:t>
      </w:r>
    </w:p>
    <w:p w14:paraId="058A6C08" w14:textId="77777777" w:rsidR="00A64059" w:rsidRPr="008D3C26" w:rsidRDefault="00A64059" w:rsidP="00A64059">
      <w:pPr>
        <w:spacing w:after="0"/>
        <w:rPr>
          <w:rFonts w:ascii="Times New Roman" w:hAnsi="Times New Roman" w:cs="Times New Roman"/>
          <w:sz w:val="24"/>
          <w:szCs w:val="24"/>
        </w:rPr>
      </w:pPr>
    </w:p>
    <w:p w14:paraId="2A5F242F"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lastRenderedPageBreak/>
        <w:t xml:space="preserve">In terms of expenditure </w:t>
      </w:r>
      <w:r w:rsidR="00A513B3" w:rsidRPr="008D3C26">
        <w:rPr>
          <w:rFonts w:ascii="Times New Roman" w:hAnsi="Times New Roman" w:cs="Times New Roman"/>
          <w:sz w:val="24"/>
          <w:szCs w:val="24"/>
        </w:rPr>
        <w:t>per</w:t>
      </w:r>
      <w:r w:rsidRPr="008D3C26">
        <w:rPr>
          <w:rFonts w:ascii="Times New Roman" w:hAnsi="Times New Roman" w:cs="Times New Roman"/>
          <w:sz w:val="24"/>
          <w:szCs w:val="24"/>
        </w:rPr>
        <w:t xml:space="preserve"> economic classifications, R100.611 million was expenditure for current payments, </w:t>
      </w:r>
      <w:r w:rsidR="00EA2A05" w:rsidRPr="008D3C26">
        <w:rPr>
          <w:rFonts w:ascii="Times New Roman" w:hAnsi="Times New Roman" w:cs="Times New Roman"/>
          <w:sz w:val="24"/>
          <w:szCs w:val="24"/>
        </w:rPr>
        <w:t xml:space="preserve">of </w:t>
      </w:r>
      <w:r w:rsidRPr="008D3C26">
        <w:rPr>
          <w:rFonts w:ascii="Times New Roman" w:hAnsi="Times New Roman" w:cs="Times New Roman"/>
          <w:sz w:val="24"/>
          <w:szCs w:val="24"/>
        </w:rPr>
        <w:t xml:space="preserve">which R89.558 was for compensation of employees and R11.053 million for goods and services. With regard to spending on goods and services, the </w:t>
      </w:r>
      <w:r w:rsidR="00A513B3" w:rsidRPr="008D3C26">
        <w:rPr>
          <w:rFonts w:ascii="Times New Roman" w:hAnsi="Times New Roman" w:cs="Times New Roman"/>
          <w:sz w:val="24"/>
          <w:szCs w:val="24"/>
        </w:rPr>
        <w:t xml:space="preserve">largest </w:t>
      </w:r>
      <w:r w:rsidR="008A4AB4" w:rsidRPr="008D3C26">
        <w:rPr>
          <w:rFonts w:ascii="Times New Roman" w:hAnsi="Times New Roman" w:cs="Times New Roman"/>
          <w:sz w:val="24"/>
          <w:szCs w:val="24"/>
        </w:rPr>
        <w:t xml:space="preserve">expenditure </w:t>
      </w:r>
      <w:r w:rsidRPr="008D3C26">
        <w:rPr>
          <w:rFonts w:ascii="Times New Roman" w:hAnsi="Times New Roman" w:cs="Times New Roman"/>
          <w:sz w:val="24"/>
          <w:szCs w:val="24"/>
        </w:rPr>
        <w:t xml:space="preserve">of R2.080 million </w:t>
      </w:r>
      <w:r w:rsidR="00A513B3" w:rsidRPr="008D3C26">
        <w:rPr>
          <w:rFonts w:ascii="Times New Roman" w:hAnsi="Times New Roman" w:cs="Times New Roman"/>
          <w:sz w:val="24"/>
          <w:szCs w:val="24"/>
        </w:rPr>
        <w:t xml:space="preserve">was for </w:t>
      </w:r>
      <w:r w:rsidR="008A4AB4" w:rsidRPr="008D3C26">
        <w:rPr>
          <w:rFonts w:ascii="Times New Roman" w:hAnsi="Times New Roman" w:cs="Times New Roman"/>
          <w:sz w:val="24"/>
          <w:szCs w:val="24"/>
        </w:rPr>
        <w:t>i</w:t>
      </w:r>
      <w:r w:rsidRPr="008D3C26">
        <w:rPr>
          <w:rFonts w:ascii="Times New Roman" w:hAnsi="Times New Roman" w:cs="Times New Roman"/>
          <w:sz w:val="24"/>
          <w:szCs w:val="24"/>
        </w:rPr>
        <w:t xml:space="preserve">nventory: materials and supplies, R1.923 million on travel and subsistence, R1.581 million on consumable supplies, R1.543 million on Communications. Transfers and subsidies expenditure was R79.078 million, </w:t>
      </w:r>
      <w:r w:rsidR="00EA2A05" w:rsidRPr="008D3C26">
        <w:rPr>
          <w:rFonts w:ascii="Times New Roman" w:hAnsi="Times New Roman" w:cs="Times New Roman"/>
          <w:sz w:val="24"/>
          <w:szCs w:val="24"/>
        </w:rPr>
        <w:t xml:space="preserve">of </w:t>
      </w:r>
      <w:r w:rsidRPr="008D3C26">
        <w:rPr>
          <w:rFonts w:ascii="Times New Roman" w:hAnsi="Times New Roman" w:cs="Times New Roman"/>
          <w:sz w:val="24"/>
          <w:szCs w:val="24"/>
        </w:rPr>
        <w:t xml:space="preserve">which R78.901 million was for transfers to Departmental agencies. </w:t>
      </w:r>
      <w:r w:rsidR="00EA2A05" w:rsidRPr="008D3C26">
        <w:rPr>
          <w:rFonts w:ascii="Times New Roman" w:hAnsi="Times New Roman" w:cs="Times New Roman"/>
          <w:sz w:val="24"/>
          <w:szCs w:val="24"/>
        </w:rPr>
        <w:t xml:space="preserve"> </w:t>
      </w:r>
      <w:r w:rsidR="008A4AB4" w:rsidRPr="008D3C26">
        <w:rPr>
          <w:rFonts w:ascii="Times New Roman" w:hAnsi="Times New Roman" w:cs="Times New Roman"/>
          <w:sz w:val="24"/>
          <w:szCs w:val="24"/>
        </w:rPr>
        <w:t>P</w:t>
      </w:r>
      <w:r w:rsidRPr="008D3C26">
        <w:rPr>
          <w:rFonts w:ascii="Times New Roman" w:hAnsi="Times New Roman" w:cs="Times New Roman"/>
          <w:sz w:val="24"/>
          <w:szCs w:val="24"/>
        </w:rPr>
        <w:t xml:space="preserve">ayments for capital assets </w:t>
      </w:r>
      <w:r w:rsidR="008A4AB4" w:rsidRPr="008D3C26">
        <w:rPr>
          <w:rFonts w:ascii="Times New Roman" w:hAnsi="Times New Roman" w:cs="Times New Roman"/>
          <w:sz w:val="24"/>
          <w:szCs w:val="24"/>
        </w:rPr>
        <w:t xml:space="preserve">amounted to </w:t>
      </w:r>
      <w:r w:rsidRPr="008D3C26">
        <w:rPr>
          <w:rFonts w:ascii="Times New Roman" w:hAnsi="Times New Roman" w:cs="Times New Roman"/>
          <w:sz w:val="24"/>
          <w:szCs w:val="24"/>
        </w:rPr>
        <w:t xml:space="preserve">R994 000.  </w:t>
      </w:r>
    </w:p>
    <w:p w14:paraId="1EFBD82C" w14:textId="77777777" w:rsidR="00F02509" w:rsidRPr="008D3C26" w:rsidRDefault="00F02509" w:rsidP="00A616C3">
      <w:pPr>
        <w:spacing w:after="0"/>
        <w:rPr>
          <w:rFonts w:ascii="Times New Roman" w:hAnsi="Times New Roman" w:cs="Times New Roman"/>
          <w:b/>
          <w:sz w:val="24"/>
          <w:szCs w:val="24"/>
        </w:rPr>
      </w:pPr>
    </w:p>
    <w:p w14:paraId="3EA0D332" w14:textId="77777777" w:rsidR="00F02509" w:rsidRPr="008D3C26" w:rsidRDefault="00F02509" w:rsidP="00A616C3">
      <w:pPr>
        <w:spacing w:after="0"/>
        <w:rPr>
          <w:rFonts w:ascii="Times New Roman" w:hAnsi="Times New Roman" w:cs="Times New Roman"/>
          <w:b/>
          <w:sz w:val="24"/>
          <w:szCs w:val="24"/>
        </w:rPr>
      </w:pPr>
      <w:r w:rsidRPr="008D3C26">
        <w:rPr>
          <w:rFonts w:ascii="Times New Roman" w:hAnsi="Times New Roman" w:cs="Times New Roman"/>
          <w:b/>
          <w:sz w:val="24"/>
          <w:szCs w:val="24"/>
        </w:rPr>
        <w:t>4.</w:t>
      </w:r>
      <w:r w:rsidR="00E01B75" w:rsidRPr="008D3C26">
        <w:rPr>
          <w:rFonts w:ascii="Times New Roman" w:hAnsi="Times New Roman" w:cs="Times New Roman"/>
          <w:b/>
          <w:sz w:val="24"/>
          <w:szCs w:val="24"/>
        </w:rPr>
        <w:t>2</w:t>
      </w:r>
      <w:r w:rsidRPr="008D3C26">
        <w:rPr>
          <w:rFonts w:ascii="Times New Roman" w:hAnsi="Times New Roman" w:cs="Times New Roman"/>
          <w:b/>
          <w:sz w:val="24"/>
          <w:szCs w:val="24"/>
        </w:rPr>
        <w:t>.6. Programme 6: Community Education and Training</w:t>
      </w:r>
    </w:p>
    <w:p w14:paraId="3AD2FC62"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This programme had four budget sub-programmes: Programme Management: Community Education and Training, Community Education and Training Colleges Systems Planning, Institutional Support, Financial Planning and Education and Training and Development Support. </w:t>
      </w:r>
    </w:p>
    <w:p w14:paraId="4B28FF90" w14:textId="77777777" w:rsidR="00091B4D" w:rsidRPr="008D3C26" w:rsidRDefault="00091B4D" w:rsidP="00091B4D">
      <w:pPr>
        <w:spacing w:after="0"/>
        <w:rPr>
          <w:rFonts w:ascii="Times New Roman" w:hAnsi="Times New Roman" w:cs="Times New Roman"/>
          <w:sz w:val="24"/>
          <w:szCs w:val="24"/>
        </w:rPr>
      </w:pPr>
    </w:p>
    <w:p w14:paraId="7EE1077B"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The programme received a total budget of R1.992 billion for the year under review. The budget increased by R99.630 million from R1.892 million allocated in 2015/16 financial year. The programme expenditure at the end of the financial year was R1.981 billion, representing 99.5 per cent of the programme budget. The underspending at the end of the financial year was R10.626 million</w:t>
      </w:r>
      <w:r w:rsidR="00B1553B"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attributed to claims in respect of Community Education and Training lecturers that were not received on time, as well as uncertainties on the division of posts in regional offices and posts provisioning norms of the various payrolls that were transferred to the Department of Higher Education and Training. </w:t>
      </w:r>
    </w:p>
    <w:p w14:paraId="19E90787" w14:textId="77777777" w:rsidR="00091B4D" w:rsidRPr="008D3C26" w:rsidRDefault="00091B4D" w:rsidP="00091B4D">
      <w:pPr>
        <w:spacing w:after="0"/>
        <w:rPr>
          <w:rFonts w:ascii="Times New Roman" w:hAnsi="Times New Roman" w:cs="Times New Roman"/>
          <w:sz w:val="24"/>
          <w:szCs w:val="24"/>
        </w:rPr>
      </w:pPr>
    </w:p>
    <w:p w14:paraId="1BD273AD" w14:textId="77777777" w:rsidR="00091B4D" w:rsidRPr="008D3C26" w:rsidRDefault="00091B4D" w:rsidP="00091B4D">
      <w:pPr>
        <w:spacing w:after="0"/>
        <w:rPr>
          <w:rFonts w:ascii="Times New Roman" w:hAnsi="Times New Roman" w:cs="Times New Roman"/>
          <w:sz w:val="24"/>
          <w:szCs w:val="24"/>
        </w:rPr>
      </w:pPr>
      <w:r w:rsidRPr="008D3C26">
        <w:rPr>
          <w:rFonts w:ascii="Times New Roman" w:hAnsi="Times New Roman" w:cs="Times New Roman"/>
          <w:sz w:val="24"/>
          <w:szCs w:val="24"/>
        </w:rPr>
        <w:t xml:space="preserve">In terms of spending </w:t>
      </w:r>
      <w:r w:rsidR="00B1553B" w:rsidRPr="008D3C26">
        <w:rPr>
          <w:rFonts w:ascii="Times New Roman" w:hAnsi="Times New Roman" w:cs="Times New Roman"/>
          <w:sz w:val="24"/>
          <w:szCs w:val="24"/>
        </w:rPr>
        <w:t>per</w:t>
      </w:r>
      <w:r w:rsidRPr="008D3C26">
        <w:rPr>
          <w:rFonts w:ascii="Times New Roman" w:hAnsi="Times New Roman" w:cs="Times New Roman"/>
          <w:sz w:val="24"/>
          <w:szCs w:val="24"/>
        </w:rPr>
        <w:t xml:space="preserve"> economic classifications, R1.875 billion was for current payments, which R1.850 billion was expenditure for compensation of employees and R24.664 million for goods and services. 55.7 per cent (R13.290 million) of the expenditure </w:t>
      </w:r>
      <w:r w:rsidR="00EA2A05" w:rsidRPr="008D3C26">
        <w:rPr>
          <w:rFonts w:ascii="Times New Roman" w:hAnsi="Times New Roman" w:cs="Times New Roman"/>
          <w:sz w:val="24"/>
          <w:szCs w:val="24"/>
        </w:rPr>
        <w:t>on</w:t>
      </w:r>
      <w:r w:rsidRPr="008D3C26">
        <w:rPr>
          <w:rFonts w:ascii="Times New Roman" w:hAnsi="Times New Roman" w:cs="Times New Roman"/>
          <w:sz w:val="24"/>
          <w:szCs w:val="24"/>
        </w:rPr>
        <w:t xml:space="preserve"> goods and services was for travel and subsistence. The second </w:t>
      </w:r>
      <w:r w:rsidR="00EA2A05" w:rsidRPr="008D3C26">
        <w:rPr>
          <w:rFonts w:ascii="Times New Roman" w:hAnsi="Times New Roman" w:cs="Times New Roman"/>
          <w:sz w:val="24"/>
          <w:szCs w:val="24"/>
        </w:rPr>
        <w:t>largest</w:t>
      </w:r>
      <w:r w:rsidRPr="008D3C26">
        <w:rPr>
          <w:rFonts w:ascii="Times New Roman" w:hAnsi="Times New Roman" w:cs="Times New Roman"/>
          <w:sz w:val="24"/>
          <w:szCs w:val="24"/>
        </w:rPr>
        <w:t xml:space="preserve"> expenditure of R3.013 million on consumable: Stationery, printing and office supplies, followed by an expenditure of R2.253 million for operating leases and R2.007 million for venues and facilities. </w:t>
      </w:r>
      <w:r w:rsidR="00EA2A05" w:rsidRPr="008D3C26">
        <w:rPr>
          <w:rFonts w:ascii="Times New Roman" w:hAnsi="Times New Roman" w:cs="Times New Roman"/>
          <w:sz w:val="24"/>
          <w:szCs w:val="24"/>
        </w:rPr>
        <w:t>The expenditure</w:t>
      </w:r>
      <w:r w:rsidRPr="008D3C26">
        <w:rPr>
          <w:rFonts w:ascii="Times New Roman" w:hAnsi="Times New Roman" w:cs="Times New Roman"/>
          <w:sz w:val="24"/>
          <w:szCs w:val="24"/>
        </w:rPr>
        <w:t xml:space="preserve"> for transfers and subsidies was R104.709 million, which R98.053 million was for transfers to CET Colleges. </w:t>
      </w:r>
      <w:r w:rsidR="00EA2A05" w:rsidRPr="008D3C26">
        <w:rPr>
          <w:rFonts w:ascii="Times New Roman" w:hAnsi="Times New Roman" w:cs="Times New Roman"/>
          <w:sz w:val="24"/>
          <w:szCs w:val="24"/>
        </w:rPr>
        <w:t>The p</w:t>
      </w:r>
      <w:r w:rsidRPr="008D3C26">
        <w:rPr>
          <w:rFonts w:ascii="Times New Roman" w:hAnsi="Times New Roman" w:cs="Times New Roman"/>
          <w:sz w:val="24"/>
          <w:szCs w:val="24"/>
        </w:rPr>
        <w:t>ayments for capital assets expenditure was R1.739 million.</w:t>
      </w:r>
    </w:p>
    <w:p w14:paraId="73AC7F13" w14:textId="77777777" w:rsidR="00F32746" w:rsidRPr="008D3C26" w:rsidRDefault="00F32746" w:rsidP="0044675E">
      <w:pPr>
        <w:spacing w:after="0"/>
        <w:rPr>
          <w:rFonts w:ascii="Times New Roman" w:hAnsi="Times New Roman" w:cs="Times New Roman"/>
          <w:sz w:val="24"/>
          <w:szCs w:val="24"/>
        </w:rPr>
      </w:pPr>
    </w:p>
    <w:p w14:paraId="3B93E3D4" w14:textId="77777777" w:rsidR="0044675E" w:rsidRPr="008D3C26" w:rsidRDefault="009D208C" w:rsidP="0044675E">
      <w:pPr>
        <w:spacing w:after="0"/>
        <w:rPr>
          <w:rFonts w:ascii="Times New Roman" w:hAnsi="Times New Roman" w:cs="Times New Roman"/>
          <w:b/>
          <w:sz w:val="24"/>
          <w:szCs w:val="24"/>
        </w:rPr>
      </w:pPr>
      <w:r w:rsidRPr="008D3C26">
        <w:rPr>
          <w:rFonts w:ascii="Times New Roman" w:hAnsi="Times New Roman" w:cs="Times New Roman"/>
          <w:b/>
          <w:sz w:val="24"/>
          <w:szCs w:val="24"/>
        </w:rPr>
        <w:t>4.</w:t>
      </w:r>
      <w:r w:rsidR="00A71218" w:rsidRPr="008D3C26">
        <w:rPr>
          <w:rFonts w:ascii="Times New Roman" w:hAnsi="Times New Roman" w:cs="Times New Roman"/>
          <w:b/>
          <w:sz w:val="24"/>
          <w:szCs w:val="24"/>
        </w:rPr>
        <w:t>3</w:t>
      </w:r>
      <w:r w:rsidR="00E01B75" w:rsidRPr="008D3C26">
        <w:rPr>
          <w:rFonts w:ascii="Times New Roman" w:hAnsi="Times New Roman" w:cs="Times New Roman"/>
          <w:b/>
          <w:sz w:val="24"/>
          <w:szCs w:val="24"/>
        </w:rPr>
        <w:t>.</w:t>
      </w:r>
      <w:r w:rsidR="0044675E" w:rsidRPr="008D3C26">
        <w:rPr>
          <w:rFonts w:ascii="Times New Roman" w:hAnsi="Times New Roman" w:cs="Times New Roman"/>
          <w:b/>
          <w:sz w:val="24"/>
          <w:szCs w:val="24"/>
        </w:rPr>
        <w:t xml:space="preserve"> Auditor-General</w:t>
      </w:r>
      <w:r w:rsidR="00E01B75" w:rsidRPr="008D3C26">
        <w:rPr>
          <w:rFonts w:ascii="Times New Roman" w:hAnsi="Times New Roman" w:cs="Times New Roman"/>
          <w:b/>
          <w:sz w:val="24"/>
          <w:szCs w:val="24"/>
        </w:rPr>
        <w:t>’s</w:t>
      </w:r>
      <w:r w:rsidR="0044675E" w:rsidRPr="008D3C26">
        <w:rPr>
          <w:rFonts w:ascii="Times New Roman" w:hAnsi="Times New Roman" w:cs="Times New Roman"/>
          <w:b/>
          <w:sz w:val="24"/>
          <w:szCs w:val="24"/>
        </w:rPr>
        <w:t xml:space="preserve"> Report</w:t>
      </w:r>
    </w:p>
    <w:p w14:paraId="33981375"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lastRenderedPageBreak/>
        <w:t xml:space="preserve">During the year under review, the Department received an unqualified audit opinion with findings by the Auditor-General. </w:t>
      </w:r>
    </w:p>
    <w:p w14:paraId="6C2F485E" w14:textId="77777777" w:rsidR="00781783" w:rsidRPr="008D3C26" w:rsidRDefault="001129A1" w:rsidP="00781783">
      <w:pPr>
        <w:rPr>
          <w:rFonts w:ascii="Times New Roman" w:hAnsi="Times New Roman" w:cs="Times New Roman"/>
          <w:b/>
          <w:sz w:val="24"/>
          <w:szCs w:val="24"/>
        </w:rPr>
      </w:pPr>
      <w:r w:rsidRPr="008D3C26">
        <w:rPr>
          <w:rFonts w:ascii="Times New Roman" w:hAnsi="Times New Roman" w:cs="Times New Roman"/>
          <w:b/>
          <w:sz w:val="24"/>
          <w:szCs w:val="24"/>
        </w:rPr>
        <w:t>4</w:t>
      </w:r>
      <w:r w:rsidR="00781783" w:rsidRPr="008D3C26">
        <w:rPr>
          <w:rFonts w:ascii="Times New Roman" w:hAnsi="Times New Roman" w:cs="Times New Roman"/>
          <w:b/>
          <w:sz w:val="24"/>
          <w:szCs w:val="24"/>
        </w:rPr>
        <w:t>.</w:t>
      </w:r>
      <w:r w:rsidR="00A71218" w:rsidRPr="008D3C26">
        <w:rPr>
          <w:rFonts w:ascii="Times New Roman" w:hAnsi="Times New Roman" w:cs="Times New Roman"/>
          <w:b/>
          <w:sz w:val="24"/>
          <w:szCs w:val="24"/>
        </w:rPr>
        <w:t>3</w:t>
      </w:r>
      <w:r w:rsidR="00781783" w:rsidRPr="008D3C26">
        <w:rPr>
          <w:rFonts w:ascii="Times New Roman" w:hAnsi="Times New Roman" w:cs="Times New Roman"/>
          <w:b/>
          <w:sz w:val="24"/>
          <w:szCs w:val="24"/>
        </w:rPr>
        <w:t>.1. Emphasis of matter</w:t>
      </w:r>
    </w:p>
    <w:p w14:paraId="6CF82852"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There were material findings on the following:</w:t>
      </w:r>
    </w:p>
    <w:p w14:paraId="072FBA78"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 xml:space="preserve">(i) The AG identified significant uncertainties with regard to the large increase in contingent liabilities, which is attributable to the possible pension liability of 500 TVET college staff members and the interest accrued during 2016-17. The AG noted that there are uncertainties relating to the amount of the outflow in respect of claims for the possible pension liability of R113,120 million, as calculated by actuarial valuators, which relates to the employment status of staff previously remunerated by college councils. </w:t>
      </w:r>
    </w:p>
    <w:p w14:paraId="4D1137A1"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 xml:space="preserve">(ii) Predetermined objectives </w:t>
      </w:r>
    </w:p>
    <w:p w14:paraId="288FF182"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Programme 4: Vocational and Continuing Education and Training</w:t>
      </w:r>
    </w:p>
    <w:p w14:paraId="3530CFC9" w14:textId="77777777" w:rsidR="00781783" w:rsidRPr="008D3C26" w:rsidRDefault="00781783" w:rsidP="00781783">
      <w:pPr>
        <w:pStyle w:val="Default"/>
        <w:spacing w:line="360" w:lineRule="auto"/>
        <w:jc w:val="both"/>
        <w:rPr>
          <w:rFonts w:ascii="Times New Roman" w:hAnsi="Times New Roman" w:cs="Times New Roman"/>
        </w:rPr>
      </w:pPr>
      <w:r w:rsidRPr="008D3C26">
        <w:rPr>
          <w:rFonts w:ascii="Times New Roman" w:hAnsi="Times New Roman" w:cs="Times New Roman"/>
        </w:rPr>
        <w:t xml:space="preserve">The AG reported that he was unable to obtain sufficient appropriate audit evidence for the reported achievement of the indicators in terms of the system targets due </w:t>
      </w:r>
      <w:r w:rsidR="003D3FA7" w:rsidRPr="008D3C26">
        <w:rPr>
          <w:rFonts w:ascii="Times New Roman" w:hAnsi="Times New Roman" w:cs="Times New Roman"/>
        </w:rPr>
        <w:t xml:space="preserve">to </w:t>
      </w:r>
      <w:r w:rsidRPr="008D3C26">
        <w:rPr>
          <w:rFonts w:ascii="Times New Roman" w:hAnsi="Times New Roman" w:cs="Times New Roman"/>
        </w:rPr>
        <w:t>unavailability of data.</w:t>
      </w:r>
      <w:r w:rsidR="003D3FA7" w:rsidRPr="008D3C26">
        <w:rPr>
          <w:rFonts w:ascii="Times New Roman" w:hAnsi="Times New Roman" w:cs="Times New Roman"/>
        </w:rPr>
        <w:t xml:space="preserve"> The AG found that </w:t>
      </w:r>
      <w:r w:rsidRPr="008D3C26">
        <w:rPr>
          <w:rFonts w:ascii="Times New Roman" w:hAnsi="Times New Roman" w:cs="Times New Roman"/>
        </w:rPr>
        <w:t xml:space="preserve">due to limitations placed on the scope of </w:t>
      </w:r>
      <w:r w:rsidR="003D3FA7" w:rsidRPr="008D3C26">
        <w:rPr>
          <w:rFonts w:ascii="Times New Roman" w:hAnsi="Times New Roman" w:cs="Times New Roman"/>
        </w:rPr>
        <w:t>his</w:t>
      </w:r>
      <w:r w:rsidRPr="008D3C26">
        <w:rPr>
          <w:rFonts w:ascii="Times New Roman" w:hAnsi="Times New Roman" w:cs="Times New Roman"/>
        </w:rPr>
        <w:t xml:space="preserve"> work. </w:t>
      </w:r>
      <w:r w:rsidR="000A533B" w:rsidRPr="008D3C26">
        <w:rPr>
          <w:rFonts w:ascii="Times New Roman" w:hAnsi="Times New Roman" w:cs="Times New Roman"/>
        </w:rPr>
        <w:t xml:space="preserve">He </w:t>
      </w:r>
      <w:r w:rsidRPr="008D3C26">
        <w:rPr>
          <w:rFonts w:ascii="Times New Roman" w:hAnsi="Times New Roman" w:cs="Times New Roman"/>
        </w:rPr>
        <w:t xml:space="preserve">was unable to confirm the reported achievement by alternative means. Consequently, </w:t>
      </w:r>
      <w:r w:rsidR="003D3FA7" w:rsidRPr="008D3C26">
        <w:rPr>
          <w:rFonts w:ascii="Times New Roman" w:hAnsi="Times New Roman" w:cs="Times New Roman"/>
        </w:rPr>
        <w:t>h</w:t>
      </w:r>
      <w:r w:rsidR="000A533B" w:rsidRPr="008D3C26">
        <w:rPr>
          <w:rFonts w:ascii="Times New Roman" w:hAnsi="Times New Roman" w:cs="Times New Roman"/>
        </w:rPr>
        <w:t>e</w:t>
      </w:r>
      <w:r w:rsidRPr="008D3C26">
        <w:rPr>
          <w:rFonts w:ascii="Times New Roman" w:hAnsi="Times New Roman" w:cs="Times New Roman"/>
        </w:rPr>
        <w:t xml:space="preserve"> was unable to determine whether any adjustments were required to the reported achievements </w:t>
      </w:r>
    </w:p>
    <w:p w14:paraId="2CA01768" w14:textId="77777777" w:rsidR="00781783" w:rsidRPr="008D3C26" w:rsidRDefault="00781783" w:rsidP="00781783">
      <w:pPr>
        <w:pStyle w:val="Default"/>
        <w:spacing w:line="360" w:lineRule="auto"/>
        <w:jc w:val="both"/>
        <w:rPr>
          <w:rFonts w:ascii="Times New Roman" w:hAnsi="Times New Roman" w:cs="Times New Roman"/>
        </w:rPr>
      </w:pPr>
      <w:r w:rsidRPr="008D3C26">
        <w:rPr>
          <w:rFonts w:ascii="Times New Roman" w:hAnsi="Times New Roman" w:cs="Times New Roman"/>
        </w:rPr>
        <w:t>Programme 5: Skills Development</w:t>
      </w:r>
    </w:p>
    <w:p w14:paraId="14AEABE7"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 xml:space="preserve">The Auditor-General noted that on the indicator: Work-based learning opportunities, the reported achievement for the target relating to work-based learning opportunities was misstated as the evidence provided indicated 231 206 and not 148 517 as reported </w:t>
      </w:r>
    </w:p>
    <w:p w14:paraId="0C057C76"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Programme 6: Community Education and Training</w:t>
      </w:r>
    </w:p>
    <w:p w14:paraId="49846F8B" w14:textId="77777777" w:rsidR="009C0D49" w:rsidRPr="008D3C26" w:rsidRDefault="00781783" w:rsidP="009C0D49">
      <w:pPr>
        <w:pStyle w:val="Default"/>
        <w:spacing w:line="360" w:lineRule="auto"/>
        <w:jc w:val="both"/>
        <w:rPr>
          <w:rFonts w:ascii="Times New Roman" w:hAnsi="Times New Roman" w:cs="Times New Roman"/>
        </w:rPr>
      </w:pPr>
      <w:r w:rsidRPr="008D3C26">
        <w:rPr>
          <w:rFonts w:ascii="Times New Roman" w:hAnsi="Times New Roman" w:cs="Times New Roman"/>
        </w:rPr>
        <w:t xml:space="preserve">The AG was unable to obtain sufficient appropriate audit evidence for the reported achievement of the indicators on headcount enrolments in all the CET colleges and certification rates in formal CET qualifications. The unavailability of data placed limitations on the scope of </w:t>
      </w:r>
      <w:r w:rsidR="003D3FA7" w:rsidRPr="008D3C26">
        <w:rPr>
          <w:rFonts w:ascii="Times New Roman" w:hAnsi="Times New Roman" w:cs="Times New Roman"/>
        </w:rPr>
        <w:t xml:space="preserve">his </w:t>
      </w:r>
      <w:r w:rsidRPr="008D3C26">
        <w:rPr>
          <w:rFonts w:ascii="Times New Roman" w:hAnsi="Times New Roman" w:cs="Times New Roman"/>
        </w:rPr>
        <w:t>work. The AG was unable to confirm the reported achievement by alternative means. Consequently, the AG was unable to determine whether any adjustments were required to the reported achievements.</w:t>
      </w:r>
    </w:p>
    <w:p w14:paraId="78B7F591" w14:textId="77777777" w:rsidR="009C0D49" w:rsidRPr="008D3C26" w:rsidRDefault="00781783" w:rsidP="009C0D49">
      <w:pPr>
        <w:pStyle w:val="Default"/>
        <w:spacing w:line="360" w:lineRule="auto"/>
        <w:jc w:val="both"/>
        <w:rPr>
          <w:rFonts w:ascii="Times New Roman" w:hAnsi="Times New Roman" w:cs="Times New Roman"/>
        </w:rPr>
      </w:pPr>
      <w:r w:rsidRPr="008D3C26">
        <w:rPr>
          <w:rFonts w:ascii="Times New Roman" w:hAnsi="Times New Roman" w:cs="Times New Roman"/>
        </w:rPr>
        <w:t xml:space="preserve"> </w:t>
      </w:r>
    </w:p>
    <w:p w14:paraId="4454C638" w14:textId="77777777" w:rsidR="00781783" w:rsidRPr="008D3C26" w:rsidRDefault="00781783" w:rsidP="009C0D49">
      <w:pPr>
        <w:pStyle w:val="Default"/>
        <w:spacing w:line="360" w:lineRule="auto"/>
        <w:jc w:val="both"/>
        <w:rPr>
          <w:rFonts w:ascii="Times New Roman" w:hAnsi="Times New Roman" w:cs="Times New Roman"/>
        </w:rPr>
      </w:pPr>
      <w:r w:rsidRPr="008D3C26">
        <w:rPr>
          <w:rFonts w:ascii="Times New Roman" w:hAnsi="Times New Roman" w:cs="Times New Roman"/>
        </w:rPr>
        <w:t xml:space="preserve"> (iii) Adjustment of material misstatements</w:t>
      </w:r>
    </w:p>
    <w:p w14:paraId="034526A4"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lastRenderedPageBreak/>
        <w:t xml:space="preserve">The Auditor-General identified material misstatements in the annual performance report submitted for auditing. These material misstatements were in the reported performance information of programme 4: TVET, programme 5: Skills Development and programme 6: CET Management subsequently corrected only some of the misstatements. The AG also raised material findings on the reliability of the reported performance information. </w:t>
      </w:r>
    </w:p>
    <w:p w14:paraId="0EE82252"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(iv) Compliance with legislation</w:t>
      </w:r>
    </w:p>
    <w:p w14:paraId="7A7954DE"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Procurement management</w:t>
      </w:r>
    </w:p>
    <w:p w14:paraId="1BB9B885" w14:textId="77777777" w:rsidR="00781783" w:rsidRPr="008D3C26" w:rsidRDefault="00781783" w:rsidP="00781783">
      <w:pPr>
        <w:pStyle w:val="Default"/>
        <w:numPr>
          <w:ilvl w:val="0"/>
          <w:numId w:val="7"/>
        </w:numPr>
        <w:spacing w:line="360" w:lineRule="auto"/>
        <w:ind w:left="714" w:hanging="357"/>
        <w:jc w:val="both"/>
        <w:rPr>
          <w:rFonts w:ascii="Times New Roman" w:hAnsi="Times New Roman" w:cs="Times New Roman"/>
        </w:rPr>
      </w:pPr>
      <w:r w:rsidRPr="008D3C26">
        <w:rPr>
          <w:rFonts w:ascii="Times New Roman" w:hAnsi="Times New Roman" w:cs="Times New Roman"/>
        </w:rPr>
        <w:t xml:space="preserve">Goods and services of a transaction value above R500 000 were procured without inviting competitive bids, as required by treasury regulation 16A6.1. Deviations were approved by the accounting officer even though it was not impractical to invite competitive bids, in contravention of treasury regulation 16A6.4. </w:t>
      </w:r>
    </w:p>
    <w:p w14:paraId="3EE88123" w14:textId="77777777" w:rsidR="00781783" w:rsidRPr="008D3C26" w:rsidRDefault="00781783" w:rsidP="00781783">
      <w:pPr>
        <w:pStyle w:val="Default"/>
        <w:numPr>
          <w:ilvl w:val="0"/>
          <w:numId w:val="7"/>
        </w:numPr>
        <w:spacing w:line="360" w:lineRule="auto"/>
        <w:ind w:left="714" w:hanging="357"/>
        <w:jc w:val="both"/>
        <w:rPr>
          <w:rFonts w:ascii="Times New Roman" w:hAnsi="Times New Roman" w:cs="Times New Roman"/>
        </w:rPr>
      </w:pPr>
      <w:r w:rsidRPr="008D3C26">
        <w:rPr>
          <w:rFonts w:ascii="Times New Roman" w:hAnsi="Times New Roman" w:cs="Times New Roman"/>
        </w:rPr>
        <w:t xml:space="preserve">Invitations for competitive bidding were not always advertised for a required minimum period, as required by treasury regulation 16A6.3(c). </w:t>
      </w:r>
    </w:p>
    <w:p w14:paraId="78AEE5BE" w14:textId="77777777" w:rsidR="00781783" w:rsidRPr="008D3C26" w:rsidRDefault="00781783" w:rsidP="00781783">
      <w:pPr>
        <w:pStyle w:val="Default"/>
        <w:numPr>
          <w:ilvl w:val="0"/>
          <w:numId w:val="7"/>
        </w:numPr>
        <w:spacing w:line="360" w:lineRule="auto"/>
        <w:ind w:left="714" w:hanging="357"/>
        <w:jc w:val="both"/>
        <w:rPr>
          <w:rFonts w:ascii="Times New Roman" w:hAnsi="Times New Roman" w:cs="Times New Roman"/>
        </w:rPr>
      </w:pPr>
      <w:r w:rsidRPr="008D3C26">
        <w:rPr>
          <w:rFonts w:ascii="Times New Roman" w:hAnsi="Times New Roman" w:cs="Times New Roman"/>
        </w:rPr>
        <w:t>Quotations were accepted from prospective suppliers who had not submitted a declaration on whether they are employed by the state or connected to any person employed by the state, which was prescribed in order to comply with treasury regulation 16A8.3.</w:t>
      </w:r>
    </w:p>
    <w:p w14:paraId="68B0958B" w14:textId="77777777" w:rsidR="00781783" w:rsidRPr="008D3C26" w:rsidRDefault="00781783" w:rsidP="00781783">
      <w:pPr>
        <w:pStyle w:val="Default"/>
        <w:jc w:val="both"/>
        <w:rPr>
          <w:rFonts w:ascii="Times New Roman" w:hAnsi="Times New Roman" w:cs="Times New Roman"/>
        </w:rPr>
      </w:pPr>
    </w:p>
    <w:p w14:paraId="5965E883" w14:textId="77777777" w:rsidR="0028084D" w:rsidRPr="008D3C26" w:rsidRDefault="0028084D" w:rsidP="00781783">
      <w:pPr>
        <w:pStyle w:val="Default"/>
        <w:jc w:val="both"/>
        <w:rPr>
          <w:rFonts w:ascii="Times New Roman" w:hAnsi="Times New Roman" w:cs="Times New Roman"/>
        </w:rPr>
      </w:pPr>
    </w:p>
    <w:p w14:paraId="3595BC76" w14:textId="77777777" w:rsidR="00781783" w:rsidRPr="008D3C26" w:rsidRDefault="00781783" w:rsidP="00781783">
      <w:pPr>
        <w:pStyle w:val="Default"/>
        <w:jc w:val="both"/>
        <w:rPr>
          <w:rFonts w:ascii="Times New Roman" w:hAnsi="Times New Roman" w:cs="Times New Roman"/>
        </w:rPr>
      </w:pPr>
      <w:r w:rsidRPr="008D3C26">
        <w:rPr>
          <w:rFonts w:ascii="Times New Roman" w:hAnsi="Times New Roman" w:cs="Times New Roman"/>
        </w:rPr>
        <w:t>Expenditure management</w:t>
      </w:r>
    </w:p>
    <w:p w14:paraId="4C6BD0A9" w14:textId="77777777" w:rsidR="003D3FA7" w:rsidRPr="008D3C26" w:rsidRDefault="003D3FA7" w:rsidP="00781783">
      <w:pPr>
        <w:pStyle w:val="Default"/>
        <w:jc w:val="both"/>
        <w:rPr>
          <w:rFonts w:ascii="Times New Roman" w:hAnsi="Times New Roman" w:cs="Times New Roman"/>
        </w:rPr>
      </w:pPr>
    </w:p>
    <w:p w14:paraId="5F30BC68" w14:textId="77777777" w:rsidR="00781783" w:rsidRPr="008D3C26" w:rsidRDefault="00781783" w:rsidP="00781783">
      <w:pPr>
        <w:pStyle w:val="Default"/>
        <w:numPr>
          <w:ilvl w:val="0"/>
          <w:numId w:val="8"/>
        </w:numPr>
        <w:spacing w:line="360" w:lineRule="auto"/>
        <w:ind w:left="714" w:hanging="357"/>
        <w:jc w:val="both"/>
        <w:rPr>
          <w:rFonts w:ascii="Times New Roman" w:hAnsi="Times New Roman" w:cs="Times New Roman"/>
        </w:rPr>
      </w:pPr>
      <w:r w:rsidRPr="008D3C26">
        <w:rPr>
          <w:rFonts w:ascii="Times New Roman" w:hAnsi="Times New Roman" w:cs="Times New Roman"/>
        </w:rPr>
        <w:t xml:space="preserve">Effective steps were not taken to prevent irregular expenditure amounting to R63 817 223 as disclosed in note 27 to the annual financial statements, in contravention of section 38(1)(c)(ii) of the PFMA and treasury regulation 9.1.1. </w:t>
      </w:r>
    </w:p>
    <w:p w14:paraId="6BB8D9E4" w14:textId="77777777" w:rsidR="00781783" w:rsidRPr="008D3C26" w:rsidRDefault="00781783" w:rsidP="00781783">
      <w:pPr>
        <w:pStyle w:val="Default"/>
        <w:jc w:val="both"/>
        <w:rPr>
          <w:rFonts w:ascii="Times New Roman" w:hAnsi="Times New Roman" w:cs="Times New Roman"/>
        </w:rPr>
      </w:pPr>
    </w:p>
    <w:p w14:paraId="2D8BE030"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 xml:space="preserve"> (v) Internal deficiencies</w:t>
      </w:r>
    </w:p>
    <w:p w14:paraId="6A245BB0" w14:textId="77777777" w:rsidR="00781783" w:rsidRPr="008D3C26" w:rsidRDefault="00781783" w:rsidP="00781783">
      <w:pPr>
        <w:rPr>
          <w:rFonts w:ascii="Times New Roman" w:hAnsi="Times New Roman" w:cs="Times New Roman"/>
          <w:sz w:val="24"/>
          <w:szCs w:val="24"/>
        </w:rPr>
      </w:pPr>
      <w:r w:rsidRPr="008D3C26">
        <w:rPr>
          <w:rFonts w:ascii="Times New Roman" w:hAnsi="Times New Roman" w:cs="Times New Roman"/>
          <w:sz w:val="24"/>
          <w:szCs w:val="24"/>
        </w:rPr>
        <w:t>Leadership</w:t>
      </w:r>
    </w:p>
    <w:p w14:paraId="0FDE6F5E" w14:textId="77777777" w:rsidR="00781783" w:rsidRPr="008D3C26" w:rsidRDefault="00781783" w:rsidP="00781783">
      <w:pPr>
        <w:pStyle w:val="Default"/>
        <w:spacing w:line="360" w:lineRule="auto"/>
        <w:jc w:val="both"/>
        <w:rPr>
          <w:rFonts w:ascii="Times New Roman" w:hAnsi="Times New Roman" w:cs="Times New Roman"/>
        </w:rPr>
      </w:pPr>
      <w:r w:rsidRPr="008D3C26">
        <w:rPr>
          <w:rFonts w:ascii="Times New Roman" w:hAnsi="Times New Roman" w:cs="Times New Roman"/>
        </w:rPr>
        <w:t xml:space="preserve">The Auditor-General noted that the Department does not have sufficient monitoring controls over financial and performance management and compliance with laws and regulations due to inadequate consequence management to hold staff accountable for monitoring effective implementation of internal controls during the year. As a consequence, the Department was not in a position to identify non-compliance with policies and procedures and relevant </w:t>
      </w:r>
      <w:r w:rsidRPr="008D3C26">
        <w:rPr>
          <w:rFonts w:ascii="Times New Roman" w:hAnsi="Times New Roman" w:cs="Times New Roman"/>
        </w:rPr>
        <w:lastRenderedPageBreak/>
        <w:t>legislation and to take the necessary corrective action in a timely manner to prevent misstatements of reported performance information and irregular expenditure.</w:t>
      </w:r>
    </w:p>
    <w:p w14:paraId="6363295C" w14:textId="77777777" w:rsidR="00781783" w:rsidRPr="008D3C26" w:rsidRDefault="00781783" w:rsidP="00781783">
      <w:pPr>
        <w:pStyle w:val="Default"/>
        <w:spacing w:line="360" w:lineRule="auto"/>
        <w:jc w:val="both"/>
        <w:rPr>
          <w:rFonts w:ascii="Times New Roman" w:hAnsi="Times New Roman" w:cs="Times New Roman"/>
        </w:rPr>
      </w:pPr>
    </w:p>
    <w:p w14:paraId="6E36A1CF" w14:textId="77777777" w:rsidR="00781783" w:rsidRPr="008D3C26" w:rsidRDefault="00781783" w:rsidP="00781783">
      <w:pPr>
        <w:pStyle w:val="Default"/>
        <w:spacing w:line="360" w:lineRule="auto"/>
        <w:jc w:val="both"/>
        <w:rPr>
          <w:rFonts w:ascii="Times New Roman" w:hAnsi="Times New Roman" w:cs="Times New Roman"/>
        </w:rPr>
      </w:pPr>
      <w:r w:rsidRPr="008D3C26">
        <w:rPr>
          <w:rFonts w:ascii="Times New Roman" w:hAnsi="Times New Roman" w:cs="Times New Roman"/>
        </w:rPr>
        <w:t>Financial and performance management</w:t>
      </w:r>
    </w:p>
    <w:p w14:paraId="40EA77E9" w14:textId="77777777" w:rsidR="00781783" w:rsidRPr="008D3C26" w:rsidRDefault="00781783" w:rsidP="00781783">
      <w:pPr>
        <w:pStyle w:val="Default"/>
        <w:rPr>
          <w:rFonts w:ascii="Times New Roman" w:hAnsi="Times New Roman" w:cs="Times New Roman"/>
        </w:rPr>
      </w:pPr>
    </w:p>
    <w:p w14:paraId="7E070D44" w14:textId="77777777" w:rsidR="00781783" w:rsidRPr="008D3C26" w:rsidRDefault="00781783" w:rsidP="00781783">
      <w:pPr>
        <w:pStyle w:val="Default"/>
        <w:numPr>
          <w:ilvl w:val="0"/>
          <w:numId w:val="8"/>
        </w:numPr>
        <w:spacing w:after="99" w:line="360" w:lineRule="auto"/>
        <w:jc w:val="both"/>
        <w:rPr>
          <w:rFonts w:ascii="Times New Roman" w:hAnsi="Times New Roman" w:cs="Times New Roman"/>
        </w:rPr>
      </w:pPr>
      <w:r w:rsidRPr="008D3C26">
        <w:rPr>
          <w:rFonts w:ascii="Times New Roman" w:hAnsi="Times New Roman" w:cs="Times New Roman"/>
        </w:rPr>
        <w:t xml:space="preserve">The Department does not have appropriate record management systems to ensure that complete, relevant and accurate information was accessible and readily available to support the employee costs in the financial statements. </w:t>
      </w:r>
    </w:p>
    <w:p w14:paraId="6F94F1EC" w14:textId="77777777" w:rsidR="00781783" w:rsidRPr="008D3C26" w:rsidRDefault="00781783" w:rsidP="00781783">
      <w:pPr>
        <w:pStyle w:val="Default"/>
        <w:numPr>
          <w:ilvl w:val="0"/>
          <w:numId w:val="8"/>
        </w:numPr>
        <w:spacing w:after="99" w:line="360" w:lineRule="auto"/>
        <w:jc w:val="both"/>
        <w:rPr>
          <w:rFonts w:ascii="Times New Roman" w:hAnsi="Times New Roman" w:cs="Times New Roman"/>
        </w:rPr>
      </w:pPr>
      <w:r w:rsidRPr="008D3C26">
        <w:rPr>
          <w:rFonts w:ascii="Times New Roman" w:hAnsi="Times New Roman" w:cs="Times New Roman"/>
        </w:rPr>
        <w:t xml:space="preserve">Sufficient controls over employee costs and disclosure notes were not implemented regularly throughout the year to ensure that </w:t>
      </w:r>
      <w:r w:rsidR="0028084D" w:rsidRPr="008D3C26">
        <w:rPr>
          <w:rFonts w:ascii="Times New Roman" w:hAnsi="Times New Roman" w:cs="Times New Roman"/>
        </w:rPr>
        <w:t xml:space="preserve">the </w:t>
      </w:r>
      <w:r w:rsidRPr="008D3C26">
        <w:rPr>
          <w:rFonts w:ascii="Times New Roman" w:hAnsi="Times New Roman" w:cs="Times New Roman"/>
        </w:rPr>
        <w:t xml:space="preserve">information fairly </w:t>
      </w:r>
      <w:r w:rsidR="00C07591" w:rsidRPr="008D3C26">
        <w:rPr>
          <w:rFonts w:ascii="Times New Roman" w:hAnsi="Times New Roman" w:cs="Times New Roman"/>
        </w:rPr>
        <w:t>represented</w:t>
      </w:r>
      <w:r w:rsidRPr="008D3C26">
        <w:rPr>
          <w:rFonts w:ascii="Times New Roman" w:hAnsi="Times New Roman" w:cs="Times New Roman"/>
        </w:rPr>
        <w:t xml:space="preserve"> the financial affairs of the department in accordance with the Modified Cash Standard. </w:t>
      </w:r>
    </w:p>
    <w:p w14:paraId="4011CD44" w14:textId="77777777" w:rsidR="00781783" w:rsidRPr="008D3C26" w:rsidRDefault="00781783" w:rsidP="00781783">
      <w:pPr>
        <w:pStyle w:val="Default"/>
        <w:numPr>
          <w:ilvl w:val="0"/>
          <w:numId w:val="8"/>
        </w:numPr>
        <w:spacing w:after="99" w:line="360" w:lineRule="auto"/>
        <w:jc w:val="both"/>
        <w:rPr>
          <w:rFonts w:ascii="Times New Roman" w:hAnsi="Times New Roman" w:cs="Times New Roman"/>
        </w:rPr>
      </w:pPr>
      <w:r w:rsidRPr="008D3C26">
        <w:rPr>
          <w:rFonts w:ascii="Times New Roman" w:hAnsi="Times New Roman" w:cs="Times New Roman"/>
        </w:rPr>
        <w:t xml:space="preserve">Verification controls implemented by management over performance reporting were not fully effective to ensure that reported information was valid, accurate and complete and supporting listings were accurate. There was also a lack of reporting regulations which require TVET Colleges to report on headcount enrolments. </w:t>
      </w:r>
    </w:p>
    <w:p w14:paraId="05FC7E27" w14:textId="77777777" w:rsidR="008E7CA7" w:rsidRPr="008D3C26" w:rsidRDefault="00781783" w:rsidP="00C57389">
      <w:pPr>
        <w:spacing w:after="0"/>
        <w:rPr>
          <w:rFonts w:ascii="Times New Roman" w:hAnsi="Times New Roman" w:cs="Times New Roman"/>
          <w:b/>
          <w:sz w:val="24"/>
          <w:szCs w:val="24"/>
        </w:rPr>
      </w:pPr>
      <w:r w:rsidRPr="008D3C26">
        <w:rPr>
          <w:rFonts w:ascii="Times New Roman" w:hAnsi="Times New Roman" w:cs="Times New Roman"/>
          <w:sz w:val="24"/>
          <w:szCs w:val="24"/>
        </w:rPr>
        <w:t>The Department did not implement effective and appropriate controls to ensure adequate monitoring of compliance with relevant legislation, resulting in repeat findings on the financial statements, performance report and supply chain management.</w:t>
      </w:r>
    </w:p>
    <w:p w14:paraId="4280467B" w14:textId="77777777" w:rsidR="00C57389" w:rsidRPr="008D3C26" w:rsidRDefault="00C57389" w:rsidP="00C57389">
      <w:pPr>
        <w:spacing w:after="0"/>
        <w:rPr>
          <w:rFonts w:ascii="Times New Roman" w:hAnsi="Times New Roman" w:cs="Times New Roman"/>
          <w:b/>
          <w:sz w:val="24"/>
          <w:szCs w:val="24"/>
        </w:rPr>
      </w:pPr>
    </w:p>
    <w:p w14:paraId="4E1CABE2" w14:textId="77777777" w:rsidR="00E01B75" w:rsidRPr="008D3C26" w:rsidRDefault="00ED5165" w:rsidP="009724AD">
      <w:pPr>
        <w:rPr>
          <w:rFonts w:ascii="Times New Roman" w:hAnsi="Times New Roman" w:cs="Times New Roman"/>
          <w:b/>
          <w:sz w:val="24"/>
          <w:szCs w:val="24"/>
        </w:rPr>
      </w:pPr>
      <w:r w:rsidRPr="008D3C26">
        <w:rPr>
          <w:rFonts w:ascii="Times New Roman" w:hAnsi="Times New Roman" w:cs="Times New Roman"/>
          <w:b/>
          <w:sz w:val="24"/>
          <w:szCs w:val="24"/>
        </w:rPr>
        <w:t>4</w:t>
      </w:r>
      <w:r w:rsidR="0035305C" w:rsidRPr="008D3C26">
        <w:rPr>
          <w:rFonts w:ascii="Times New Roman" w:hAnsi="Times New Roman" w:cs="Times New Roman"/>
          <w:b/>
          <w:sz w:val="24"/>
          <w:szCs w:val="24"/>
        </w:rPr>
        <w:t>.</w:t>
      </w:r>
      <w:r w:rsidR="001A77FB" w:rsidRPr="008D3C26">
        <w:rPr>
          <w:rFonts w:ascii="Times New Roman" w:hAnsi="Times New Roman" w:cs="Times New Roman"/>
          <w:b/>
          <w:sz w:val="24"/>
          <w:szCs w:val="24"/>
        </w:rPr>
        <w:t>4</w:t>
      </w:r>
      <w:r w:rsidR="0035305C" w:rsidRPr="008D3C26">
        <w:rPr>
          <w:rFonts w:ascii="Times New Roman" w:hAnsi="Times New Roman" w:cs="Times New Roman"/>
          <w:b/>
          <w:sz w:val="24"/>
          <w:szCs w:val="24"/>
        </w:rPr>
        <w:t xml:space="preserve">. </w:t>
      </w:r>
      <w:r w:rsidR="00E01B75" w:rsidRPr="008D3C26">
        <w:rPr>
          <w:rFonts w:ascii="Times New Roman" w:hAnsi="Times New Roman" w:cs="Times New Roman"/>
          <w:b/>
          <w:sz w:val="24"/>
          <w:szCs w:val="24"/>
        </w:rPr>
        <w:t>Concluding remarks on the 2016/17 financial performance</w:t>
      </w:r>
    </w:p>
    <w:p w14:paraId="3CFAD6B7" w14:textId="77777777" w:rsidR="00045732" w:rsidRPr="008D3C26" w:rsidRDefault="00EF4151" w:rsidP="00045732">
      <w:pPr>
        <w:spacing w:after="0"/>
        <w:rPr>
          <w:rFonts w:ascii="Times New Roman" w:hAnsi="Times New Roman" w:cs="Times New Roman"/>
          <w:sz w:val="24"/>
          <w:szCs w:val="24"/>
        </w:rPr>
      </w:pPr>
      <w:r w:rsidRPr="008D3C26">
        <w:rPr>
          <w:rFonts w:ascii="Times New Roman" w:hAnsi="Times New Roman" w:cs="Times New Roman"/>
          <w:sz w:val="24"/>
          <w:szCs w:val="24"/>
        </w:rPr>
        <w:t>The Department</w:t>
      </w:r>
      <w:r w:rsidR="00F00293" w:rsidRPr="008D3C26">
        <w:rPr>
          <w:rFonts w:ascii="Times New Roman" w:hAnsi="Times New Roman" w:cs="Times New Roman"/>
          <w:sz w:val="24"/>
          <w:szCs w:val="24"/>
        </w:rPr>
        <w:t>’s total budget for the 2016/17 financial year was R</w:t>
      </w:r>
      <w:r w:rsidR="006A37DE" w:rsidRPr="008D3C26">
        <w:rPr>
          <w:rFonts w:ascii="Times New Roman" w:hAnsi="Times New Roman" w:cs="Times New Roman"/>
          <w:sz w:val="24"/>
          <w:szCs w:val="24"/>
        </w:rPr>
        <w:t>64.421 billion</w:t>
      </w:r>
      <w:r w:rsidR="00100A53" w:rsidRPr="008D3C26">
        <w:rPr>
          <w:rFonts w:ascii="Times New Roman" w:hAnsi="Times New Roman" w:cs="Times New Roman"/>
          <w:sz w:val="24"/>
          <w:szCs w:val="24"/>
        </w:rPr>
        <w:t>,</w:t>
      </w:r>
      <w:r w:rsidR="006A37DE" w:rsidRPr="008D3C26">
        <w:rPr>
          <w:rFonts w:ascii="Times New Roman" w:hAnsi="Times New Roman" w:cs="Times New Roman"/>
          <w:sz w:val="24"/>
          <w:szCs w:val="24"/>
        </w:rPr>
        <w:t xml:space="preserve"> excluding funds from Departmental receipt and aid assistance. The Department was able to spend </w:t>
      </w:r>
      <w:r w:rsidRPr="008D3C26">
        <w:rPr>
          <w:rFonts w:ascii="Times New Roman" w:hAnsi="Times New Roman" w:cs="Times New Roman"/>
          <w:sz w:val="24"/>
          <w:szCs w:val="24"/>
        </w:rPr>
        <w:t>99.9 per</w:t>
      </w:r>
      <w:r w:rsidR="006A37DE"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cent of </w:t>
      </w:r>
      <w:r w:rsidR="006A37DE" w:rsidRPr="008D3C26">
        <w:rPr>
          <w:rFonts w:ascii="Times New Roman" w:hAnsi="Times New Roman" w:cs="Times New Roman"/>
          <w:sz w:val="24"/>
          <w:szCs w:val="24"/>
        </w:rPr>
        <w:t>the allocated budget. The underspending at the end of the financial year amounted to R50.717 million</w:t>
      </w:r>
      <w:r w:rsidR="003D3FA7" w:rsidRPr="008D3C26">
        <w:rPr>
          <w:rFonts w:ascii="Times New Roman" w:hAnsi="Times New Roman" w:cs="Times New Roman"/>
          <w:sz w:val="24"/>
          <w:szCs w:val="24"/>
        </w:rPr>
        <w:t xml:space="preserve"> (0.078 per cent)</w:t>
      </w:r>
      <w:r w:rsidR="006A37DE" w:rsidRPr="008D3C26">
        <w:rPr>
          <w:rFonts w:ascii="Times New Roman" w:hAnsi="Times New Roman" w:cs="Times New Roman"/>
          <w:sz w:val="24"/>
          <w:szCs w:val="24"/>
        </w:rPr>
        <w:t>. Programmes 2: Planning, Policy and Strategy, University Education and Community Education incurred the highest underspending at R14.76</w:t>
      </w:r>
      <w:r w:rsidR="004C4F56" w:rsidRPr="008D3C26">
        <w:rPr>
          <w:rFonts w:ascii="Times New Roman" w:hAnsi="Times New Roman" w:cs="Times New Roman"/>
          <w:sz w:val="24"/>
          <w:szCs w:val="24"/>
        </w:rPr>
        <w:t>8</w:t>
      </w:r>
      <w:r w:rsidR="006A37DE" w:rsidRPr="008D3C26">
        <w:rPr>
          <w:rFonts w:ascii="Times New Roman" w:hAnsi="Times New Roman" w:cs="Times New Roman"/>
          <w:sz w:val="24"/>
          <w:szCs w:val="24"/>
        </w:rPr>
        <w:t xml:space="preserve"> million, R15.969</w:t>
      </w:r>
      <w:r w:rsidR="003116A4" w:rsidRPr="008D3C26">
        <w:rPr>
          <w:rFonts w:ascii="Times New Roman" w:hAnsi="Times New Roman" w:cs="Times New Roman"/>
          <w:sz w:val="24"/>
          <w:szCs w:val="24"/>
        </w:rPr>
        <w:t xml:space="preserve"> million</w:t>
      </w:r>
      <w:r w:rsidR="006A37DE" w:rsidRPr="008D3C26">
        <w:rPr>
          <w:rFonts w:ascii="Times New Roman" w:hAnsi="Times New Roman" w:cs="Times New Roman"/>
          <w:sz w:val="24"/>
          <w:szCs w:val="24"/>
        </w:rPr>
        <w:t xml:space="preserve"> and R10.62</w:t>
      </w:r>
      <w:r w:rsidR="004C4F56" w:rsidRPr="008D3C26">
        <w:rPr>
          <w:rFonts w:ascii="Times New Roman" w:hAnsi="Times New Roman" w:cs="Times New Roman"/>
          <w:sz w:val="24"/>
          <w:szCs w:val="24"/>
        </w:rPr>
        <w:t>6</w:t>
      </w:r>
      <w:r w:rsidR="006A37DE" w:rsidRPr="008D3C26">
        <w:rPr>
          <w:rFonts w:ascii="Times New Roman" w:hAnsi="Times New Roman" w:cs="Times New Roman"/>
          <w:sz w:val="24"/>
          <w:szCs w:val="24"/>
        </w:rPr>
        <w:t xml:space="preserve"> million respectively. Programme 2: Planning, Policy and Strategy recorded slow spending of 20.6 per cent.  </w:t>
      </w:r>
      <w:r w:rsidR="00045732" w:rsidRPr="008D3C26">
        <w:rPr>
          <w:rFonts w:ascii="Times New Roman" w:hAnsi="Times New Roman" w:cs="Times New Roman"/>
          <w:sz w:val="24"/>
          <w:szCs w:val="24"/>
        </w:rPr>
        <w:t>This was due to posts that became vacant during the year that could not be filled as projected as well as vacant funded posts that were advertised as part of the TVET and CET function shift process during the 2015/16 that were only filled mid 2016/17 due to large volumes of applications received. Outstanding invoices for litigation matters that were not received on time and a saving on transfer to the India-Brazil-South Africa Trilateral Commission as no invoice</w:t>
      </w:r>
      <w:r w:rsidR="003D3FA7" w:rsidRPr="008D3C26">
        <w:rPr>
          <w:rFonts w:ascii="Times New Roman" w:hAnsi="Times New Roman" w:cs="Times New Roman"/>
          <w:sz w:val="24"/>
          <w:szCs w:val="24"/>
        </w:rPr>
        <w:t>s</w:t>
      </w:r>
      <w:r w:rsidR="00045732" w:rsidRPr="008D3C26">
        <w:rPr>
          <w:rFonts w:ascii="Times New Roman" w:hAnsi="Times New Roman" w:cs="Times New Roman"/>
          <w:sz w:val="24"/>
          <w:szCs w:val="24"/>
        </w:rPr>
        <w:t xml:space="preserve"> w</w:t>
      </w:r>
      <w:r w:rsidR="003D3FA7" w:rsidRPr="008D3C26">
        <w:rPr>
          <w:rFonts w:ascii="Times New Roman" w:hAnsi="Times New Roman" w:cs="Times New Roman"/>
          <w:sz w:val="24"/>
          <w:szCs w:val="24"/>
        </w:rPr>
        <w:t>as</w:t>
      </w:r>
      <w:r w:rsidR="00045732" w:rsidRPr="008D3C26">
        <w:rPr>
          <w:rFonts w:ascii="Times New Roman" w:hAnsi="Times New Roman" w:cs="Times New Roman"/>
          <w:sz w:val="24"/>
          <w:szCs w:val="24"/>
        </w:rPr>
        <w:t xml:space="preserve"> received for services rendered during the financial year and favourable Rand/Dollar Exchange rate that </w:t>
      </w:r>
      <w:r w:rsidR="00045732" w:rsidRPr="008D3C26">
        <w:rPr>
          <w:rFonts w:ascii="Times New Roman" w:hAnsi="Times New Roman" w:cs="Times New Roman"/>
          <w:sz w:val="24"/>
          <w:szCs w:val="24"/>
        </w:rPr>
        <w:lastRenderedPageBreak/>
        <w:t>was applicable when payments were made to the Commonwealth of Learning were also cited as causes for the underspending.</w:t>
      </w:r>
    </w:p>
    <w:p w14:paraId="7E0C0D9B" w14:textId="77777777" w:rsidR="00856833" w:rsidRPr="008D3C26" w:rsidRDefault="00856833" w:rsidP="00045732">
      <w:pPr>
        <w:spacing w:after="0"/>
        <w:rPr>
          <w:rFonts w:ascii="Times New Roman" w:hAnsi="Times New Roman" w:cs="Times New Roman"/>
          <w:sz w:val="24"/>
          <w:szCs w:val="24"/>
        </w:rPr>
      </w:pPr>
    </w:p>
    <w:p w14:paraId="2F72FF6D" w14:textId="77777777" w:rsidR="00045732" w:rsidRPr="008D3C26" w:rsidRDefault="00045732" w:rsidP="00045732">
      <w:pPr>
        <w:spacing w:after="0"/>
        <w:rPr>
          <w:rFonts w:ascii="Times New Roman" w:hAnsi="Times New Roman" w:cs="Times New Roman"/>
          <w:sz w:val="24"/>
          <w:szCs w:val="24"/>
        </w:rPr>
      </w:pPr>
      <w:r w:rsidRPr="008D3C26">
        <w:rPr>
          <w:rFonts w:ascii="Times New Roman" w:hAnsi="Times New Roman" w:cs="Times New Roman"/>
          <w:sz w:val="24"/>
          <w:szCs w:val="24"/>
        </w:rPr>
        <w:t>The Department effected virement amounting to R78.2 million</w:t>
      </w:r>
      <w:r w:rsidR="00856833" w:rsidRPr="008D3C26">
        <w:rPr>
          <w:rFonts w:ascii="Times New Roman" w:hAnsi="Times New Roman" w:cs="Times New Roman"/>
          <w:sz w:val="24"/>
          <w:szCs w:val="24"/>
        </w:rPr>
        <w:t xml:space="preserve"> across programmes. </w:t>
      </w:r>
      <w:r w:rsidR="003D3FA7" w:rsidRPr="008D3C26">
        <w:rPr>
          <w:rFonts w:ascii="Times New Roman" w:hAnsi="Times New Roman" w:cs="Times New Roman"/>
          <w:sz w:val="24"/>
          <w:szCs w:val="24"/>
        </w:rPr>
        <w:t>I</w:t>
      </w:r>
      <w:r w:rsidR="00856833" w:rsidRPr="008D3C26">
        <w:rPr>
          <w:rFonts w:ascii="Times New Roman" w:hAnsi="Times New Roman" w:cs="Times New Roman"/>
          <w:sz w:val="24"/>
          <w:szCs w:val="24"/>
        </w:rPr>
        <w:t xml:space="preserve">rregular expenditure incurred during the year under review </w:t>
      </w:r>
      <w:r w:rsidR="003D3FA7" w:rsidRPr="008D3C26">
        <w:rPr>
          <w:rFonts w:ascii="Times New Roman" w:hAnsi="Times New Roman" w:cs="Times New Roman"/>
          <w:sz w:val="24"/>
          <w:szCs w:val="24"/>
        </w:rPr>
        <w:t xml:space="preserve">amounted to </w:t>
      </w:r>
      <w:r w:rsidR="00856833" w:rsidRPr="008D3C26">
        <w:rPr>
          <w:rFonts w:ascii="Times New Roman" w:hAnsi="Times New Roman" w:cs="Times New Roman"/>
          <w:sz w:val="24"/>
          <w:szCs w:val="24"/>
        </w:rPr>
        <w:t xml:space="preserve">R63.817 million. This was an increase of 49.05 per cent from R31.308 million irregular expenditure incurred in </w:t>
      </w:r>
      <w:r w:rsidR="00266B5C" w:rsidRPr="008D3C26">
        <w:rPr>
          <w:rFonts w:ascii="Times New Roman" w:hAnsi="Times New Roman" w:cs="Times New Roman"/>
          <w:sz w:val="24"/>
          <w:szCs w:val="24"/>
        </w:rPr>
        <w:t xml:space="preserve">the </w:t>
      </w:r>
      <w:r w:rsidR="00856833" w:rsidRPr="008D3C26">
        <w:rPr>
          <w:rFonts w:ascii="Times New Roman" w:hAnsi="Times New Roman" w:cs="Times New Roman"/>
          <w:sz w:val="24"/>
          <w:szCs w:val="24"/>
        </w:rPr>
        <w:t xml:space="preserve">2015/16 financial year. The irregular expenditure was due to non-compliance with laws and regulations governing procurement of goods and services. </w:t>
      </w:r>
    </w:p>
    <w:p w14:paraId="69BDC5D9" w14:textId="77777777" w:rsidR="00307C7F" w:rsidRPr="008D3C26" w:rsidRDefault="00307C7F" w:rsidP="009724AD">
      <w:pPr>
        <w:rPr>
          <w:rFonts w:ascii="Times New Roman" w:hAnsi="Times New Roman" w:cs="Times New Roman"/>
          <w:b/>
          <w:sz w:val="24"/>
          <w:szCs w:val="24"/>
        </w:rPr>
      </w:pPr>
    </w:p>
    <w:p w14:paraId="305BFA16" w14:textId="77777777" w:rsidR="00334E6B" w:rsidRPr="008D3C26" w:rsidRDefault="00334E6B" w:rsidP="009724AD">
      <w:pPr>
        <w:rPr>
          <w:rFonts w:ascii="Times New Roman" w:hAnsi="Times New Roman" w:cs="Times New Roman"/>
          <w:b/>
          <w:sz w:val="24"/>
          <w:szCs w:val="24"/>
        </w:rPr>
      </w:pPr>
      <w:r w:rsidRPr="008D3C26">
        <w:rPr>
          <w:rFonts w:ascii="Times New Roman" w:hAnsi="Times New Roman" w:cs="Times New Roman"/>
          <w:b/>
          <w:sz w:val="24"/>
          <w:szCs w:val="24"/>
        </w:rPr>
        <w:t xml:space="preserve">5. OVERVIEW AND ASSESSMENT OF </w:t>
      </w:r>
      <w:r w:rsidR="00E01B75" w:rsidRPr="008D3C26">
        <w:rPr>
          <w:rFonts w:ascii="Times New Roman" w:hAnsi="Times New Roman" w:cs="Times New Roman"/>
          <w:b/>
          <w:sz w:val="24"/>
          <w:szCs w:val="24"/>
        </w:rPr>
        <w:t xml:space="preserve">THE DEPARTMENT’S </w:t>
      </w:r>
      <w:r w:rsidRPr="008D3C26">
        <w:rPr>
          <w:rFonts w:ascii="Times New Roman" w:hAnsi="Times New Roman" w:cs="Times New Roman"/>
          <w:b/>
          <w:sz w:val="24"/>
          <w:szCs w:val="24"/>
        </w:rPr>
        <w:t>SERVICE DELIVERY PERFORMANCE</w:t>
      </w:r>
      <w:r w:rsidR="00E01B75" w:rsidRPr="008D3C26">
        <w:rPr>
          <w:rFonts w:ascii="Times New Roman" w:hAnsi="Times New Roman" w:cs="Times New Roman"/>
          <w:b/>
          <w:sz w:val="24"/>
          <w:szCs w:val="24"/>
        </w:rPr>
        <w:t xml:space="preserve"> FOR 2016/17 FINANCIAL YEAR</w:t>
      </w:r>
    </w:p>
    <w:p w14:paraId="5395F92E" w14:textId="77777777" w:rsidR="00E01B75" w:rsidRPr="008D3C26" w:rsidRDefault="00334E6B" w:rsidP="009724AD">
      <w:pPr>
        <w:rPr>
          <w:rFonts w:ascii="Times New Roman" w:hAnsi="Times New Roman" w:cs="Times New Roman"/>
          <w:b/>
          <w:sz w:val="24"/>
          <w:szCs w:val="24"/>
        </w:rPr>
      </w:pPr>
      <w:r w:rsidRPr="008D3C26">
        <w:rPr>
          <w:rFonts w:ascii="Times New Roman" w:hAnsi="Times New Roman" w:cs="Times New Roman"/>
          <w:b/>
          <w:sz w:val="24"/>
          <w:szCs w:val="24"/>
        </w:rPr>
        <w:t xml:space="preserve">5.1. </w:t>
      </w:r>
      <w:r w:rsidR="00E01B75" w:rsidRPr="008D3C26">
        <w:rPr>
          <w:rFonts w:ascii="Times New Roman" w:hAnsi="Times New Roman" w:cs="Times New Roman"/>
          <w:b/>
          <w:sz w:val="24"/>
          <w:szCs w:val="24"/>
        </w:rPr>
        <w:t>Overview of overall s</w:t>
      </w:r>
      <w:r w:rsidRPr="008D3C26">
        <w:rPr>
          <w:rFonts w:ascii="Times New Roman" w:hAnsi="Times New Roman" w:cs="Times New Roman"/>
          <w:b/>
          <w:sz w:val="24"/>
          <w:szCs w:val="24"/>
        </w:rPr>
        <w:t xml:space="preserve">ervice delivery performance </w:t>
      </w:r>
    </w:p>
    <w:p w14:paraId="3B8535B9" w14:textId="77777777" w:rsidR="002F44B3" w:rsidRPr="008D3C26" w:rsidRDefault="00DF404C" w:rsidP="002F44B3">
      <w:pPr>
        <w:rPr>
          <w:rFonts w:ascii="Times New Roman" w:hAnsi="Times New Roman" w:cs="Times New Roman"/>
          <w:b/>
          <w:sz w:val="24"/>
          <w:szCs w:val="24"/>
        </w:rPr>
      </w:pPr>
      <w:r w:rsidRPr="008D3C26">
        <w:rPr>
          <w:rFonts w:ascii="Times New Roman" w:hAnsi="Times New Roman" w:cs="Times New Roman"/>
          <w:b/>
          <w:sz w:val="24"/>
          <w:szCs w:val="24"/>
        </w:rPr>
        <w:t>Table 5</w:t>
      </w:r>
      <w:r w:rsidR="002F44B3" w:rsidRPr="008D3C26">
        <w:rPr>
          <w:rFonts w:ascii="Times New Roman" w:hAnsi="Times New Roman" w:cs="Times New Roman"/>
          <w:b/>
          <w:sz w:val="24"/>
          <w:szCs w:val="24"/>
        </w:rPr>
        <w:t>: Consolidated programme service delivery and financial performance over a three-year period</w:t>
      </w:r>
    </w:p>
    <w:tbl>
      <w:tblPr>
        <w:tblStyle w:val="TableGrid"/>
        <w:tblW w:w="10129" w:type="dxa"/>
        <w:tblLook w:val="04A0" w:firstRow="1" w:lastRow="0" w:firstColumn="1" w:lastColumn="0" w:noHBand="0" w:noVBand="1"/>
      </w:tblPr>
      <w:tblGrid>
        <w:gridCol w:w="1870"/>
        <w:gridCol w:w="1349"/>
        <w:gridCol w:w="1536"/>
        <w:gridCol w:w="1536"/>
        <w:gridCol w:w="1536"/>
        <w:gridCol w:w="1536"/>
        <w:gridCol w:w="1536"/>
      </w:tblGrid>
      <w:tr w:rsidR="002F44B3" w:rsidRPr="008D3C26" w14:paraId="08E97B3D" w14:textId="77777777" w:rsidTr="003F542E">
        <w:tc>
          <w:tcPr>
            <w:tcW w:w="1561" w:type="dxa"/>
            <w:vMerge w:val="restart"/>
            <w:shd w:val="clear" w:color="auto" w:fill="F2F2F2" w:themeFill="background1" w:themeFillShade="F2"/>
          </w:tcPr>
          <w:p w14:paraId="006AD626"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PROGRAMME</w:t>
            </w:r>
          </w:p>
        </w:tc>
        <w:tc>
          <w:tcPr>
            <w:tcW w:w="8568" w:type="dxa"/>
            <w:gridSpan w:val="6"/>
            <w:shd w:val="clear" w:color="auto" w:fill="ED7D31" w:themeFill="accent2"/>
          </w:tcPr>
          <w:p w14:paraId="1DA61E6A" w14:textId="77777777" w:rsidR="002F44B3" w:rsidRPr="008D3C26" w:rsidRDefault="002F44B3" w:rsidP="003F542E">
            <w:pPr>
              <w:spacing w:line="360" w:lineRule="auto"/>
              <w:jc w:val="center"/>
              <w:rPr>
                <w:rFonts w:ascii="Times New Roman" w:hAnsi="Times New Roman" w:cs="Times New Roman"/>
                <w:b/>
                <w:sz w:val="24"/>
                <w:szCs w:val="24"/>
              </w:rPr>
            </w:pPr>
            <w:r w:rsidRPr="008D3C26">
              <w:rPr>
                <w:rFonts w:ascii="Times New Roman" w:hAnsi="Times New Roman" w:cs="Times New Roman"/>
                <w:b/>
                <w:sz w:val="24"/>
                <w:szCs w:val="24"/>
              </w:rPr>
              <w:t>FINANCIAL YEAR</w:t>
            </w:r>
          </w:p>
        </w:tc>
      </w:tr>
      <w:tr w:rsidR="002F44B3" w:rsidRPr="008D3C26" w14:paraId="7D71CA9C" w14:textId="77777777" w:rsidTr="003F542E">
        <w:tc>
          <w:tcPr>
            <w:tcW w:w="1561" w:type="dxa"/>
            <w:vMerge/>
            <w:shd w:val="clear" w:color="auto" w:fill="F2F2F2" w:themeFill="background1" w:themeFillShade="F2"/>
          </w:tcPr>
          <w:p w14:paraId="00299105" w14:textId="77777777" w:rsidR="002F44B3" w:rsidRPr="008D3C26" w:rsidRDefault="002F44B3" w:rsidP="003F542E">
            <w:pPr>
              <w:spacing w:line="360" w:lineRule="auto"/>
              <w:rPr>
                <w:rFonts w:ascii="Times New Roman" w:hAnsi="Times New Roman" w:cs="Times New Roman"/>
                <w:sz w:val="24"/>
                <w:szCs w:val="24"/>
              </w:rPr>
            </w:pPr>
          </w:p>
        </w:tc>
        <w:tc>
          <w:tcPr>
            <w:tcW w:w="2856" w:type="dxa"/>
            <w:gridSpan w:val="2"/>
            <w:shd w:val="clear" w:color="auto" w:fill="ED7D31" w:themeFill="accent2"/>
          </w:tcPr>
          <w:p w14:paraId="55AD0AF9" w14:textId="77777777" w:rsidR="002F44B3" w:rsidRPr="008D3C26" w:rsidRDefault="002F44B3" w:rsidP="003F542E">
            <w:pPr>
              <w:spacing w:line="360" w:lineRule="auto"/>
              <w:jc w:val="center"/>
              <w:rPr>
                <w:rFonts w:ascii="Times New Roman" w:hAnsi="Times New Roman" w:cs="Times New Roman"/>
                <w:b/>
                <w:sz w:val="24"/>
                <w:szCs w:val="24"/>
              </w:rPr>
            </w:pPr>
            <w:r w:rsidRPr="008D3C26">
              <w:rPr>
                <w:rFonts w:ascii="Times New Roman" w:hAnsi="Times New Roman" w:cs="Times New Roman"/>
                <w:b/>
                <w:sz w:val="24"/>
                <w:szCs w:val="24"/>
              </w:rPr>
              <w:t>2014/15</w:t>
            </w:r>
          </w:p>
        </w:tc>
        <w:tc>
          <w:tcPr>
            <w:tcW w:w="2856" w:type="dxa"/>
            <w:gridSpan w:val="2"/>
            <w:shd w:val="clear" w:color="auto" w:fill="ED7D31" w:themeFill="accent2"/>
          </w:tcPr>
          <w:p w14:paraId="6A8AE3B6" w14:textId="77777777" w:rsidR="002F44B3" w:rsidRPr="008D3C26" w:rsidRDefault="002F44B3" w:rsidP="003F542E">
            <w:pPr>
              <w:spacing w:line="360" w:lineRule="auto"/>
              <w:jc w:val="center"/>
              <w:rPr>
                <w:rFonts w:ascii="Times New Roman" w:hAnsi="Times New Roman" w:cs="Times New Roman"/>
                <w:b/>
                <w:sz w:val="24"/>
                <w:szCs w:val="24"/>
              </w:rPr>
            </w:pPr>
            <w:r w:rsidRPr="008D3C26">
              <w:rPr>
                <w:rFonts w:ascii="Times New Roman" w:hAnsi="Times New Roman" w:cs="Times New Roman"/>
                <w:b/>
                <w:sz w:val="24"/>
                <w:szCs w:val="24"/>
              </w:rPr>
              <w:t>2015/16</w:t>
            </w:r>
          </w:p>
        </w:tc>
        <w:tc>
          <w:tcPr>
            <w:tcW w:w="2856" w:type="dxa"/>
            <w:gridSpan w:val="2"/>
            <w:shd w:val="clear" w:color="auto" w:fill="ED7D31" w:themeFill="accent2"/>
          </w:tcPr>
          <w:p w14:paraId="6D4EA737" w14:textId="77777777" w:rsidR="002F44B3" w:rsidRPr="008D3C26" w:rsidRDefault="002F44B3" w:rsidP="003F542E">
            <w:pPr>
              <w:spacing w:line="360" w:lineRule="auto"/>
              <w:jc w:val="center"/>
              <w:rPr>
                <w:rFonts w:ascii="Times New Roman" w:hAnsi="Times New Roman" w:cs="Times New Roman"/>
                <w:b/>
                <w:sz w:val="24"/>
                <w:szCs w:val="24"/>
              </w:rPr>
            </w:pPr>
            <w:r w:rsidRPr="008D3C26">
              <w:rPr>
                <w:rFonts w:ascii="Times New Roman" w:hAnsi="Times New Roman" w:cs="Times New Roman"/>
                <w:b/>
                <w:sz w:val="24"/>
                <w:szCs w:val="24"/>
              </w:rPr>
              <w:t>2016/17</w:t>
            </w:r>
          </w:p>
        </w:tc>
      </w:tr>
      <w:tr w:rsidR="002F44B3" w:rsidRPr="008D3C26" w14:paraId="1D4AA02F" w14:textId="77777777" w:rsidTr="003F542E">
        <w:tc>
          <w:tcPr>
            <w:tcW w:w="1561" w:type="dxa"/>
            <w:vMerge/>
            <w:shd w:val="clear" w:color="auto" w:fill="F2F2F2" w:themeFill="background1" w:themeFillShade="F2"/>
          </w:tcPr>
          <w:p w14:paraId="1176B697" w14:textId="77777777" w:rsidR="002F44B3" w:rsidRPr="008D3C26" w:rsidRDefault="002F44B3" w:rsidP="003F542E">
            <w:pPr>
              <w:spacing w:line="360" w:lineRule="auto"/>
              <w:rPr>
                <w:rFonts w:ascii="Times New Roman" w:hAnsi="Times New Roman" w:cs="Times New Roman"/>
                <w:sz w:val="24"/>
                <w:szCs w:val="24"/>
              </w:rPr>
            </w:pPr>
          </w:p>
        </w:tc>
        <w:tc>
          <w:tcPr>
            <w:tcW w:w="1428" w:type="dxa"/>
            <w:vAlign w:val="bottom"/>
          </w:tcPr>
          <w:p w14:paraId="12477256"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Percentage of targets achieved</w:t>
            </w:r>
          </w:p>
        </w:tc>
        <w:tc>
          <w:tcPr>
            <w:tcW w:w="1428" w:type="dxa"/>
            <w:vAlign w:val="bottom"/>
          </w:tcPr>
          <w:p w14:paraId="59F9F88D"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Financial performance</w:t>
            </w:r>
          </w:p>
          <w:p w14:paraId="65C1129C" w14:textId="77777777" w:rsidR="00976656" w:rsidRPr="008D3C26" w:rsidRDefault="00976656" w:rsidP="003F542E">
            <w:pPr>
              <w:rPr>
                <w:rFonts w:ascii="Times New Roman" w:eastAsia="Times New Roman" w:hAnsi="Times New Roman" w:cs="Times New Roman"/>
                <w:b/>
                <w:color w:val="000000"/>
                <w:sz w:val="24"/>
                <w:szCs w:val="24"/>
                <w:lang w:eastAsia="en-ZA"/>
              </w:rPr>
            </w:pPr>
          </w:p>
        </w:tc>
        <w:tc>
          <w:tcPr>
            <w:tcW w:w="1428" w:type="dxa"/>
            <w:vAlign w:val="bottom"/>
          </w:tcPr>
          <w:p w14:paraId="3AF3DF43"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Non-financial performance</w:t>
            </w:r>
          </w:p>
        </w:tc>
        <w:tc>
          <w:tcPr>
            <w:tcW w:w="1428" w:type="dxa"/>
            <w:vAlign w:val="bottom"/>
          </w:tcPr>
          <w:p w14:paraId="38C8D918"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Financial performance</w:t>
            </w:r>
          </w:p>
          <w:p w14:paraId="0C3D39B3" w14:textId="77777777" w:rsidR="00976656" w:rsidRPr="008D3C26" w:rsidRDefault="00976656" w:rsidP="003F542E">
            <w:pPr>
              <w:rPr>
                <w:rFonts w:ascii="Times New Roman" w:eastAsia="Times New Roman" w:hAnsi="Times New Roman" w:cs="Times New Roman"/>
                <w:b/>
                <w:color w:val="000000"/>
                <w:sz w:val="24"/>
                <w:szCs w:val="24"/>
                <w:lang w:eastAsia="en-ZA"/>
              </w:rPr>
            </w:pPr>
          </w:p>
        </w:tc>
        <w:tc>
          <w:tcPr>
            <w:tcW w:w="1428" w:type="dxa"/>
            <w:vAlign w:val="bottom"/>
          </w:tcPr>
          <w:p w14:paraId="23DB428C"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Non-financial performance</w:t>
            </w:r>
          </w:p>
        </w:tc>
        <w:tc>
          <w:tcPr>
            <w:tcW w:w="1428" w:type="dxa"/>
            <w:vAlign w:val="bottom"/>
          </w:tcPr>
          <w:p w14:paraId="2D94C961"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Financial performance</w:t>
            </w:r>
          </w:p>
          <w:p w14:paraId="3FFE63E2" w14:textId="77777777" w:rsidR="00976656" w:rsidRPr="008D3C26" w:rsidRDefault="00976656" w:rsidP="003F542E">
            <w:pPr>
              <w:rPr>
                <w:rFonts w:ascii="Times New Roman" w:eastAsia="Times New Roman" w:hAnsi="Times New Roman" w:cs="Times New Roman"/>
                <w:b/>
                <w:color w:val="000000"/>
                <w:sz w:val="24"/>
                <w:szCs w:val="24"/>
                <w:lang w:eastAsia="en-ZA"/>
              </w:rPr>
            </w:pPr>
          </w:p>
        </w:tc>
      </w:tr>
      <w:tr w:rsidR="002F44B3" w:rsidRPr="008D3C26" w14:paraId="0D30B5B6" w14:textId="77777777" w:rsidTr="003F542E">
        <w:tc>
          <w:tcPr>
            <w:tcW w:w="1561" w:type="dxa"/>
            <w:vMerge/>
            <w:shd w:val="clear" w:color="auto" w:fill="F2F2F2" w:themeFill="background1" w:themeFillShade="F2"/>
          </w:tcPr>
          <w:p w14:paraId="52EFDEB3" w14:textId="77777777" w:rsidR="002F44B3" w:rsidRPr="008D3C26" w:rsidRDefault="002F44B3" w:rsidP="003F542E">
            <w:pPr>
              <w:spacing w:line="360" w:lineRule="auto"/>
              <w:rPr>
                <w:rFonts w:ascii="Times New Roman" w:hAnsi="Times New Roman" w:cs="Times New Roman"/>
                <w:sz w:val="24"/>
                <w:szCs w:val="24"/>
              </w:rPr>
            </w:pPr>
          </w:p>
        </w:tc>
        <w:tc>
          <w:tcPr>
            <w:tcW w:w="1428" w:type="dxa"/>
            <w:vAlign w:val="bottom"/>
          </w:tcPr>
          <w:p w14:paraId="573F58A2"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w:t>
            </w:r>
          </w:p>
        </w:tc>
        <w:tc>
          <w:tcPr>
            <w:tcW w:w="1428" w:type="dxa"/>
            <w:vAlign w:val="bottom"/>
          </w:tcPr>
          <w:p w14:paraId="3438365D"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R’000</w:t>
            </w:r>
          </w:p>
        </w:tc>
        <w:tc>
          <w:tcPr>
            <w:tcW w:w="1428" w:type="dxa"/>
            <w:vAlign w:val="bottom"/>
          </w:tcPr>
          <w:p w14:paraId="6B8A5CC2" w14:textId="77777777" w:rsidR="002F44B3" w:rsidRPr="008D3C26" w:rsidRDefault="002F44B3" w:rsidP="003F542E">
            <w:pPr>
              <w:rPr>
                <w:rFonts w:ascii="Times New Roman" w:eastAsia="Times New Roman" w:hAnsi="Times New Roman" w:cs="Times New Roman"/>
                <w:b/>
                <w:color w:val="000000"/>
                <w:sz w:val="24"/>
                <w:szCs w:val="24"/>
                <w:lang w:eastAsia="en-ZA"/>
              </w:rPr>
            </w:pPr>
          </w:p>
        </w:tc>
        <w:tc>
          <w:tcPr>
            <w:tcW w:w="1428" w:type="dxa"/>
            <w:vAlign w:val="bottom"/>
          </w:tcPr>
          <w:p w14:paraId="3615698D"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R’000</w:t>
            </w:r>
          </w:p>
        </w:tc>
        <w:tc>
          <w:tcPr>
            <w:tcW w:w="1428" w:type="dxa"/>
            <w:vAlign w:val="bottom"/>
          </w:tcPr>
          <w:p w14:paraId="6E7F0F6D" w14:textId="77777777" w:rsidR="002F44B3" w:rsidRPr="008D3C26" w:rsidRDefault="002F44B3" w:rsidP="003F542E">
            <w:pPr>
              <w:rPr>
                <w:rFonts w:ascii="Times New Roman" w:eastAsia="Times New Roman" w:hAnsi="Times New Roman" w:cs="Times New Roman"/>
                <w:b/>
                <w:color w:val="000000"/>
                <w:sz w:val="24"/>
                <w:szCs w:val="24"/>
                <w:lang w:eastAsia="en-ZA"/>
              </w:rPr>
            </w:pPr>
          </w:p>
        </w:tc>
        <w:tc>
          <w:tcPr>
            <w:tcW w:w="1428" w:type="dxa"/>
            <w:vAlign w:val="bottom"/>
          </w:tcPr>
          <w:p w14:paraId="1B7FB432" w14:textId="77777777" w:rsidR="002F44B3" w:rsidRPr="008D3C26" w:rsidRDefault="002F44B3" w:rsidP="003F542E">
            <w:pPr>
              <w:rPr>
                <w:rFonts w:ascii="Times New Roman" w:eastAsia="Times New Roman" w:hAnsi="Times New Roman" w:cs="Times New Roman"/>
                <w:b/>
                <w:color w:val="000000"/>
                <w:sz w:val="24"/>
                <w:szCs w:val="24"/>
                <w:lang w:eastAsia="en-ZA"/>
              </w:rPr>
            </w:pPr>
            <w:r w:rsidRPr="008D3C26">
              <w:rPr>
                <w:rFonts w:ascii="Times New Roman" w:eastAsia="Times New Roman" w:hAnsi="Times New Roman" w:cs="Times New Roman"/>
                <w:b/>
                <w:color w:val="000000"/>
                <w:sz w:val="24"/>
                <w:szCs w:val="24"/>
                <w:lang w:eastAsia="en-ZA"/>
              </w:rPr>
              <w:t>R’000</w:t>
            </w:r>
          </w:p>
        </w:tc>
      </w:tr>
      <w:tr w:rsidR="002F44B3" w:rsidRPr="008D3C26" w14:paraId="1015DFF9" w14:textId="77777777" w:rsidTr="003F542E">
        <w:tc>
          <w:tcPr>
            <w:tcW w:w="1561" w:type="dxa"/>
            <w:shd w:val="clear" w:color="auto" w:fill="F2F2F2" w:themeFill="background1" w:themeFillShade="F2"/>
          </w:tcPr>
          <w:p w14:paraId="20B7CEE7"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Administration</w:t>
            </w:r>
          </w:p>
        </w:tc>
        <w:tc>
          <w:tcPr>
            <w:tcW w:w="1428" w:type="dxa"/>
            <w:vAlign w:val="bottom"/>
          </w:tcPr>
          <w:p w14:paraId="468927D8" w14:textId="77777777" w:rsidR="002F44B3" w:rsidRPr="008D3C26" w:rsidRDefault="002F44B3" w:rsidP="003F542E">
            <w:pP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0%</w:t>
            </w:r>
          </w:p>
        </w:tc>
        <w:tc>
          <w:tcPr>
            <w:tcW w:w="1428" w:type="dxa"/>
            <w:vAlign w:val="bottom"/>
          </w:tcPr>
          <w:p w14:paraId="16CA5E97" w14:textId="77777777" w:rsidR="002F44B3" w:rsidRPr="008D3C26" w:rsidRDefault="002F44B3" w:rsidP="003F542E">
            <w:pP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234 097</w:t>
            </w:r>
          </w:p>
          <w:p w14:paraId="6C9B8784" w14:textId="77777777" w:rsidR="002F44B3" w:rsidRPr="008D3C26" w:rsidRDefault="002F44B3" w:rsidP="003F542E">
            <w:pP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(99.9%)</w:t>
            </w:r>
          </w:p>
        </w:tc>
        <w:tc>
          <w:tcPr>
            <w:tcW w:w="1428" w:type="dxa"/>
            <w:vAlign w:val="bottom"/>
          </w:tcPr>
          <w:p w14:paraId="25AAC9CB" w14:textId="77777777" w:rsidR="002F44B3" w:rsidRPr="008D3C26" w:rsidRDefault="002F44B3" w:rsidP="003F542E">
            <w:pP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50%</w:t>
            </w:r>
          </w:p>
        </w:tc>
        <w:tc>
          <w:tcPr>
            <w:tcW w:w="1428" w:type="dxa"/>
            <w:vAlign w:val="bottom"/>
          </w:tcPr>
          <w:p w14:paraId="240C2785" w14:textId="77777777" w:rsidR="002F44B3" w:rsidRPr="008D3C26" w:rsidRDefault="002F44B3" w:rsidP="003F542E">
            <w:pP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346 819 (97.7%)</w:t>
            </w:r>
          </w:p>
        </w:tc>
        <w:tc>
          <w:tcPr>
            <w:tcW w:w="1428" w:type="dxa"/>
            <w:vAlign w:val="bottom"/>
          </w:tcPr>
          <w:p w14:paraId="0154EAB1" w14:textId="77777777" w:rsidR="002F44B3" w:rsidRPr="008D3C26" w:rsidRDefault="002F44B3" w:rsidP="003F542E">
            <w:pP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60%</w:t>
            </w:r>
          </w:p>
        </w:tc>
        <w:tc>
          <w:tcPr>
            <w:tcW w:w="1428" w:type="dxa"/>
            <w:vAlign w:val="bottom"/>
          </w:tcPr>
          <w:p w14:paraId="31BC45D1" w14:textId="77777777" w:rsidR="002F44B3" w:rsidRPr="008D3C26" w:rsidRDefault="002F44B3" w:rsidP="003F542E">
            <w:pPr>
              <w:rPr>
                <w:rFonts w:ascii="Times New Roman" w:eastAsia="Times New Roman" w:hAnsi="Times New Roman" w:cs="Times New Roman"/>
                <w:color w:val="000000"/>
                <w:sz w:val="24"/>
                <w:szCs w:val="24"/>
                <w:lang w:eastAsia="en-ZA"/>
              </w:rPr>
            </w:pPr>
          </w:p>
          <w:p w14:paraId="1ECF41A3" w14:textId="77777777" w:rsidR="002F44B3" w:rsidRPr="008D3C26" w:rsidRDefault="002F44B3" w:rsidP="003F542E">
            <w:pPr>
              <w:rPr>
                <w:rFonts w:ascii="Times New Roman" w:eastAsia="Times New Roman" w:hAnsi="Times New Roman" w:cs="Times New Roman"/>
                <w:color w:val="000000"/>
                <w:sz w:val="24"/>
                <w:szCs w:val="24"/>
                <w:lang w:eastAsia="en-ZA"/>
              </w:rPr>
            </w:pPr>
            <w:r w:rsidRPr="008D3C26">
              <w:rPr>
                <w:rFonts w:ascii="Times New Roman" w:eastAsia="Times New Roman" w:hAnsi="Times New Roman" w:cs="Times New Roman"/>
                <w:color w:val="000000"/>
                <w:sz w:val="24"/>
                <w:szCs w:val="24"/>
                <w:lang w:eastAsia="en-ZA"/>
              </w:rPr>
              <w:t>372 713 (98.2%)</w:t>
            </w:r>
          </w:p>
        </w:tc>
      </w:tr>
      <w:tr w:rsidR="002F44B3" w:rsidRPr="008D3C26" w14:paraId="3748EC8F" w14:textId="77777777" w:rsidTr="003F542E">
        <w:tc>
          <w:tcPr>
            <w:tcW w:w="1561" w:type="dxa"/>
            <w:shd w:val="clear" w:color="auto" w:fill="F2F2F2" w:themeFill="background1" w:themeFillShade="F2"/>
          </w:tcPr>
          <w:p w14:paraId="323E15CF"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Planning, Policy and Strategy</w:t>
            </w:r>
          </w:p>
        </w:tc>
        <w:tc>
          <w:tcPr>
            <w:tcW w:w="1428" w:type="dxa"/>
          </w:tcPr>
          <w:p w14:paraId="12D766D4" w14:textId="77777777" w:rsidR="002F44B3" w:rsidRPr="008D3C26" w:rsidRDefault="002F44B3" w:rsidP="003F542E">
            <w:pPr>
              <w:spacing w:line="360" w:lineRule="auto"/>
              <w:rPr>
                <w:rFonts w:ascii="Times New Roman" w:hAnsi="Times New Roman" w:cs="Times New Roman"/>
                <w:sz w:val="24"/>
                <w:szCs w:val="24"/>
              </w:rPr>
            </w:pPr>
          </w:p>
          <w:p w14:paraId="6C908CD2"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66%</w:t>
            </w:r>
          </w:p>
        </w:tc>
        <w:tc>
          <w:tcPr>
            <w:tcW w:w="1428" w:type="dxa"/>
          </w:tcPr>
          <w:p w14:paraId="00774685" w14:textId="77777777" w:rsidR="002F44B3" w:rsidRPr="008D3C26" w:rsidRDefault="002F44B3" w:rsidP="003F542E">
            <w:pPr>
              <w:spacing w:line="360" w:lineRule="auto"/>
              <w:rPr>
                <w:rFonts w:ascii="Times New Roman" w:hAnsi="Times New Roman" w:cs="Times New Roman"/>
                <w:sz w:val="24"/>
                <w:szCs w:val="24"/>
              </w:rPr>
            </w:pPr>
          </w:p>
          <w:p w14:paraId="7AD91FAC"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45 683 (98.2%)</w:t>
            </w:r>
          </w:p>
        </w:tc>
        <w:tc>
          <w:tcPr>
            <w:tcW w:w="1428" w:type="dxa"/>
          </w:tcPr>
          <w:p w14:paraId="76A11500" w14:textId="77777777" w:rsidR="002F44B3" w:rsidRPr="008D3C26" w:rsidRDefault="002F44B3" w:rsidP="003F542E">
            <w:pPr>
              <w:spacing w:line="360" w:lineRule="auto"/>
              <w:rPr>
                <w:rFonts w:ascii="Times New Roman" w:hAnsi="Times New Roman" w:cs="Times New Roman"/>
                <w:sz w:val="24"/>
                <w:szCs w:val="24"/>
              </w:rPr>
            </w:pPr>
          </w:p>
          <w:p w14:paraId="1CAF8E9F"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56%</w:t>
            </w:r>
          </w:p>
        </w:tc>
        <w:tc>
          <w:tcPr>
            <w:tcW w:w="1428" w:type="dxa"/>
          </w:tcPr>
          <w:p w14:paraId="15FF39B7" w14:textId="77777777" w:rsidR="002F44B3" w:rsidRPr="008D3C26" w:rsidRDefault="002F44B3" w:rsidP="003F542E">
            <w:pPr>
              <w:spacing w:line="360" w:lineRule="auto"/>
              <w:rPr>
                <w:rFonts w:ascii="Times New Roman" w:hAnsi="Times New Roman" w:cs="Times New Roman"/>
                <w:sz w:val="24"/>
                <w:szCs w:val="24"/>
              </w:rPr>
            </w:pPr>
          </w:p>
          <w:p w14:paraId="7B55CDAF"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52 019</w:t>
            </w:r>
          </w:p>
          <w:p w14:paraId="25C0B939"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 xml:space="preserve"> (94.2)</w:t>
            </w:r>
          </w:p>
        </w:tc>
        <w:tc>
          <w:tcPr>
            <w:tcW w:w="1428" w:type="dxa"/>
          </w:tcPr>
          <w:p w14:paraId="6D8E82EA" w14:textId="77777777" w:rsidR="002F44B3" w:rsidRPr="008D3C26" w:rsidRDefault="002F44B3" w:rsidP="003F542E">
            <w:pPr>
              <w:spacing w:line="360" w:lineRule="auto"/>
              <w:rPr>
                <w:rFonts w:ascii="Times New Roman" w:hAnsi="Times New Roman" w:cs="Times New Roman"/>
                <w:sz w:val="24"/>
                <w:szCs w:val="24"/>
              </w:rPr>
            </w:pPr>
          </w:p>
          <w:p w14:paraId="0F414897"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100%</w:t>
            </w:r>
          </w:p>
        </w:tc>
        <w:tc>
          <w:tcPr>
            <w:tcW w:w="1428" w:type="dxa"/>
          </w:tcPr>
          <w:p w14:paraId="568A8CD0" w14:textId="77777777" w:rsidR="002F44B3" w:rsidRPr="008D3C26" w:rsidRDefault="002F44B3" w:rsidP="003F542E">
            <w:pPr>
              <w:spacing w:line="360" w:lineRule="auto"/>
              <w:rPr>
                <w:rFonts w:ascii="Times New Roman" w:hAnsi="Times New Roman" w:cs="Times New Roman"/>
                <w:sz w:val="24"/>
                <w:szCs w:val="24"/>
              </w:rPr>
            </w:pPr>
          </w:p>
          <w:p w14:paraId="1C48FE1A"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56 816 (79.4%)</w:t>
            </w:r>
          </w:p>
        </w:tc>
      </w:tr>
      <w:tr w:rsidR="002F44B3" w:rsidRPr="008D3C26" w14:paraId="468B32E3" w14:textId="77777777" w:rsidTr="003F542E">
        <w:tc>
          <w:tcPr>
            <w:tcW w:w="1561" w:type="dxa"/>
            <w:shd w:val="clear" w:color="auto" w:fill="F2F2F2" w:themeFill="background1" w:themeFillShade="F2"/>
          </w:tcPr>
          <w:p w14:paraId="03A7FDDF"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University Education</w:t>
            </w:r>
          </w:p>
        </w:tc>
        <w:tc>
          <w:tcPr>
            <w:tcW w:w="1428" w:type="dxa"/>
          </w:tcPr>
          <w:p w14:paraId="5EC31845"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84%</w:t>
            </w:r>
          </w:p>
        </w:tc>
        <w:tc>
          <w:tcPr>
            <w:tcW w:w="1428" w:type="dxa"/>
          </w:tcPr>
          <w:p w14:paraId="7D86FB1C"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30 443 955</w:t>
            </w:r>
          </w:p>
          <w:p w14:paraId="3E5C5E87"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(100.0%)</w:t>
            </w:r>
          </w:p>
        </w:tc>
        <w:tc>
          <w:tcPr>
            <w:tcW w:w="1428" w:type="dxa"/>
          </w:tcPr>
          <w:p w14:paraId="78A33688"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90%*</w:t>
            </w:r>
          </w:p>
          <w:p w14:paraId="28700947"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76%**</w:t>
            </w:r>
          </w:p>
        </w:tc>
        <w:tc>
          <w:tcPr>
            <w:tcW w:w="1428" w:type="dxa"/>
          </w:tcPr>
          <w:p w14:paraId="6D20A4A9"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32 844 629</w:t>
            </w:r>
          </w:p>
          <w:p w14:paraId="1859C642"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(99.2%)</w:t>
            </w:r>
          </w:p>
        </w:tc>
        <w:tc>
          <w:tcPr>
            <w:tcW w:w="1428" w:type="dxa"/>
          </w:tcPr>
          <w:p w14:paraId="471783F4"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 xml:space="preserve">76%* </w:t>
            </w:r>
          </w:p>
          <w:p w14:paraId="6C2E0766"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80%**</w:t>
            </w:r>
          </w:p>
        </w:tc>
        <w:tc>
          <w:tcPr>
            <w:tcW w:w="1428" w:type="dxa"/>
          </w:tcPr>
          <w:p w14:paraId="3CDEB324"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39 515 718 (100.0%)</w:t>
            </w:r>
          </w:p>
        </w:tc>
      </w:tr>
      <w:tr w:rsidR="002F44B3" w:rsidRPr="008D3C26" w14:paraId="4FD81B73" w14:textId="77777777" w:rsidTr="003F542E">
        <w:tc>
          <w:tcPr>
            <w:tcW w:w="1561" w:type="dxa"/>
            <w:shd w:val="clear" w:color="auto" w:fill="F2F2F2" w:themeFill="background1" w:themeFillShade="F2"/>
          </w:tcPr>
          <w:p w14:paraId="652BFAE4"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Vocational Education and Training</w:t>
            </w:r>
          </w:p>
        </w:tc>
        <w:tc>
          <w:tcPr>
            <w:tcW w:w="1428" w:type="dxa"/>
          </w:tcPr>
          <w:p w14:paraId="6344E128" w14:textId="77777777" w:rsidR="002F44B3" w:rsidRPr="008D3C26" w:rsidRDefault="002F44B3" w:rsidP="003F542E">
            <w:pPr>
              <w:spacing w:line="360" w:lineRule="auto"/>
              <w:rPr>
                <w:rFonts w:ascii="Times New Roman" w:hAnsi="Times New Roman" w:cs="Times New Roman"/>
                <w:sz w:val="24"/>
                <w:szCs w:val="24"/>
              </w:rPr>
            </w:pPr>
          </w:p>
          <w:p w14:paraId="647E9DAF"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20%</w:t>
            </w:r>
          </w:p>
        </w:tc>
        <w:tc>
          <w:tcPr>
            <w:tcW w:w="1428" w:type="dxa"/>
          </w:tcPr>
          <w:p w14:paraId="687440D4" w14:textId="77777777" w:rsidR="002F44B3" w:rsidRPr="008D3C26" w:rsidRDefault="002F44B3" w:rsidP="003F542E">
            <w:pPr>
              <w:spacing w:line="360" w:lineRule="auto"/>
              <w:rPr>
                <w:rFonts w:ascii="Times New Roman" w:hAnsi="Times New Roman" w:cs="Times New Roman"/>
                <w:sz w:val="24"/>
                <w:szCs w:val="24"/>
              </w:rPr>
            </w:pPr>
          </w:p>
          <w:p w14:paraId="4EE7E154"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6 035 801</w:t>
            </w:r>
          </w:p>
          <w:p w14:paraId="30BC24F7"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(100.0%)</w:t>
            </w:r>
          </w:p>
        </w:tc>
        <w:tc>
          <w:tcPr>
            <w:tcW w:w="1428" w:type="dxa"/>
          </w:tcPr>
          <w:p w14:paraId="3CE2DC37" w14:textId="77777777" w:rsidR="002F44B3" w:rsidRPr="008D3C26" w:rsidRDefault="002F44B3" w:rsidP="003F542E">
            <w:pPr>
              <w:spacing w:line="360" w:lineRule="auto"/>
              <w:rPr>
                <w:rFonts w:ascii="Times New Roman" w:hAnsi="Times New Roman" w:cs="Times New Roman"/>
                <w:sz w:val="24"/>
                <w:szCs w:val="24"/>
              </w:rPr>
            </w:pPr>
          </w:p>
          <w:p w14:paraId="66270491"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87%*</w:t>
            </w:r>
          </w:p>
          <w:p w14:paraId="01E71FAC"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16%**</w:t>
            </w:r>
          </w:p>
        </w:tc>
        <w:tc>
          <w:tcPr>
            <w:tcW w:w="1428" w:type="dxa"/>
          </w:tcPr>
          <w:p w14:paraId="1AB6B9AA" w14:textId="77777777" w:rsidR="002F44B3" w:rsidRPr="008D3C26" w:rsidRDefault="002F44B3" w:rsidP="003F542E">
            <w:pPr>
              <w:spacing w:line="360" w:lineRule="auto"/>
              <w:rPr>
                <w:rFonts w:ascii="Times New Roman" w:hAnsi="Times New Roman" w:cs="Times New Roman"/>
                <w:sz w:val="24"/>
                <w:szCs w:val="24"/>
              </w:rPr>
            </w:pPr>
          </w:p>
          <w:p w14:paraId="6EFD80BB"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8 429 189</w:t>
            </w:r>
          </w:p>
          <w:p w14:paraId="0E406BD7"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(92.2%)</w:t>
            </w:r>
          </w:p>
        </w:tc>
        <w:tc>
          <w:tcPr>
            <w:tcW w:w="1428" w:type="dxa"/>
          </w:tcPr>
          <w:p w14:paraId="5875CBC7" w14:textId="77777777" w:rsidR="002F44B3" w:rsidRPr="008D3C26" w:rsidRDefault="002F44B3" w:rsidP="003F542E">
            <w:pPr>
              <w:spacing w:line="360" w:lineRule="auto"/>
              <w:rPr>
                <w:rFonts w:ascii="Times New Roman" w:hAnsi="Times New Roman" w:cs="Times New Roman"/>
                <w:sz w:val="24"/>
                <w:szCs w:val="24"/>
              </w:rPr>
            </w:pPr>
          </w:p>
          <w:p w14:paraId="3A1785BB"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 xml:space="preserve">73%* </w:t>
            </w:r>
          </w:p>
          <w:p w14:paraId="33723B1D"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 xml:space="preserve">8%** </w:t>
            </w:r>
          </w:p>
        </w:tc>
        <w:tc>
          <w:tcPr>
            <w:tcW w:w="1428" w:type="dxa"/>
          </w:tcPr>
          <w:p w14:paraId="40529BC1" w14:textId="77777777" w:rsidR="002F44B3" w:rsidRPr="008D3C26" w:rsidRDefault="002F44B3" w:rsidP="003F542E">
            <w:pPr>
              <w:spacing w:line="360" w:lineRule="auto"/>
              <w:rPr>
                <w:rFonts w:ascii="Times New Roman" w:hAnsi="Times New Roman" w:cs="Times New Roman"/>
                <w:sz w:val="24"/>
                <w:szCs w:val="24"/>
              </w:rPr>
            </w:pPr>
          </w:p>
          <w:p w14:paraId="3C2E1B3F"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7 029 987 (100.0%)</w:t>
            </w:r>
          </w:p>
        </w:tc>
      </w:tr>
      <w:tr w:rsidR="002F44B3" w:rsidRPr="008D3C26" w14:paraId="5F6947D7" w14:textId="77777777" w:rsidTr="003F542E">
        <w:tc>
          <w:tcPr>
            <w:tcW w:w="1561" w:type="dxa"/>
            <w:shd w:val="clear" w:color="auto" w:fill="F2F2F2" w:themeFill="background1" w:themeFillShade="F2"/>
          </w:tcPr>
          <w:p w14:paraId="30A1E345"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Skills Development</w:t>
            </w:r>
          </w:p>
        </w:tc>
        <w:tc>
          <w:tcPr>
            <w:tcW w:w="1428" w:type="dxa"/>
          </w:tcPr>
          <w:p w14:paraId="4D989566"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100%</w:t>
            </w:r>
          </w:p>
        </w:tc>
        <w:tc>
          <w:tcPr>
            <w:tcW w:w="1428" w:type="dxa"/>
          </w:tcPr>
          <w:p w14:paraId="71A840E5"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104 985 (100.0%)</w:t>
            </w:r>
          </w:p>
        </w:tc>
        <w:tc>
          <w:tcPr>
            <w:tcW w:w="1428" w:type="dxa"/>
          </w:tcPr>
          <w:p w14:paraId="5ECE7F09"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67%*</w:t>
            </w:r>
          </w:p>
          <w:p w14:paraId="32EC6133"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50%**</w:t>
            </w:r>
          </w:p>
          <w:p w14:paraId="3159AEB4" w14:textId="77777777" w:rsidR="002F44B3" w:rsidRPr="008D3C26" w:rsidRDefault="002F44B3" w:rsidP="003F542E">
            <w:pPr>
              <w:spacing w:line="360" w:lineRule="auto"/>
              <w:rPr>
                <w:rFonts w:ascii="Times New Roman" w:hAnsi="Times New Roman" w:cs="Times New Roman"/>
                <w:sz w:val="24"/>
                <w:szCs w:val="24"/>
              </w:rPr>
            </w:pPr>
          </w:p>
        </w:tc>
        <w:tc>
          <w:tcPr>
            <w:tcW w:w="1428" w:type="dxa"/>
          </w:tcPr>
          <w:p w14:paraId="58900CAD" w14:textId="77777777" w:rsidR="002F44B3" w:rsidRPr="008D3C26" w:rsidRDefault="002F44B3" w:rsidP="004C4F56">
            <w:pPr>
              <w:spacing w:line="360" w:lineRule="auto"/>
              <w:rPr>
                <w:rFonts w:ascii="Times New Roman" w:hAnsi="Times New Roman" w:cs="Times New Roman"/>
                <w:sz w:val="24"/>
                <w:szCs w:val="24"/>
              </w:rPr>
            </w:pPr>
            <w:r w:rsidRPr="008D3C26">
              <w:rPr>
                <w:rFonts w:ascii="Times New Roman" w:hAnsi="Times New Roman" w:cs="Times New Roman"/>
                <w:sz w:val="24"/>
                <w:szCs w:val="24"/>
              </w:rPr>
              <w:t>12</w:t>
            </w:r>
            <w:r w:rsidR="004C4F56" w:rsidRPr="008D3C26">
              <w:rPr>
                <w:rFonts w:ascii="Times New Roman" w:hAnsi="Times New Roman" w:cs="Times New Roman"/>
                <w:sz w:val="24"/>
                <w:szCs w:val="24"/>
              </w:rPr>
              <w:t>2</w:t>
            </w:r>
            <w:r w:rsidRPr="008D3C26">
              <w:rPr>
                <w:rFonts w:ascii="Times New Roman" w:hAnsi="Times New Roman" w:cs="Times New Roman"/>
                <w:sz w:val="24"/>
                <w:szCs w:val="24"/>
              </w:rPr>
              <w:t> </w:t>
            </w:r>
            <w:r w:rsidR="004C4F56" w:rsidRPr="008D3C26">
              <w:rPr>
                <w:rFonts w:ascii="Times New Roman" w:hAnsi="Times New Roman" w:cs="Times New Roman"/>
                <w:sz w:val="24"/>
                <w:szCs w:val="24"/>
              </w:rPr>
              <w:t>898</w:t>
            </w:r>
            <w:r w:rsidRPr="008D3C26">
              <w:rPr>
                <w:rFonts w:ascii="Times New Roman" w:hAnsi="Times New Roman" w:cs="Times New Roman"/>
                <w:sz w:val="24"/>
                <w:szCs w:val="24"/>
              </w:rPr>
              <w:t xml:space="preserve"> (99.5%)</w:t>
            </w:r>
          </w:p>
        </w:tc>
        <w:tc>
          <w:tcPr>
            <w:tcW w:w="1428" w:type="dxa"/>
          </w:tcPr>
          <w:p w14:paraId="29432828"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 xml:space="preserve">100%* </w:t>
            </w:r>
          </w:p>
          <w:p w14:paraId="1068622C"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 xml:space="preserve">80%** </w:t>
            </w:r>
          </w:p>
        </w:tc>
        <w:tc>
          <w:tcPr>
            <w:tcW w:w="1428" w:type="dxa"/>
          </w:tcPr>
          <w:p w14:paraId="0F8AEB15"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180 635 (99.6%)</w:t>
            </w:r>
          </w:p>
        </w:tc>
      </w:tr>
      <w:tr w:rsidR="002F44B3" w:rsidRPr="008D3C26" w14:paraId="2CA93DF4" w14:textId="77777777" w:rsidTr="003F542E">
        <w:tc>
          <w:tcPr>
            <w:tcW w:w="1561" w:type="dxa"/>
            <w:shd w:val="clear" w:color="auto" w:fill="F2F2F2" w:themeFill="background1" w:themeFillShade="F2"/>
          </w:tcPr>
          <w:p w14:paraId="64F5DA52"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lastRenderedPageBreak/>
              <w:t>Community Education and Training</w:t>
            </w:r>
          </w:p>
        </w:tc>
        <w:tc>
          <w:tcPr>
            <w:tcW w:w="1428" w:type="dxa"/>
          </w:tcPr>
          <w:p w14:paraId="46C5661D" w14:textId="77777777" w:rsidR="002F44B3" w:rsidRPr="008D3C26" w:rsidRDefault="002F44B3" w:rsidP="003F542E">
            <w:pPr>
              <w:spacing w:line="360" w:lineRule="auto"/>
              <w:rPr>
                <w:rFonts w:ascii="Times New Roman" w:hAnsi="Times New Roman" w:cs="Times New Roman"/>
                <w:sz w:val="24"/>
                <w:szCs w:val="24"/>
              </w:rPr>
            </w:pPr>
          </w:p>
          <w:p w14:paraId="1DEB36B6"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w:t>
            </w:r>
          </w:p>
        </w:tc>
        <w:tc>
          <w:tcPr>
            <w:tcW w:w="1428" w:type="dxa"/>
          </w:tcPr>
          <w:p w14:paraId="639EA53A" w14:textId="77777777" w:rsidR="002F44B3" w:rsidRPr="008D3C26" w:rsidRDefault="002F44B3" w:rsidP="003F542E">
            <w:pPr>
              <w:spacing w:line="360" w:lineRule="auto"/>
              <w:rPr>
                <w:rFonts w:ascii="Times New Roman" w:hAnsi="Times New Roman" w:cs="Times New Roman"/>
                <w:sz w:val="24"/>
                <w:szCs w:val="24"/>
              </w:rPr>
            </w:pPr>
          </w:p>
          <w:p w14:paraId="58359C5A"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w:t>
            </w:r>
          </w:p>
        </w:tc>
        <w:tc>
          <w:tcPr>
            <w:tcW w:w="1428" w:type="dxa"/>
          </w:tcPr>
          <w:p w14:paraId="1BBC1352" w14:textId="77777777" w:rsidR="002F44B3" w:rsidRPr="008D3C26" w:rsidRDefault="002F44B3" w:rsidP="003F542E">
            <w:pPr>
              <w:spacing w:line="360" w:lineRule="auto"/>
              <w:rPr>
                <w:rFonts w:ascii="Times New Roman" w:hAnsi="Times New Roman" w:cs="Times New Roman"/>
                <w:sz w:val="24"/>
                <w:szCs w:val="24"/>
              </w:rPr>
            </w:pPr>
          </w:p>
          <w:p w14:paraId="193DF67A" w14:textId="77777777" w:rsidR="002F44B3" w:rsidRPr="008D3C26" w:rsidRDefault="002F44B3" w:rsidP="002F44B3">
            <w:pPr>
              <w:pStyle w:val="ListParagraph"/>
              <w:numPr>
                <w:ilvl w:val="0"/>
                <w:numId w:val="9"/>
              </w:numPr>
              <w:spacing w:line="360" w:lineRule="auto"/>
              <w:rPr>
                <w:rFonts w:ascii="Times New Roman" w:hAnsi="Times New Roman" w:cs="Times New Roman"/>
                <w:sz w:val="24"/>
                <w:szCs w:val="24"/>
              </w:rPr>
            </w:pPr>
          </w:p>
        </w:tc>
        <w:tc>
          <w:tcPr>
            <w:tcW w:w="1428" w:type="dxa"/>
          </w:tcPr>
          <w:p w14:paraId="792556F2" w14:textId="77777777" w:rsidR="002F44B3" w:rsidRPr="008D3C26" w:rsidRDefault="002F44B3" w:rsidP="003F542E">
            <w:pPr>
              <w:spacing w:line="360" w:lineRule="auto"/>
              <w:rPr>
                <w:rFonts w:ascii="Times New Roman" w:hAnsi="Times New Roman" w:cs="Times New Roman"/>
                <w:sz w:val="24"/>
                <w:szCs w:val="24"/>
              </w:rPr>
            </w:pPr>
          </w:p>
          <w:p w14:paraId="28857DB3" w14:textId="77777777" w:rsidR="002F44B3" w:rsidRPr="008D3C26" w:rsidRDefault="002F44B3" w:rsidP="002F44B3">
            <w:pPr>
              <w:pStyle w:val="ListParagraph"/>
              <w:numPr>
                <w:ilvl w:val="0"/>
                <w:numId w:val="9"/>
              </w:numPr>
              <w:spacing w:line="360" w:lineRule="auto"/>
              <w:rPr>
                <w:rFonts w:ascii="Times New Roman" w:hAnsi="Times New Roman" w:cs="Times New Roman"/>
                <w:sz w:val="24"/>
                <w:szCs w:val="24"/>
              </w:rPr>
            </w:pPr>
          </w:p>
        </w:tc>
        <w:tc>
          <w:tcPr>
            <w:tcW w:w="1428" w:type="dxa"/>
          </w:tcPr>
          <w:p w14:paraId="2433F234" w14:textId="77777777" w:rsidR="002F44B3" w:rsidRPr="008D3C26" w:rsidRDefault="002F44B3" w:rsidP="003F542E">
            <w:pPr>
              <w:spacing w:line="360" w:lineRule="auto"/>
              <w:rPr>
                <w:rFonts w:ascii="Times New Roman" w:hAnsi="Times New Roman" w:cs="Times New Roman"/>
                <w:sz w:val="24"/>
                <w:szCs w:val="24"/>
              </w:rPr>
            </w:pPr>
          </w:p>
          <w:p w14:paraId="77DF74E0"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71%*</w:t>
            </w:r>
          </w:p>
          <w:p w14:paraId="5293BA39"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0%**</w:t>
            </w:r>
          </w:p>
        </w:tc>
        <w:tc>
          <w:tcPr>
            <w:tcW w:w="1428" w:type="dxa"/>
          </w:tcPr>
          <w:p w14:paraId="085BF87F" w14:textId="77777777" w:rsidR="002F44B3" w:rsidRPr="008D3C26" w:rsidRDefault="002F44B3" w:rsidP="003F542E">
            <w:pPr>
              <w:spacing w:line="360" w:lineRule="auto"/>
              <w:rPr>
                <w:rFonts w:ascii="Times New Roman" w:hAnsi="Times New Roman" w:cs="Times New Roman"/>
                <w:sz w:val="24"/>
                <w:szCs w:val="24"/>
              </w:rPr>
            </w:pPr>
          </w:p>
          <w:p w14:paraId="4B58E72B"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sz w:val="24"/>
                <w:szCs w:val="24"/>
              </w:rPr>
              <w:t>1 981 693 (99.5)</w:t>
            </w:r>
          </w:p>
        </w:tc>
      </w:tr>
      <w:tr w:rsidR="002F44B3" w:rsidRPr="008D3C26" w14:paraId="0A1D51BC" w14:textId="77777777" w:rsidTr="003F542E">
        <w:tc>
          <w:tcPr>
            <w:tcW w:w="1561" w:type="dxa"/>
          </w:tcPr>
          <w:p w14:paraId="73BA919B"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 xml:space="preserve">Total </w:t>
            </w:r>
          </w:p>
        </w:tc>
        <w:tc>
          <w:tcPr>
            <w:tcW w:w="1428" w:type="dxa"/>
          </w:tcPr>
          <w:p w14:paraId="5770CA96"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72%</w:t>
            </w:r>
          </w:p>
        </w:tc>
        <w:tc>
          <w:tcPr>
            <w:tcW w:w="1428" w:type="dxa"/>
          </w:tcPr>
          <w:p w14:paraId="1D18D042"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36 865 521</w:t>
            </w:r>
          </w:p>
          <w:p w14:paraId="5BFA3FCD"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b/>
                <w:sz w:val="24"/>
                <w:szCs w:val="24"/>
              </w:rPr>
              <w:t>(100.0%)</w:t>
            </w:r>
          </w:p>
        </w:tc>
        <w:tc>
          <w:tcPr>
            <w:tcW w:w="1428" w:type="dxa"/>
          </w:tcPr>
          <w:p w14:paraId="2A6E94C8"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75%*</w:t>
            </w:r>
          </w:p>
          <w:p w14:paraId="6F4E996A"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51%**</w:t>
            </w:r>
          </w:p>
        </w:tc>
        <w:tc>
          <w:tcPr>
            <w:tcW w:w="1428" w:type="dxa"/>
          </w:tcPr>
          <w:p w14:paraId="356072C4"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41 795 554</w:t>
            </w:r>
          </w:p>
          <w:p w14:paraId="501F9B66"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b/>
                <w:sz w:val="24"/>
                <w:szCs w:val="24"/>
              </w:rPr>
              <w:t>(99.8%)</w:t>
            </w:r>
          </w:p>
        </w:tc>
        <w:tc>
          <w:tcPr>
            <w:tcW w:w="1428" w:type="dxa"/>
          </w:tcPr>
          <w:p w14:paraId="67997BDB"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80%*</w:t>
            </w:r>
          </w:p>
          <w:p w14:paraId="06317EAB"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53%**</w:t>
            </w:r>
          </w:p>
        </w:tc>
        <w:tc>
          <w:tcPr>
            <w:tcW w:w="1428" w:type="dxa"/>
          </w:tcPr>
          <w:p w14:paraId="33D50E22" w14:textId="77777777" w:rsidR="002F44B3" w:rsidRPr="008D3C26" w:rsidRDefault="002F44B3" w:rsidP="003F542E">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49 137 562</w:t>
            </w:r>
          </w:p>
          <w:p w14:paraId="0F8C080B" w14:textId="77777777" w:rsidR="002F44B3" w:rsidRPr="008D3C26" w:rsidRDefault="002F44B3" w:rsidP="003F542E">
            <w:pPr>
              <w:spacing w:line="360" w:lineRule="auto"/>
              <w:rPr>
                <w:rFonts w:ascii="Times New Roman" w:hAnsi="Times New Roman" w:cs="Times New Roman"/>
                <w:sz w:val="24"/>
                <w:szCs w:val="24"/>
              </w:rPr>
            </w:pPr>
            <w:r w:rsidRPr="008D3C26">
              <w:rPr>
                <w:rFonts w:ascii="Times New Roman" w:hAnsi="Times New Roman" w:cs="Times New Roman"/>
                <w:b/>
                <w:sz w:val="24"/>
                <w:szCs w:val="24"/>
              </w:rPr>
              <w:t>99.9%</w:t>
            </w:r>
          </w:p>
        </w:tc>
      </w:tr>
    </w:tbl>
    <w:p w14:paraId="21D55491" w14:textId="77777777" w:rsidR="002F44B3" w:rsidRPr="008D3C26" w:rsidRDefault="002F44B3" w:rsidP="002F44B3">
      <w:pPr>
        <w:rPr>
          <w:rFonts w:ascii="Times New Roman" w:hAnsi="Times New Roman" w:cs="Times New Roman"/>
          <w:sz w:val="24"/>
          <w:szCs w:val="24"/>
        </w:rPr>
      </w:pPr>
      <w:r w:rsidRPr="008D3C26">
        <w:rPr>
          <w:rFonts w:ascii="Times New Roman" w:hAnsi="Times New Roman" w:cs="Times New Roman"/>
          <w:sz w:val="24"/>
          <w:szCs w:val="24"/>
        </w:rPr>
        <w:t xml:space="preserve">Note: All percentages identified with * in the above table are </w:t>
      </w:r>
      <w:r w:rsidR="00CE064E" w:rsidRPr="008D3C26">
        <w:rPr>
          <w:rFonts w:ascii="Times New Roman" w:hAnsi="Times New Roman" w:cs="Times New Roman"/>
          <w:sz w:val="24"/>
          <w:szCs w:val="24"/>
        </w:rPr>
        <w:t>Departmental targets</w:t>
      </w:r>
      <w:r w:rsidRPr="008D3C26">
        <w:rPr>
          <w:rFonts w:ascii="Times New Roman" w:hAnsi="Times New Roman" w:cs="Times New Roman"/>
          <w:sz w:val="24"/>
          <w:szCs w:val="24"/>
        </w:rPr>
        <w:t xml:space="preserve"> (interventions by the Department for the Post-School Education and Training System) and ** are system performance (expected outcomes resulting from the interventions by the Department). </w:t>
      </w:r>
    </w:p>
    <w:p w14:paraId="101A0C28" w14:textId="77777777" w:rsidR="002A73A0" w:rsidRPr="008D3C26" w:rsidRDefault="002F44B3" w:rsidP="002F44B3">
      <w:pPr>
        <w:rPr>
          <w:rFonts w:ascii="Times New Roman" w:hAnsi="Times New Roman" w:cs="Times New Roman"/>
          <w:sz w:val="24"/>
          <w:szCs w:val="24"/>
        </w:rPr>
      </w:pPr>
      <w:r w:rsidRPr="008D3C26">
        <w:rPr>
          <w:rFonts w:ascii="Times New Roman" w:hAnsi="Times New Roman" w:cs="Times New Roman"/>
          <w:sz w:val="24"/>
          <w:szCs w:val="24"/>
        </w:rPr>
        <w:t xml:space="preserve">The Department’s overall performance on </w:t>
      </w:r>
      <w:r w:rsidR="00CE064E" w:rsidRPr="008D3C26">
        <w:rPr>
          <w:rFonts w:ascii="Times New Roman" w:hAnsi="Times New Roman" w:cs="Times New Roman"/>
          <w:sz w:val="24"/>
          <w:szCs w:val="24"/>
        </w:rPr>
        <w:t>Departmental targets</w:t>
      </w:r>
      <w:r w:rsidRPr="008D3C26">
        <w:rPr>
          <w:rFonts w:ascii="Times New Roman" w:hAnsi="Times New Roman" w:cs="Times New Roman"/>
          <w:sz w:val="24"/>
          <w:szCs w:val="24"/>
        </w:rPr>
        <w:t xml:space="preserve"> has been increasing over a three-year period from 2014/15 to 2016/17. For the year under review, the Department had 70 targets (</w:t>
      </w:r>
      <w:r w:rsidR="00CE064E" w:rsidRPr="008D3C26">
        <w:rPr>
          <w:rFonts w:ascii="Times New Roman" w:hAnsi="Times New Roman" w:cs="Times New Roman"/>
          <w:sz w:val="24"/>
          <w:szCs w:val="24"/>
        </w:rPr>
        <w:t>Departmental targets</w:t>
      </w:r>
      <w:r w:rsidRPr="008D3C26">
        <w:rPr>
          <w:rFonts w:ascii="Times New Roman" w:hAnsi="Times New Roman" w:cs="Times New Roman"/>
          <w:sz w:val="24"/>
          <w:szCs w:val="24"/>
        </w:rPr>
        <w:t>) and 34 systems (NDP/MTSF) related targets.</w:t>
      </w:r>
      <w:r w:rsidR="004C4F56"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The performance has increased by 8 per cent from </w:t>
      </w:r>
      <w:r w:rsidR="00CE064E" w:rsidRPr="008D3C26">
        <w:rPr>
          <w:rFonts w:ascii="Times New Roman" w:hAnsi="Times New Roman" w:cs="Times New Roman"/>
          <w:sz w:val="24"/>
          <w:szCs w:val="24"/>
        </w:rPr>
        <w:t xml:space="preserve">the </w:t>
      </w:r>
      <w:r w:rsidRPr="008D3C26">
        <w:rPr>
          <w:rFonts w:ascii="Times New Roman" w:hAnsi="Times New Roman" w:cs="Times New Roman"/>
          <w:sz w:val="24"/>
          <w:szCs w:val="24"/>
        </w:rPr>
        <w:t>2014/1</w:t>
      </w:r>
      <w:r w:rsidR="004C4F56" w:rsidRPr="008D3C26">
        <w:rPr>
          <w:rFonts w:ascii="Times New Roman" w:hAnsi="Times New Roman" w:cs="Times New Roman"/>
          <w:sz w:val="24"/>
          <w:szCs w:val="24"/>
        </w:rPr>
        <w:t>5</w:t>
      </w:r>
      <w:r w:rsidRPr="008D3C26">
        <w:rPr>
          <w:rFonts w:ascii="Times New Roman" w:hAnsi="Times New Roman" w:cs="Times New Roman"/>
          <w:sz w:val="24"/>
          <w:szCs w:val="24"/>
        </w:rPr>
        <w:t xml:space="preserve"> financial year to 80 per cent in 2016/17. In terms of programme performance, programme 1: Administration, 2: Planning, Policy and Strat</w:t>
      </w:r>
      <w:r w:rsidR="00100A53" w:rsidRPr="008D3C26">
        <w:rPr>
          <w:rFonts w:ascii="Times New Roman" w:hAnsi="Times New Roman" w:cs="Times New Roman"/>
          <w:sz w:val="24"/>
          <w:szCs w:val="24"/>
        </w:rPr>
        <w:t>egy and 5: Skills Development had</w:t>
      </w:r>
      <w:r w:rsidRPr="008D3C26">
        <w:rPr>
          <w:rFonts w:ascii="Times New Roman" w:hAnsi="Times New Roman" w:cs="Times New Roman"/>
          <w:sz w:val="24"/>
          <w:szCs w:val="24"/>
        </w:rPr>
        <w:t xml:space="preserve"> improved their performance significantly, with programme 2 and 5 achieving 100 per cent of the planned targets. Of concern to note is that for the 2016/17 financial year, programme 1: Administration has achi</w:t>
      </w:r>
      <w:r w:rsidR="004C0969" w:rsidRPr="008D3C26">
        <w:rPr>
          <w:rFonts w:ascii="Times New Roman" w:hAnsi="Times New Roman" w:cs="Times New Roman"/>
          <w:sz w:val="24"/>
          <w:szCs w:val="24"/>
        </w:rPr>
        <w:t>eved 60 per cent of the targets.</w:t>
      </w:r>
      <w:r w:rsidRPr="008D3C26">
        <w:rPr>
          <w:rFonts w:ascii="Times New Roman" w:hAnsi="Times New Roman" w:cs="Times New Roman"/>
          <w:sz w:val="24"/>
          <w:szCs w:val="24"/>
        </w:rPr>
        <w:t xml:space="preserve"> </w:t>
      </w:r>
      <w:r w:rsidR="004C0969" w:rsidRPr="008D3C26">
        <w:rPr>
          <w:rFonts w:ascii="Times New Roman" w:hAnsi="Times New Roman" w:cs="Times New Roman"/>
          <w:sz w:val="24"/>
          <w:szCs w:val="24"/>
        </w:rPr>
        <w:t>H</w:t>
      </w:r>
      <w:r w:rsidRPr="008D3C26">
        <w:rPr>
          <w:rFonts w:ascii="Times New Roman" w:hAnsi="Times New Roman" w:cs="Times New Roman"/>
          <w:sz w:val="24"/>
          <w:szCs w:val="24"/>
        </w:rPr>
        <w:t xml:space="preserve">owever, the spending was 99.2 per cent of the total allocated budget. It is also critical to note that performance on </w:t>
      </w:r>
      <w:r w:rsidR="00CE064E" w:rsidRPr="008D3C26">
        <w:rPr>
          <w:rFonts w:ascii="Times New Roman" w:hAnsi="Times New Roman" w:cs="Times New Roman"/>
          <w:sz w:val="24"/>
          <w:szCs w:val="24"/>
        </w:rPr>
        <w:t>Departmental targets</w:t>
      </w:r>
      <w:r w:rsidRPr="008D3C26">
        <w:rPr>
          <w:rFonts w:ascii="Times New Roman" w:hAnsi="Times New Roman" w:cs="Times New Roman"/>
          <w:sz w:val="24"/>
          <w:szCs w:val="24"/>
        </w:rPr>
        <w:t xml:space="preserve"> of programmes 3: University Education and 4: Technical and Vocational Education and Training had decreased from 90 per cent and 87 per cent in 2015/16 to 76 and 73 per cent in 2016/17 respectively.</w:t>
      </w:r>
      <w:r w:rsidR="002A73A0"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Programme 4: TVET achieved 73 per cent of the </w:t>
      </w:r>
      <w:r w:rsidR="00CE064E" w:rsidRPr="008D3C26">
        <w:rPr>
          <w:rFonts w:ascii="Times New Roman" w:hAnsi="Times New Roman" w:cs="Times New Roman"/>
          <w:sz w:val="24"/>
          <w:szCs w:val="24"/>
        </w:rPr>
        <w:t>Departmental targets</w:t>
      </w:r>
      <w:r w:rsidR="002A73A0" w:rsidRPr="008D3C26">
        <w:rPr>
          <w:rFonts w:ascii="Times New Roman" w:hAnsi="Times New Roman" w:cs="Times New Roman"/>
          <w:sz w:val="24"/>
          <w:szCs w:val="24"/>
        </w:rPr>
        <w:t>.</w:t>
      </w:r>
      <w:r w:rsidRPr="008D3C26">
        <w:rPr>
          <w:rFonts w:ascii="Times New Roman" w:hAnsi="Times New Roman" w:cs="Times New Roman"/>
          <w:sz w:val="24"/>
          <w:szCs w:val="24"/>
        </w:rPr>
        <w:t xml:space="preserve"> </w:t>
      </w:r>
    </w:p>
    <w:p w14:paraId="525106F7" w14:textId="77777777" w:rsidR="00BD71E6" w:rsidRPr="008D3C26" w:rsidRDefault="002F44B3" w:rsidP="009724AD">
      <w:pPr>
        <w:rPr>
          <w:rFonts w:ascii="Times New Roman" w:hAnsi="Times New Roman" w:cs="Times New Roman"/>
          <w:sz w:val="24"/>
          <w:szCs w:val="24"/>
        </w:rPr>
      </w:pPr>
      <w:r w:rsidRPr="008D3C26">
        <w:rPr>
          <w:rFonts w:ascii="Times New Roman" w:hAnsi="Times New Roman" w:cs="Times New Roman"/>
          <w:sz w:val="24"/>
          <w:szCs w:val="24"/>
        </w:rPr>
        <w:t>In terms of system performance, there is a decrease</w:t>
      </w:r>
      <w:r w:rsidR="002A73A0" w:rsidRPr="008D3C26">
        <w:rPr>
          <w:rFonts w:ascii="Times New Roman" w:hAnsi="Times New Roman" w:cs="Times New Roman"/>
          <w:sz w:val="24"/>
          <w:szCs w:val="24"/>
        </w:rPr>
        <w:t xml:space="preserve"> of one</w:t>
      </w:r>
      <w:r w:rsidRPr="008D3C26">
        <w:rPr>
          <w:rFonts w:ascii="Times New Roman" w:hAnsi="Times New Roman" w:cs="Times New Roman"/>
          <w:sz w:val="24"/>
          <w:szCs w:val="24"/>
        </w:rPr>
        <w:t xml:space="preserve"> per cent recorded in 2016/17 from 51 per cent achieved in 2015/16. This was mainly </w:t>
      </w:r>
      <w:r w:rsidR="000B0557" w:rsidRPr="008D3C26">
        <w:rPr>
          <w:rFonts w:ascii="Times New Roman" w:hAnsi="Times New Roman" w:cs="Times New Roman"/>
          <w:sz w:val="24"/>
          <w:szCs w:val="24"/>
        </w:rPr>
        <w:t xml:space="preserve">due to </w:t>
      </w:r>
      <w:r w:rsidRPr="008D3C26">
        <w:rPr>
          <w:rFonts w:ascii="Times New Roman" w:hAnsi="Times New Roman" w:cs="Times New Roman"/>
          <w:sz w:val="24"/>
          <w:szCs w:val="24"/>
        </w:rPr>
        <w:t xml:space="preserve">unavailability of data for the targets planned for programmes 4 and 6. Of </w:t>
      </w:r>
      <w:r w:rsidR="004C4F56" w:rsidRPr="008D3C26">
        <w:rPr>
          <w:rFonts w:ascii="Times New Roman" w:hAnsi="Times New Roman" w:cs="Times New Roman"/>
          <w:sz w:val="24"/>
          <w:szCs w:val="24"/>
        </w:rPr>
        <w:t>significance</w:t>
      </w:r>
      <w:r w:rsidRPr="008D3C26">
        <w:rPr>
          <w:rFonts w:ascii="Times New Roman" w:hAnsi="Times New Roman" w:cs="Times New Roman"/>
          <w:sz w:val="24"/>
          <w:szCs w:val="24"/>
        </w:rPr>
        <w:t xml:space="preserve"> to note is that these targets that were not reported on are NDP/MTSF related targets. Programme 3: University Education and 5: Skills </w:t>
      </w:r>
      <w:r w:rsidR="004C0969" w:rsidRPr="008D3C26">
        <w:rPr>
          <w:rFonts w:ascii="Times New Roman" w:hAnsi="Times New Roman" w:cs="Times New Roman"/>
          <w:sz w:val="24"/>
          <w:szCs w:val="24"/>
        </w:rPr>
        <w:t>Development</w:t>
      </w:r>
      <w:r w:rsidRPr="008D3C26">
        <w:rPr>
          <w:rFonts w:ascii="Times New Roman" w:hAnsi="Times New Roman" w:cs="Times New Roman"/>
          <w:sz w:val="24"/>
          <w:szCs w:val="24"/>
        </w:rPr>
        <w:t xml:space="preserve"> ha</w:t>
      </w:r>
      <w:r w:rsidR="00100A53" w:rsidRPr="008D3C26">
        <w:rPr>
          <w:rFonts w:ascii="Times New Roman" w:hAnsi="Times New Roman" w:cs="Times New Roman"/>
          <w:sz w:val="24"/>
          <w:szCs w:val="24"/>
        </w:rPr>
        <w:t>d</w:t>
      </w:r>
      <w:r w:rsidRPr="008D3C26">
        <w:rPr>
          <w:rFonts w:ascii="Times New Roman" w:hAnsi="Times New Roman" w:cs="Times New Roman"/>
          <w:sz w:val="24"/>
          <w:szCs w:val="24"/>
        </w:rPr>
        <w:t xml:space="preserve"> recorded increases in the performance of system targets, which increase</w:t>
      </w:r>
      <w:r w:rsidR="004C0969" w:rsidRPr="008D3C26">
        <w:rPr>
          <w:rFonts w:ascii="Times New Roman" w:hAnsi="Times New Roman" w:cs="Times New Roman"/>
          <w:sz w:val="24"/>
          <w:szCs w:val="24"/>
        </w:rPr>
        <w:t>d</w:t>
      </w:r>
      <w:r w:rsidRPr="008D3C26">
        <w:rPr>
          <w:rFonts w:ascii="Times New Roman" w:hAnsi="Times New Roman" w:cs="Times New Roman"/>
          <w:sz w:val="24"/>
          <w:szCs w:val="24"/>
        </w:rPr>
        <w:t xml:space="preserve"> by 4 and 30 per cent from 76 and 50 per cent recorded in 2015/16 respectively.  </w:t>
      </w:r>
    </w:p>
    <w:p w14:paraId="0985008F" w14:textId="77777777" w:rsidR="00E01B75" w:rsidRPr="008D3C26" w:rsidRDefault="00E01B75" w:rsidP="009724AD">
      <w:pPr>
        <w:rPr>
          <w:rFonts w:ascii="Times New Roman" w:hAnsi="Times New Roman" w:cs="Times New Roman"/>
          <w:b/>
          <w:sz w:val="24"/>
          <w:szCs w:val="24"/>
        </w:rPr>
      </w:pPr>
      <w:r w:rsidRPr="008D3C26">
        <w:rPr>
          <w:rFonts w:ascii="Times New Roman" w:hAnsi="Times New Roman" w:cs="Times New Roman"/>
          <w:b/>
          <w:sz w:val="24"/>
          <w:szCs w:val="24"/>
        </w:rPr>
        <w:t>5.</w:t>
      </w:r>
      <w:r w:rsidR="001129A1" w:rsidRPr="008D3C26">
        <w:rPr>
          <w:rFonts w:ascii="Times New Roman" w:hAnsi="Times New Roman" w:cs="Times New Roman"/>
          <w:b/>
          <w:sz w:val="24"/>
          <w:szCs w:val="24"/>
        </w:rPr>
        <w:t>2</w:t>
      </w:r>
      <w:r w:rsidRPr="008D3C26">
        <w:rPr>
          <w:rFonts w:ascii="Times New Roman" w:hAnsi="Times New Roman" w:cs="Times New Roman"/>
          <w:b/>
          <w:sz w:val="24"/>
          <w:szCs w:val="24"/>
        </w:rPr>
        <w:t>. Overview of programme service delivery performance</w:t>
      </w:r>
    </w:p>
    <w:p w14:paraId="4E7324B9" w14:textId="77777777" w:rsidR="00E01B75" w:rsidRPr="008D3C26" w:rsidRDefault="00590DE5" w:rsidP="00E01B75">
      <w:pPr>
        <w:rPr>
          <w:rFonts w:ascii="Times New Roman" w:hAnsi="Times New Roman" w:cs="Times New Roman"/>
          <w:b/>
          <w:sz w:val="24"/>
          <w:szCs w:val="24"/>
        </w:rPr>
      </w:pPr>
      <w:r w:rsidRPr="008D3C26">
        <w:rPr>
          <w:rFonts w:ascii="Times New Roman" w:hAnsi="Times New Roman" w:cs="Times New Roman"/>
          <w:b/>
          <w:sz w:val="24"/>
          <w:szCs w:val="24"/>
        </w:rPr>
        <w:t>5.</w:t>
      </w:r>
      <w:r w:rsidR="008811BF" w:rsidRPr="008D3C26">
        <w:rPr>
          <w:rFonts w:ascii="Times New Roman" w:hAnsi="Times New Roman" w:cs="Times New Roman"/>
          <w:b/>
          <w:sz w:val="24"/>
          <w:szCs w:val="24"/>
        </w:rPr>
        <w:t>2</w:t>
      </w:r>
      <w:r w:rsidRPr="008D3C26">
        <w:rPr>
          <w:rFonts w:ascii="Times New Roman" w:hAnsi="Times New Roman" w:cs="Times New Roman"/>
          <w:b/>
          <w:sz w:val="24"/>
          <w:szCs w:val="24"/>
        </w:rPr>
        <w:t xml:space="preserve">.1. </w:t>
      </w:r>
      <w:r w:rsidR="00E01B75" w:rsidRPr="008D3C26">
        <w:rPr>
          <w:rFonts w:ascii="Times New Roman" w:hAnsi="Times New Roman" w:cs="Times New Roman"/>
          <w:b/>
          <w:sz w:val="24"/>
          <w:szCs w:val="24"/>
        </w:rPr>
        <w:t>Programme 1: Administration</w:t>
      </w:r>
    </w:p>
    <w:p w14:paraId="32549E95" w14:textId="77777777" w:rsidR="002F44B3" w:rsidRPr="008D3C26" w:rsidRDefault="003C07DB" w:rsidP="002F44B3">
      <w:pPr>
        <w:rPr>
          <w:rFonts w:ascii="Times New Roman" w:hAnsi="Times New Roman" w:cs="Times New Roman"/>
          <w:sz w:val="24"/>
          <w:szCs w:val="24"/>
        </w:rPr>
      </w:pPr>
      <w:r w:rsidRPr="008D3C26">
        <w:rPr>
          <w:rFonts w:ascii="Times New Roman" w:hAnsi="Times New Roman" w:cs="Times New Roman"/>
          <w:sz w:val="24"/>
          <w:szCs w:val="24"/>
        </w:rPr>
        <w:t>The purpose of this programme is to provide strategic leadership, management and support services to the Department</w:t>
      </w:r>
      <w:r w:rsidR="002F44B3" w:rsidRPr="008D3C26">
        <w:rPr>
          <w:rFonts w:ascii="Times New Roman" w:hAnsi="Times New Roman" w:cs="Times New Roman"/>
          <w:sz w:val="24"/>
          <w:szCs w:val="24"/>
        </w:rPr>
        <w:t xml:space="preserve">. The programme had </w:t>
      </w:r>
      <w:r w:rsidR="004C0969" w:rsidRPr="008D3C26">
        <w:rPr>
          <w:rFonts w:ascii="Times New Roman" w:hAnsi="Times New Roman" w:cs="Times New Roman"/>
          <w:sz w:val="24"/>
          <w:szCs w:val="24"/>
        </w:rPr>
        <w:t>three</w:t>
      </w:r>
      <w:r w:rsidR="002F44B3" w:rsidRPr="008D3C26">
        <w:rPr>
          <w:rFonts w:ascii="Times New Roman" w:hAnsi="Times New Roman" w:cs="Times New Roman"/>
          <w:sz w:val="24"/>
          <w:szCs w:val="24"/>
        </w:rPr>
        <w:t xml:space="preserve"> strategic objectives: to ensure effective </w:t>
      </w:r>
      <w:r w:rsidR="002F44B3" w:rsidRPr="008D3C26">
        <w:rPr>
          <w:rFonts w:ascii="Times New Roman" w:hAnsi="Times New Roman" w:cs="Times New Roman"/>
          <w:sz w:val="24"/>
          <w:szCs w:val="24"/>
        </w:rPr>
        <w:lastRenderedPageBreak/>
        <w:t>financial management; including management accounting, financial accounting and supply chain management in line with the requirements of the Public Finance Management Act (PMFA); and to improve efficiency through the development of approved annual information communication technology (ICT) procurement plans for the implementation of the necessary information technology infrastructure and systems.</w:t>
      </w:r>
    </w:p>
    <w:p w14:paraId="735477A4" w14:textId="77777777" w:rsidR="002F44B3" w:rsidRPr="008D3C26" w:rsidRDefault="002F44B3" w:rsidP="002F44B3">
      <w:pPr>
        <w:rPr>
          <w:rFonts w:ascii="Times New Roman" w:hAnsi="Times New Roman" w:cs="Times New Roman"/>
          <w:sz w:val="24"/>
          <w:szCs w:val="24"/>
        </w:rPr>
      </w:pPr>
      <w:r w:rsidRPr="008D3C26">
        <w:rPr>
          <w:rFonts w:ascii="Times New Roman" w:hAnsi="Times New Roman" w:cs="Times New Roman"/>
          <w:sz w:val="24"/>
          <w:szCs w:val="24"/>
        </w:rPr>
        <w:t xml:space="preserve">For the year under review, the programme had </w:t>
      </w:r>
      <w:r w:rsidR="000968AF" w:rsidRPr="008D3C26">
        <w:rPr>
          <w:rFonts w:ascii="Times New Roman" w:hAnsi="Times New Roman" w:cs="Times New Roman"/>
          <w:sz w:val="24"/>
          <w:szCs w:val="24"/>
        </w:rPr>
        <w:t xml:space="preserve">planned to deliver </w:t>
      </w:r>
      <w:r w:rsidRPr="008D3C26">
        <w:rPr>
          <w:rFonts w:ascii="Times New Roman" w:hAnsi="Times New Roman" w:cs="Times New Roman"/>
          <w:sz w:val="24"/>
          <w:szCs w:val="24"/>
        </w:rPr>
        <w:t xml:space="preserve">five (5) targets, </w:t>
      </w:r>
      <w:r w:rsidR="002D48B2" w:rsidRPr="008D3C26">
        <w:rPr>
          <w:rFonts w:ascii="Times New Roman" w:hAnsi="Times New Roman" w:cs="Times New Roman"/>
          <w:sz w:val="24"/>
          <w:szCs w:val="24"/>
        </w:rPr>
        <w:t xml:space="preserve">of </w:t>
      </w:r>
      <w:r w:rsidRPr="008D3C26">
        <w:rPr>
          <w:rFonts w:ascii="Times New Roman" w:hAnsi="Times New Roman" w:cs="Times New Roman"/>
          <w:sz w:val="24"/>
          <w:szCs w:val="24"/>
        </w:rPr>
        <w:t>which three (60 per cent) were achieved and two (40 per cent) were not achieved</w:t>
      </w:r>
      <w:r w:rsidR="00B843D4" w:rsidRPr="008D3C26">
        <w:rPr>
          <w:rFonts w:ascii="Times New Roman" w:hAnsi="Times New Roman" w:cs="Times New Roman"/>
          <w:sz w:val="24"/>
          <w:szCs w:val="24"/>
        </w:rPr>
        <w:t>.</w:t>
      </w:r>
    </w:p>
    <w:p w14:paraId="0A7ED3A8" w14:textId="77777777" w:rsidR="002F44B3" w:rsidRPr="008D3C26" w:rsidRDefault="002F44B3" w:rsidP="002F44B3">
      <w:pPr>
        <w:suppressAutoHyphens/>
        <w:autoSpaceDN w:val="0"/>
        <w:spacing w:after="0"/>
        <w:textAlignment w:val="baseline"/>
        <w:rPr>
          <w:rFonts w:ascii="Times New Roman" w:hAnsi="Times New Roman" w:cs="Times New Roman"/>
          <w:sz w:val="24"/>
          <w:szCs w:val="24"/>
        </w:rPr>
      </w:pPr>
      <w:r w:rsidRPr="008D3C26">
        <w:rPr>
          <w:rFonts w:ascii="Times New Roman" w:hAnsi="Times New Roman" w:cs="Times New Roman"/>
          <w:sz w:val="24"/>
          <w:szCs w:val="24"/>
        </w:rPr>
        <w:t xml:space="preserve">The three achieved targets were: Filling 90 percent of the approved funded positions, </w:t>
      </w:r>
      <w:r w:rsidR="002D48B2" w:rsidRPr="008D3C26">
        <w:rPr>
          <w:rFonts w:ascii="Times New Roman" w:hAnsi="Times New Roman" w:cs="Times New Roman"/>
          <w:sz w:val="24"/>
          <w:szCs w:val="24"/>
        </w:rPr>
        <w:t>(</w:t>
      </w:r>
      <w:r w:rsidRPr="008D3C26">
        <w:rPr>
          <w:rFonts w:ascii="Times New Roman" w:hAnsi="Times New Roman" w:cs="Times New Roman"/>
          <w:sz w:val="24"/>
          <w:szCs w:val="24"/>
        </w:rPr>
        <w:t>with 92.3 per cent achievement</w:t>
      </w:r>
      <w:r w:rsidR="002D48B2" w:rsidRPr="008D3C26">
        <w:rPr>
          <w:rFonts w:ascii="Times New Roman" w:hAnsi="Times New Roman" w:cs="Times New Roman"/>
          <w:sz w:val="24"/>
          <w:szCs w:val="24"/>
        </w:rPr>
        <w:t>)</w:t>
      </w:r>
      <w:r w:rsidRPr="008D3C26">
        <w:rPr>
          <w:rFonts w:ascii="Times New Roman" w:hAnsi="Times New Roman" w:cs="Times New Roman"/>
          <w:sz w:val="24"/>
          <w:szCs w:val="24"/>
        </w:rPr>
        <w:t>, pay</w:t>
      </w:r>
      <w:r w:rsidR="00B843D4" w:rsidRPr="008D3C26">
        <w:rPr>
          <w:rFonts w:ascii="Times New Roman" w:hAnsi="Times New Roman" w:cs="Times New Roman"/>
          <w:sz w:val="24"/>
          <w:szCs w:val="24"/>
        </w:rPr>
        <w:t>ment</w:t>
      </w:r>
      <w:r w:rsidRPr="008D3C26">
        <w:rPr>
          <w:rFonts w:ascii="Times New Roman" w:hAnsi="Times New Roman" w:cs="Times New Roman"/>
          <w:sz w:val="24"/>
          <w:szCs w:val="24"/>
        </w:rPr>
        <w:t xml:space="preserve"> of creditors within 30 days and having approved Information Communication Technology (ICT) procurement plan. </w:t>
      </w:r>
    </w:p>
    <w:p w14:paraId="3E8A77EC" w14:textId="77777777" w:rsidR="002F44B3" w:rsidRPr="008D3C26" w:rsidRDefault="002F44B3" w:rsidP="002F44B3">
      <w:pPr>
        <w:rPr>
          <w:rFonts w:ascii="Times New Roman" w:hAnsi="Times New Roman" w:cs="Times New Roman"/>
          <w:sz w:val="24"/>
          <w:szCs w:val="24"/>
        </w:rPr>
      </w:pPr>
    </w:p>
    <w:p w14:paraId="612772CC" w14:textId="77777777" w:rsidR="002F44B3" w:rsidRPr="008D3C26" w:rsidRDefault="002F44B3" w:rsidP="002F44B3">
      <w:pPr>
        <w:rPr>
          <w:rFonts w:ascii="Times New Roman" w:hAnsi="Times New Roman" w:cs="Times New Roman"/>
          <w:sz w:val="24"/>
          <w:szCs w:val="24"/>
        </w:rPr>
      </w:pPr>
      <w:r w:rsidRPr="008D3C26">
        <w:rPr>
          <w:rFonts w:ascii="Times New Roman" w:hAnsi="Times New Roman" w:cs="Times New Roman"/>
          <w:sz w:val="24"/>
          <w:szCs w:val="24"/>
        </w:rPr>
        <w:t>The following targets were not achieved as planned:</w:t>
      </w:r>
    </w:p>
    <w:p w14:paraId="416BE2B0" w14:textId="77777777" w:rsidR="002F44B3" w:rsidRPr="008D3C26" w:rsidRDefault="002F44B3" w:rsidP="002F44B3">
      <w:pPr>
        <w:suppressAutoHyphens/>
        <w:autoSpaceDN w:val="0"/>
        <w:spacing w:after="0"/>
        <w:textAlignment w:val="baseline"/>
        <w:rPr>
          <w:rFonts w:ascii="Times New Roman" w:hAnsi="Times New Roman" w:cs="Times New Roman"/>
          <w:sz w:val="24"/>
          <w:szCs w:val="24"/>
        </w:rPr>
      </w:pPr>
      <w:r w:rsidRPr="008D3C26">
        <w:rPr>
          <w:rFonts w:ascii="Times New Roman" w:hAnsi="Times New Roman" w:cs="Times New Roman"/>
          <w:sz w:val="24"/>
          <w:szCs w:val="24"/>
        </w:rPr>
        <w:t>Resolving 100 percent of disciplinary cases within 90 days</w:t>
      </w:r>
      <w:r w:rsidRPr="008D3C26">
        <w:rPr>
          <w:rFonts w:ascii="Times New Roman" w:hAnsi="Times New Roman" w:cs="Times New Roman"/>
          <w:b/>
          <w:sz w:val="24"/>
          <w:szCs w:val="24"/>
        </w:rPr>
        <w:t xml:space="preserve">: </w:t>
      </w:r>
      <w:r w:rsidRPr="008D3C26">
        <w:rPr>
          <w:rFonts w:ascii="Times New Roman" w:hAnsi="Times New Roman" w:cs="Times New Roman"/>
          <w:sz w:val="24"/>
          <w:szCs w:val="24"/>
        </w:rPr>
        <w:t xml:space="preserve">The targets to resolve 100 per cent of disciplinary cases within 90 days and to fill an advertised post within an average 180 days were not achieved. Postponements </w:t>
      </w:r>
      <w:r w:rsidR="00B843D4" w:rsidRPr="008D3C26">
        <w:rPr>
          <w:rFonts w:ascii="Times New Roman" w:hAnsi="Times New Roman" w:cs="Times New Roman"/>
          <w:sz w:val="24"/>
          <w:szCs w:val="24"/>
        </w:rPr>
        <w:t xml:space="preserve">were </w:t>
      </w:r>
      <w:r w:rsidRPr="008D3C26">
        <w:rPr>
          <w:rFonts w:ascii="Times New Roman" w:hAnsi="Times New Roman" w:cs="Times New Roman"/>
          <w:sz w:val="24"/>
          <w:szCs w:val="24"/>
        </w:rPr>
        <w:t>due to unavailability of either parties and poor management of cases and capacity constraints were cited as reasons for non-achievement of the target. Resolving disciplinary cases within 90 days ha</w:t>
      </w:r>
      <w:r w:rsidR="00B843D4" w:rsidRPr="008D3C26">
        <w:rPr>
          <w:rFonts w:ascii="Times New Roman" w:hAnsi="Times New Roman" w:cs="Times New Roman"/>
          <w:sz w:val="24"/>
          <w:szCs w:val="24"/>
        </w:rPr>
        <w:t>d</w:t>
      </w:r>
      <w:r w:rsidRPr="008D3C26">
        <w:rPr>
          <w:rFonts w:ascii="Times New Roman" w:hAnsi="Times New Roman" w:cs="Times New Roman"/>
          <w:sz w:val="24"/>
          <w:szCs w:val="24"/>
        </w:rPr>
        <w:t xml:space="preserve"> been a challenge for the Department</w:t>
      </w:r>
      <w:r w:rsidR="00B843D4" w:rsidRPr="008D3C26">
        <w:rPr>
          <w:rFonts w:ascii="Times New Roman" w:hAnsi="Times New Roman" w:cs="Times New Roman"/>
          <w:sz w:val="24"/>
          <w:szCs w:val="24"/>
        </w:rPr>
        <w:t xml:space="preserve"> and the majority of these cases were at TVET Colleges</w:t>
      </w:r>
      <w:r w:rsidRPr="008D3C26">
        <w:rPr>
          <w:rFonts w:ascii="Times New Roman" w:hAnsi="Times New Roman" w:cs="Times New Roman"/>
          <w:sz w:val="24"/>
          <w:szCs w:val="24"/>
        </w:rPr>
        <w:t xml:space="preserve">. During the consideration of the third quarter report of 2016/17 financial year, the Department reported that a process to centralise the investigations of cases was underway with the aim to improve performance in this area. The Department also reported that it had increased capacity through the appointment of a Deputy-Director at the head office and four Assistant Directors to be based in regional offices. </w:t>
      </w:r>
    </w:p>
    <w:p w14:paraId="62E446F6" w14:textId="77777777" w:rsidR="002F44B3" w:rsidRPr="008D3C26" w:rsidRDefault="002F44B3" w:rsidP="002F44B3">
      <w:pPr>
        <w:suppressAutoHyphens/>
        <w:autoSpaceDN w:val="0"/>
        <w:spacing w:after="0"/>
        <w:textAlignment w:val="baseline"/>
        <w:rPr>
          <w:rFonts w:ascii="Times New Roman" w:hAnsi="Times New Roman" w:cs="Times New Roman"/>
          <w:b/>
          <w:sz w:val="24"/>
          <w:szCs w:val="24"/>
        </w:rPr>
      </w:pPr>
    </w:p>
    <w:p w14:paraId="6A834114" w14:textId="77777777" w:rsidR="00B843D4" w:rsidRPr="008D3C26" w:rsidRDefault="002F44B3" w:rsidP="002F44B3">
      <w:pPr>
        <w:suppressAutoHyphens/>
        <w:autoSpaceDN w:val="0"/>
        <w:spacing w:after="0"/>
        <w:textAlignment w:val="baseline"/>
        <w:rPr>
          <w:rFonts w:ascii="Times New Roman" w:hAnsi="Times New Roman" w:cs="Times New Roman"/>
          <w:sz w:val="24"/>
          <w:szCs w:val="24"/>
        </w:rPr>
      </w:pPr>
      <w:r w:rsidRPr="008D3C26">
        <w:rPr>
          <w:rFonts w:ascii="Times New Roman" w:hAnsi="Times New Roman" w:cs="Times New Roman"/>
          <w:sz w:val="24"/>
          <w:szCs w:val="24"/>
        </w:rPr>
        <w:t>Filling of an advertised post within 180 days:</w:t>
      </w:r>
      <w:r w:rsidRPr="008D3C26">
        <w:rPr>
          <w:rFonts w:ascii="Times New Roman" w:hAnsi="Times New Roman" w:cs="Times New Roman"/>
          <w:b/>
          <w:sz w:val="24"/>
          <w:szCs w:val="24"/>
        </w:rPr>
        <w:t xml:space="preserve"> </w:t>
      </w:r>
      <w:r w:rsidRPr="008D3C26">
        <w:rPr>
          <w:rFonts w:ascii="Times New Roman" w:hAnsi="Times New Roman" w:cs="Times New Roman"/>
          <w:sz w:val="24"/>
          <w:szCs w:val="24"/>
        </w:rPr>
        <w:t xml:space="preserve">The target was not achieved as planned. The Department only managed to achieve this target in the first quarter of 2016/17 where an average </w:t>
      </w:r>
      <w:r w:rsidR="00B843D4" w:rsidRPr="008D3C26">
        <w:rPr>
          <w:rFonts w:ascii="Times New Roman" w:hAnsi="Times New Roman" w:cs="Times New Roman"/>
          <w:sz w:val="24"/>
          <w:szCs w:val="24"/>
        </w:rPr>
        <w:t xml:space="preserve">time </w:t>
      </w:r>
      <w:r w:rsidRPr="008D3C26">
        <w:rPr>
          <w:rFonts w:ascii="Times New Roman" w:hAnsi="Times New Roman" w:cs="Times New Roman"/>
          <w:sz w:val="24"/>
          <w:szCs w:val="24"/>
        </w:rPr>
        <w:t xml:space="preserve">to fill </w:t>
      </w:r>
      <w:r w:rsidR="00B843D4" w:rsidRPr="008D3C26">
        <w:rPr>
          <w:rFonts w:ascii="Times New Roman" w:hAnsi="Times New Roman" w:cs="Times New Roman"/>
          <w:sz w:val="24"/>
          <w:szCs w:val="24"/>
        </w:rPr>
        <w:t xml:space="preserve">an </w:t>
      </w:r>
      <w:r w:rsidRPr="008D3C26">
        <w:rPr>
          <w:rFonts w:ascii="Times New Roman" w:hAnsi="Times New Roman" w:cs="Times New Roman"/>
          <w:sz w:val="24"/>
          <w:szCs w:val="24"/>
        </w:rPr>
        <w:t xml:space="preserve">advertised vacant post was 173 days. From the second to the fourth quarter the average number of days to fill an advertised post fluctuated outside of the target of 180 days. The Department cited the receipt of large volumes of applications as a cause for delay in the process of filling the posts. The Committee was also informed of and lack of capacity and budgetary constraints in the Recruitment Unit to respond to the demand were the causes for not achieving the target. To mitigate the challenges, the Department reported that it </w:t>
      </w:r>
      <w:r w:rsidRPr="008D3C26">
        <w:rPr>
          <w:rFonts w:ascii="Times New Roman" w:hAnsi="Times New Roman" w:cs="Times New Roman"/>
          <w:sz w:val="24"/>
          <w:szCs w:val="24"/>
        </w:rPr>
        <w:lastRenderedPageBreak/>
        <w:t>would utilise the Public Service Regulations to fill generic positions through the utilisation of a database for previously advertised posts in order to reduce the period it takes in dealing with the</w:t>
      </w:r>
      <w:r w:rsidR="00B843D4" w:rsidRPr="008D3C26">
        <w:rPr>
          <w:rFonts w:ascii="Times New Roman" w:hAnsi="Times New Roman" w:cs="Times New Roman"/>
          <w:sz w:val="24"/>
          <w:szCs w:val="24"/>
        </w:rPr>
        <w:t xml:space="preserve"> large</w:t>
      </w:r>
      <w:r w:rsidRPr="008D3C26">
        <w:rPr>
          <w:rFonts w:ascii="Times New Roman" w:hAnsi="Times New Roman" w:cs="Times New Roman"/>
          <w:sz w:val="24"/>
          <w:szCs w:val="24"/>
        </w:rPr>
        <w:t xml:space="preserve"> volume</w:t>
      </w:r>
      <w:r w:rsidR="00B843D4" w:rsidRPr="008D3C26">
        <w:rPr>
          <w:rFonts w:ascii="Times New Roman" w:hAnsi="Times New Roman" w:cs="Times New Roman"/>
          <w:sz w:val="24"/>
          <w:szCs w:val="24"/>
        </w:rPr>
        <w:t>s</w:t>
      </w:r>
      <w:r w:rsidRPr="008D3C26">
        <w:rPr>
          <w:rFonts w:ascii="Times New Roman" w:hAnsi="Times New Roman" w:cs="Times New Roman"/>
          <w:sz w:val="24"/>
          <w:szCs w:val="24"/>
        </w:rPr>
        <w:t xml:space="preserve"> of applications received when the advertisement is issued. </w:t>
      </w:r>
    </w:p>
    <w:p w14:paraId="486483D1" w14:textId="77777777" w:rsidR="00B843D4" w:rsidRPr="008D3C26" w:rsidRDefault="00B843D4" w:rsidP="002F44B3">
      <w:pPr>
        <w:suppressAutoHyphens/>
        <w:autoSpaceDN w:val="0"/>
        <w:spacing w:after="0"/>
        <w:textAlignment w:val="baseline"/>
        <w:rPr>
          <w:rFonts w:ascii="Times New Roman" w:hAnsi="Times New Roman" w:cs="Times New Roman"/>
          <w:sz w:val="24"/>
          <w:szCs w:val="24"/>
        </w:rPr>
      </w:pPr>
    </w:p>
    <w:p w14:paraId="5321C3D0" w14:textId="77777777" w:rsidR="002F44B3" w:rsidRPr="008D3C26" w:rsidRDefault="002F44B3" w:rsidP="002F44B3">
      <w:pPr>
        <w:suppressAutoHyphens/>
        <w:autoSpaceDN w:val="0"/>
        <w:spacing w:after="0"/>
        <w:textAlignment w:val="baseline"/>
        <w:rPr>
          <w:rFonts w:ascii="Times New Roman" w:hAnsi="Times New Roman" w:cs="Times New Roman"/>
          <w:sz w:val="24"/>
          <w:szCs w:val="24"/>
        </w:rPr>
      </w:pPr>
      <w:r w:rsidRPr="008D3C26">
        <w:rPr>
          <w:rFonts w:ascii="Times New Roman" w:hAnsi="Times New Roman" w:cs="Times New Roman"/>
          <w:sz w:val="24"/>
          <w:szCs w:val="24"/>
        </w:rPr>
        <w:t>The Committee was</w:t>
      </w:r>
      <w:r w:rsidR="00B843D4" w:rsidRPr="008D3C26">
        <w:rPr>
          <w:rFonts w:ascii="Times New Roman" w:hAnsi="Times New Roman" w:cs="Times New Roman"/>
          <w:sz w:val="24"/>
          <w:szCs w:val="24"/>
        </w:rPr>
        <w:t xml:space="preserve"> also</w:t>
      </w:r>
      <w:r w:rsidRPr="008D3C26">
        <w:rPr>
          <w:rFonts w:ascii="Times New Roman" w:hAnsi="Times New Roman" w:cs="Times New Roman"/>
          <w:sz w:val="24"/>
          <w:szCs w:val="24"/>
        </w:rPr>
        <w:t xml:space="preserve"> informed that a service provider </w:t>
      </w:r>
      <w:r w:rsidR="00E91797" w:rsidRPr="008D3C26">
        <w:rPr>
          <w:rFonts w:ascii="Times New Roman" w:hAnsi="Times New Roman" w:cs="Times New Roman"/>
          <w:sz w:val="24"/>
          <w:szCs w:val="24"/>
        </w:rPr>
        <w:t xml:space="preserve">had been procured </w:t>
      </w:r>
      <w:r w:rsidRPr="008D3C26">
        <w:rPr>
          <w:rFonts w:ascii="Times New Roman" w:hAnsi="Times New Roman" w:cs="Times New Roman"/>
          <w:sz w:val="24"/>
          <w:szCs w:val="24"/>
        </w:rPr>
        <w:t xml:space="preserve">to </w:t>
      </w:r>
      <w:r w:rsidR="00E91797" w:rsidRPr="008D3C26">
        <w:rPr>
          <w:rFonts w:ascii="Times New Roman" w:hAnsi="Times New Roman" w:cs="Times New Roman"/>
          <w:sz w:val="24"/>
          <w:szCs w:val="24"/>
        </w:rPr>
        <w:t xml:space="preserve">assist the Department with the </w:t>
      </w:r>
      <w:r w:rsidRPr="008D3C26">
        <w:rPr>
          <w:rFonts w:ascii="Times New Roman" w:hAnsi="Times New Roman" w:cs="Times New Roman"/>
          <w:sz w:val="24"/>
          <w:szCs w:val="24"/>
        </w:rPr>
        <w:t>captur</w:t>
      </w:r>
      <w:r w:rsidR="00E91797" w:rsidRPr="008D3C26">
        <w:rPr>
          <w:rFonts w:ascii="Times New Roman" w:hAnsi="Times New Roman" w:cs="Times New Roman"/>
          <w:sz w:val="24"/>
          <w:szCs w:val="24"/>
        </w:rPr>
        <w:t>ing of</w:t>
      </w:r>
      <w:r w:rsidRPr="008D3C26">
        <w:rPr>
          <w:rFonts w:ascii="Times New Roman" w:hAnsi="Times New Roman" w:cs="Times New Roman"/>
          <w:sz w:val="24"/>
          <w:szCs w:val="24"/>
        </w:rPr>
        <w:t xml:space="preserve"> the large volumes of applications </w:t>
      </w:r>
      <w:r w:rsidR="00E91797" w:rsidRPr="008D3C26">
        <w:rPr>
          <w:rFonts w:ascii="Times New Roman" w:hAnsi="Times New Roman" w:cs="Times New Roman"/>
          <w:sz w:val="24"/>
          <w:szCs w:val="24"/>
        </w:rPr>
        <w:t xml:space="preserve">received for advertised posts. However, the appointment of the </w:t>
      </w:r>
      <w:r w:rsidR="00954D3D" w:rsidRPr="008D3C26">
        <w:rPr>
          <w:rFonts w:ascii="Times New Roman" w:hAnsi="Times New Roman" w:cs="Times New Roman"/>
          <w:sz w:val="24"/>
          <w:szCs w:val="24"/>
        </w:rPr>
        <w:t>service provider has not yielded the positive outcomes, since the Department was still unable to achieve the target of 180 days to fill an advertised post.</w:t>
      </w:r>
      <w:r w:rsidR="00181A33" w:rsidRPr="008D3C26">
        <w:rPr>
          <w:rFonts w:ascii="Times New Roman" w:hAnsi="Times New Roman" w:cs="Times New Roman"/>
          <w:sz w:val="24"/>
          <w:szCs w:val="24"/>
        </w:rPr>
        <w:t xml:space="preserve"> The Department also undertook to implement the e-recruitment application system to reduce manual capturing of applications and fast track the recruitment process. </w:t>
      </w:r>
      <w:r w:rsidRPr="008D3C26">
        <w:rPr>
          <w:rFonts w:ascii="Times New Roman" w:hAnsi="Times New Roman" w:cs="Times New Roman"/>
          <w:sz w:val="24"/>
          <w:szCs w:val="24"/>
        </w:rPr>
        <w:t xml:space="preserve">However, during the oversight visit to the Department in August 2017, the Department </w:t>
      </w:r>
      <w:r w:rsidR="00CA153E" w:rsidRPr="008D3C26">
        <w:rPr>
          <w:rFonts w:ascii="Times New Roman" w:hAnsi="Times New Roman" w:cs="Times New Roman"/>
          <w:sz w:val="24"/>
          <w:szCs w:val="24"/>
        </w:rPr>
        <w:t xml:space="preserve">had not finalised the process to implement </w:t>
      </w:r>
      <w:r w:rsidRPr="008D3C26">
        <w:rPr>
          <w:rFonts w:ascii="Times New Roman" w:hAnsi="Times New Roman" w:cs="Times New Roman"/>
          <w:sz w:val="24"/>
          <w:szCs w:val="24"/>
        </w:rPr>
        <w:t xml:space="preserve">e-recruitment </w:t>
      </w:r>
      <w:r w:rsidR="00CA153E" w:rsidRPr="008D3C26">
        <w:rPr>
          <w:rFonts w:ascii="Times New Roman" w:hAnsi="Times New Roman" w:cs="Times New Roman"/>
          <w:sz w:val="24"/>
          <w:szCs w:val="24"/>
        </w:rPr>
        <w:t xml:space="preserve">system </w:t>
      </w:r>
      <w:r w:rsidRPr="008D3C26">
        <w:rPr>
          <w:rFonts w:ascii="Times New Roman" w:hAnsi="Times New Roman" w:cs="Times New Roman"/>
          <w:sz w:val="24"/>
          <w:szCs w:val="24"/>
        </w:rPr>
        <w:t xml:space="preserve">and the </w:t>
      </w:r>
      <w:r w:rsidR="00CA153E" w:rsidRPr="008D3C26">
        <w:rPr>
          <w:rFonts w:ascii="Times New Roman" w:hAnsi="Times New Roman" w:cs="Times New Roman"/>
          <w:sz w:val="24"/>
          <w:szCs w:val="24"/>
        </w:rPr>
        <w:t xml:space="preserve">utilisation of the </w:t>
      </w:r>
      <w:r w:rsidRPr="008D3C26">
        <w:rPr>
          <w:rFonts w:ascii="Times New Roman" w:hAnsi="Times New Roman" w:cs="Times New Roman"/>
          <w:sz w:val="24"/>
          <w:szCs w:val="24"/>
        </w:rPr>
        <w:t>Public Service Regulations to fill generic positions. This was an indication that  mitigation strategies were not implemented earlier as was reported during the consideration of the third and fourth quarter of 20</w:t>
      </w:r>
      <w:r w:rsidR="00CA153E" w:rsidRPr="008D3C26">
        <w:rPr>
          <w:rFonts w:ascii="Times New Roman" w:hAnsi="Times New Roman" w:cs="Times New Roman"/>
          <w:sz w:val="24"/>
          <w:szCs w:val="24"/>
        </w:rPr>
        <w:t>1</w:t>
      </w:r>
      <w:r w:rsidRPr="008D3C26">
        <w:rPr>
          <w:rFonts w:ascii="Times New Roman" w:hAnsi="Times New Roman" w:cs="Times New Roman"/>
          <w:sz w:val="24"/>
          <w:szCs w:val="24"/>
        </w:rPr>
        <w:t xml:space="preserve">6/17.  </w:t>
      </w:r>
    </w:p>
    <w:p w14:paraId="5161E910" w14:textId="77777777" w:rsidR="00307C7F" w:rsidRPr="008D3C26" w:rsidRDefault="00307C7F" w:rsidP="00E01B75">
      <w:pPr>
        <w:spacing w:after="0"/>
        <w:rPr>
          <w:rFonts w:ascii="Times New Roman" w:hAnsi="Times New Roman" w:cs="Times New Roman"/>
          <w:b/>
          <w:sz w:val="24"/>
          <w:szCs w:val="24"/>
        </w:rPr>
      </w:pPr>
    </w:p>
    <w:p w14:paraId="3436F73C" w14:textId="77777777" w:rsidR="00E01B75" w:rsidRPr="008D3C26" w:rsidRDefault="001129A1" w:rsidP="00E01B75">
      <w:pPr>
        <w:spacing w:after="0"/>
        <w:rPr>
          <w:rFonts w:ascii="Times New Roman" w:hAnsi="Times New Roman" w:cs="Times New Roman"/>
          <w:b/>
          <w:sz w:val="24"/>
          <w:szCs w:val="24"/>
        </w:rPr>
      </w:pPr>
      <w:r w:rsidRPr="008D3C26">
        <w:rPr>
          <w:rFonts w:ascii="Times New Roman" w:hAnsi="Times New Roman" w:cs="Times New Roman"/>
          <w:b/>
          <w:sz w:val="24"/>
          <w:szCs w:val="24"/>
        </w:rPr>
        <w:t>5.</w:t>
      </w:r>
      <w:r w:rsidR="008811BF" w:rsidRPr="008D3C26">
        <w:rPr>
          <w:rFonts w:ascii="Times New Roman" w:hAnsi="Times New Roman" w:cs="Times New Roman"/>
          <w:b/>
          <w:sz w:val="24"/>
          <w:szCs w:val="24"/>
        </w:rPr>
        <w:t>2</w:t>
      </w:r>
      <w:r w:rsidR="00E01B75" w:rsidRPr="008D3C26">
        <w:rPr>
          <w:rFonts w:ascii="Times New Roman" w:hAnsi="Times New Roman" w:cs="Times New Roman"/>
          <w:b/>
          <w:sz w:val="24"/>
          <w:szCs w:val="24"/>
        </w:rPr>
        <w:t>.2. Programme 2: Planning, Policy and Strategy</w:t>
      </w:r>
    </w:p>
    <w:p w14:paraId="3BB78C45" w14:textId="77777777" w:rsidR="00E0007E" w:rsidRPr="008D3C26" w:rsidRDefault="003C07DB" w:rsidP="00E0007E">
      <w:pPr>
        <w:rPr>
          <w:rFonts w:ascii="Times New Roman" w:hAnsi="Times New Roman" w:cs="Times New Roman"/>
          <w:sz w:val="24"/>
          <w:szCs w:val="24"/>
        </w:rPr>
      </w:pPr>
      <w:r w:rsidRPr="008D3C26">
        <w:rPr>
          <w:rFonts w:ascii="Times New Roman" w:hAnsi="Times New Roman" w:cs="Times New Roman"/>
          <w:sz w:val="24"/>
          <w:szCs w:val="24"/>
        </w:rPr>
        <w:t>The purpose of the programme is to provide strategic direction in the development, implementation and monitoring of Departmental policies and the human resource development strategy for South Africa.</w:t>
      </w:r>
      <w:r w:rsidR="00E0007E" w:rsidRPr="008D3C26">
        <w:rPr>
          <w:rFonts w:ascii="Times New Roman" w:hAnsi="Times New Roman" w:cs="Times New Roman"/>
          <w:sz w:val="24"/>
          <w:szCs w:val="24"/>
        </w:rPr>
        <w:t xml:space="preserve"> </w:t>
      </w:r>
    </w:p>
    <w:p w14:paraId="0B8CF3E2" w14:textId="77777777" w:rsidR="00E0007E" w:rsidRPr="008D3C26" w:rsidRDefault="00E0007E" w:rsidP="00E0007E">
      <w:pPr>
        <w:spacing w:after="0"/>
        <w:rPr>
          <w:rFonts w:ascii="Times New Roman" w:hAnsi="Times New Roman" w:cs="Times New Roman"/>
          <w:sz w:val="24"/>
          <w:szCs w:val="24"/>
        </w:rPr>
      </w:pPr>
      <w:r w:rsidRPr="008D3C26">
        <w:rPr>
          <w:rFonts w:ascii="Times New Roman" w:hAnsi="Times New Roman" w:cs="Times New Roman"/>
          <w:sz w:val="24"/>
          <w:szCs w:val="24"/>
        </w:rPr>
        <w:t xml:space="preserve">For this programme, the Department developed four strategic objectives: to develop seven new Post-School Education and Training policies and one </w:t>
      </w:r>
      <w:r w:rsidR="002D48B2" w:rsidRPr="008D3C26">
        <w:rPr>
          <w:rFonts w:ascii="Times New Roman" w:hAnsi="Times New Roman" w:cs="Times New Roman"/>
          <w:sz w:val="24"/>
          <w:szCs w:val="24"/>
        </w:rPr>
        <w:t xml:space="preserve">piece of legislation </w:t>
      </w:r>
      <w:r w:rsidR="00E02EAA" w:rsidRPr="008D3C26">
        <w:rPr>
          <w:rFonts w:ascii="Times New Roman" w:hAnsi="Times New Roman" w:cs="Times New Roman"/>
          <w:sz w:val="24"/>
          <w:szCs w:val="24"/>
        </w:rPr>
        <w:t xml:space="preserve">Act </w:t>
      </w:r>
      <w:r w:rsidRPr="008D3C26">
        <w:rPr>
          <w:rFonts w:ascii="Times New Roman" w:hAnsi="Times New Roman" w:cs="Times New Roman"/>
          <w:sz w:val="24"/>
          <w:szCs w:val="24"/>
        </w:rPr>
        <w:t>including the revision of the National Qualifications Framework Act and the GENFETQA Act, in order to ensure a sound PSET system by 31 March 2020; to develop a Sector Monitoring and Evaluation Framework for effective implementation of oversight of the PSET system and produce annual monitoring reports by 31 March 2020; to develop and implement three teaching and learning support plan aimed at improving access to quality teaching and learning in the PSET system by 31 March 2020; and to develop management information systems for Colleges, SETAs and private Post-School Institutions by 31 March 2020.</w:t>
      </w:r>
    </w:p>
    <w:p w14:paraId="3974DD26" w14:textId="77777777" w:rsidR="00E0007E" w:rsidRPr="008D3C26" w:rsidRDefault="00E0007E" w:rsidP="00E0007E">
      <w:pPr>
        <w:spacing w:after="0"/>
        <w:rPr>
          <w:rFonts w:ascii="Times New Roman" w:hAnsi="Times New Roman" w:cs="Times New Roman"/>
          <w:sz w:val="24"/>
          <w:szCs w:val="24"/>
        </w:rPr>
      </w:pPr>
    </w:p>
    <w:p w14:paraId="5354CF8C" w14:textId="77777777" w:rsidR="00E01B75" w:rsidRPr="008D3C26" w:rsidRDefault="00E0007E" w:rsidP="00E01B75">
      <w:pPr>
        <w:spacing w:after="0"/>
        <w:rPr>
          <w:rFonts w:ascii="Times New Roman" w:hAnsi="Times New Roman" w:cs="Times New Roman"/>
          <w:sz w:val="24"/>
          <w:szCs w:val="24"/>
        </w:rPr>
      </w:pPr>
      <w:r w:rsidRPr="008D3C26">
        <w:rPr>
          <w:rFonts w:ascii="Times New Roman" w:hAnsi="Times New Roman" w:cs="Times New Roman"/>
          <w:sz w:val="24"/>
          <w:szCs w:val="24"/>
        </w:rPr>
        <w:t>The programme had nine targets planned for the year under review and all were achieved</w:t>
      </w:r>
      <w:r w:rsidR="00847A45" w:rsidRPr="008D3C26">
        <w:rPr>
          <w:rFonts w:ascii="Times New Roman" w:hAnsi="Times New Roman" w:cs="Times New Roman"/>
          <w:sz w:val="24"/>
          <w:szCs w:val="24"/>
        </w:rPr>
        <w:t xml:space="preserve"> as planned</w:t>
      </w:r>
      <w:r w:rsidRPr="008D3C26">
        <w:rPr>
          <w:rFonts w:ascii="Times New Roman" w:hAnsi="Times New Roman" w:cs="Times New Roman"/>
          <w:sz w:val="24"/>
          <w:szCs w:val="24"/>
        </w:rPr>
        <w:t xml:space="preserve">. The Director-General approved a policy on Career Development Services across all spheres of Government, a Policy for Open Learning, a Monitoring and Evaluation </w:t>
      </w:r>
      <w:r w:rsidRPr="008D3C26">
        <w:rPr>
          <w:rFonts w:ascii="Times New Roman" w:hAnsi="Times New Roman" w:cs="Times New Roman"/>
          <w:sz w:val="24"/>
          <w:szCs w:val="24"/>
        </w:rPr>
        <w:lastRenderedPageBreak/>
        <w:t xml:space="preserve">Framework for PSET system was developed and approved as planned, an International Relations monitoring report was developed and approved as planned, and a Macro Indicator trend report on PSET. The targets to have </w:t>
      </w:r>
      <w:r w:rsidR="00847A45" w:rsidRPr="008D3C26">
        <w:rPr>
          <w:rFonts w:ascii="Times New Roman" w:hAnsi="Times New Roman" w:cs="Times New Roman"/>
          <w:sz w:val="24"/>
          <w:szCs w:val="24"/>
        </w:rPr>
        <w:t>m</w:t>
      </w:r>
      <w:r w:rsidRPr="008D3C26">
        <w:rPr>
          <w:rFonts w:ascii="Times New Roman" w:hAnsi="Times New Roman" w:cs="Times New Roman"/>
          <w:sz w:val="24"/>
          <w:szCs w:val="24"/>
        </w:rPr>
        <w:t xml:space="preserve">aterials developed for the identified programmes to be piloted in 2017/18 and to develop a report on the implementation of a strategy on open learning and distance education were achieved as planned. The annual report on skills supply and demand the annual Statistics on PSET report were published as planned. </w:t>
      </w:r>
    </w:p>
    <w:p w14:paraId="77AB1868" w14:textId="77777777" w:rsidR="002E43C9" w:rsidRPr="008D3C26" w:rsidRDefault="002E43C9" w:rsidP="00E01B75">
      <w:pPr>
        <w:spacing w:after="0"/>
        <w:rPr>
          <w:rFonts w:ascii="Times New Roman" w:hAnsi="Times New Roman" w:cs="Times New Roman"/>
          <w:b/>
          <w:sz w:val="24"/>
          <w:szCs w:val="24"/>
        </w:rPr>
      </w:pPr>
    </w:p>
    <w:p w14:paraId="79D432DB" w14:textId="77777777" w:rsidR="00E01B75" w:rsidRPr="008D3C26" w:rsidRDefault="001129A1" w:rsidP="00E01B75">
      <w:pPr>
        <w:spacing w:after="0"/>
        <w:rPr>
          <w:rFonts w:ascii="Times New Roman" w:hAnsi="Times New Roman" w:cs="Times New Roman"/>
          <w:b/>
          <w:sz w:val="24"/>
          <w:szCs w:val="24"/>
        </w:rPr>
      </w:pPr>
      <w:r w:rsidRPr="008D3C26">
        <w:rPr>
          <w:rFonts w:ascii="Times New Roman" w:hAnsi="Times New Roman" w:cs="Times New Roman"/>
          <w:b/>
          <w:sz w:val="24"/>
          <w:szCs w:val="24"/>
        </w:rPr>
        <w:t>5.</w:t>
      </w:r>
      <w:r w:rsidR="008811BF" w:rsidRPr="008D3C26">
        <w:rPr>
          <w:rFonts w:ascii="Times New Roman" w:hAnsi="Times New Roman" w:cs="Times New Roman"/>
          <w:b/>
          <w:sz w:val="24"/>
          <w:szCs w:val="24"/>
        </w:rPr>
        <w:t>2</w:t>
      </w:r>
      <w:r w:rsidR="00E01B75" w:rsidRPr="008D3C26">
        <w:rPr>
          <w:rFonts w:ascii="Times New Roman" w:hAnsi="Times New Roman" w:cs="Times New Roman"/>
          <w:b/>
          <w:sz w:val="24"/>
          <w:szCs w:val="24"/>
        </w:rPr>
        <w:t>.3. Programme 3: University Education</w:t>
      </w:r>
    </w:p>
    <w:p w14:paraId="5CAFFD1C" w14:textId="77777777" w:rsidR="003C07DB" w:rsidRPr="008D3C26" w:rsidRDefault="003C07DB" w:rsidP="003C07DB">
      <w:pPr>
        <w:rPr>
          <w:rFonts w:ascii="Times New Roman" w:hAnsi="Times New Roman" w:cs="Times New Roman"/>
          <w:sz w:val="24"/>
          <w:szCs w:val="24"/>
        </w:rPr>
      </w:pPr>
      <w:r w:rsidRPr="008D3C26">
        <w:rPr>
          <w:rFonts w:ascii="Times New Roman" w:hAnsi="Times New Roman" w:cs="Times New Roman"/>
          <w:sz w:val="24"/>
          <w:szCs w:val="24"/>
        </w:rPr>
        <w:t xml:space="preserve">The purpose of this programme is to develop and coordinate the policy and regulatory framework for an effective and efficient university education system. Furthermore, it provides financial support to universities, the National Student Financial Aid Scheme (NSFAS) and the National Institute for Higher Education (NIHE). </w:t>
      </w:r>
    </w:p>
    <w:p w14:paraId="668DF742" w14:textId="77777777" w:rsidR="00E0007E" w:rsidRPr="008D3C26" w:rsidRDefault="00E0007E" w:rsidP="00E0007E">
      <w:pPr>
        <w:rPr>
          <w:rFonts w:ascii="Times New Roman" w:hAnsi="Times New Roman" w:cs="Times New Roman"/>
          <w:sz w:val="24"/>
          <w:szCs w:val="24"/>
        </w:rPr>
      </w:pPr>
      <w:r w:rsidRPr="008D3C26">
        <w:rPr>
          <w:rFonts w:ascii="Times New Roman" w:hAnsi="Times New Roman" w:cs="Times New Roman"/>
          <w:bCs/>
          <w:sz w:val="24"/>
          <w:szCs w:val="24"/>
        </w:rPr>
        <w:t xml:space="preserve">The programme had </w:t>
      </w:r>
      <w:r w:rsidR="00BC2150" w:rsidRPr="008D3C26">
        <w:rPr>
          <w:rFonts w:ascii="Times New Roman" w:hAnsi="Times New Roman" w:cs="Times New Roman"/>
          <w:bCs/>
          <w:sz w:val="24"/>
          <w:szCs w:val="24"/>
        </w:rPr>
        <w:t>seven</w:t>
      </w:r>
      <w:r w:rsidRPr="008D3C26">
        <w:rPr>
          <w:rFonts w:ascii="Times New Roman" w:hAnsi="Times New Roman" w:cs="Times New Roman"/>
          <w:bCs/>
          <w:sz w:val="24"/>
          <w:szCs w:val="24"/>
        </w:rPr>
        <w:t xml:space="preserve"> strategic objectives: t</w:t>
      </w:r>
      <w:r w:rsidRPr="008D3C26">
        <w:rPr>
          <w:rFonts w:ascii="Times New Roman" w:hAnsi="Times New Roman" w:cs="Times New Roman"/>
          <w:sz w:val="24"/>
          <w:szCs w:val="24"/>
        </w:rPr>
        <w:t xml:space="preserve">o develop seven new and review 2 policies/regulations/pieces of legislation to ensure sound provision of university education by 31 March 2017; to develop 1 integrated plan that will enable collaboration between university education and other PSET sectors by March 2017; </w:t>
      </w:r>
      <w:r w:rsidRPr="008D3C26">
        <w:rPr>
          <w:rFonts w:ascii="Times New Roman" w:hAnsi="Times New Roman" w:cs="Times New Roman"/>
          <w:bCs/>
          <w:sz w:val="24"/>
          <w:szCs w:val="24"/>
        </w:rPr>
        <w:t xml:space="preserve">to </w:t>
      </w:r>
      <w:r w:rsidR="002D48B2" w:rsidRPr="008D3C26">
        <w:rPr>
          <w:rFonts w:ascii="Times New Roman" w:hAnsi="Times New Roman" w:cs="Times New Roman"/>
          <w:sz w:val="24"/>
          <w:szCs w:val="24"/>
        </w:rPr>
        <w:t>m</w:t>
      </w:r>
      <w:r w:rsidRPr="008D3C26">
        <w:rPr>
          <w:rFonts w:ascii="Times New Roman" w:hAnsi="Times New Roman" w:cs="Times New Roman"/>
          <w:sz w:val="24"/>
          <w:szCs w:val="24"/>
        </w:rPr>
        <w:t xml:space="preserve">onitor and evaluate the higher education sector and produce 12 annual oversight reports; to develop and implement a Teaching and Learning Development Capacity Improvement Programme (TLDCIP) covering 5 plans to improve the capacity of universities in terms of teaching and research by March 2017; </w:t>
      </w:r>
      <w:r w:rsidRPr="008D3C26">
        <w:rPr>
          <w:rFonts w:ascii="Times New Roman" w:hAnsi="Times New Roman" w:cs="Times New Roman"/>
          <w:bCs/>
          <w:sz w:val="24"/>
          <w:szCs w:val="24"/>
        </w:rPr>
        <w:t>to d</w:t>
      </w:r>
      <w:r w:rsidRPr="008D3C26">
        <w:rPr>
          <w:rFonts w:ascii="Times New Roman" w:hAnsi="Times New Roman" w:cs="Times New Roman"/>
          <w:sz w:val="24"/>
          <w:szCs w:val="24"/>
        </w:rPr>
        <w:t xml:space="preserve">evelop and implement a student leadership capacity development strategy and Central Application Services to support access to Post-School institutions by 31 March 2020; </w:t>
      </w:r>
      <w:r w:rsidRPr="008D3C26">
        <w:rPr>
          <w:rFonts w:ascii="Times New Roman" w:hAnsi="Times New Roman" w:cs="Times New Roman"/>
          <w:bCs/>
          <w:sz w:val="24"/>
          <w:szCs w:val="24"/>
        </w:rPr>
        <w:t>to p</w:t>
      </w:r>
      <w:r w:rsidRPr="008D3C26">
        <w:rPr>
          <w:rFonts w:ascii="Times New Roman" w:hAnsi="Times New Roman" w:cs="Times New Roman"/>
          <w:sz w:val="24"/>
          <w:szCs w:val="24"/>
        </w:rPr>
        <w:t xml:space="preserve">ublish an annual first-time entering undergraduate cohort analyses report; and </w:t>
      </w:r>
      <w:r w:rsidRPr="008D3C26">
        <w:rPr>
          <w:rFonts w:ascii="Times New Roman" w:hAnsi="Times New Roman" w:cs="Times New Roman"/>
          <w:bCs/>
          <w:sz w:val="24"/>
          <w:szCs w:val="24"/>
        </w:rPr>
        <w:t>to f</w:t>
      </w:r>
      <w:r w:rsidRPr="008D3C26">
        <w:rPr>
          <w:rFonts w:ascii="Times New Roman" w:hAnsi="Times New Roman" w:cs="Times New Roman"/>
          <w:sz w:val="24"/>
          <w:szCs w:val="24"/>
        </w:rPr>
        <w:t>acilitate stakeholder networks through the establishment of a BRICS Think Tank and participative academic forum and report progress on partnerships annually.</w:t>
      </w:r>
    </w:p>
    <w:p w14:paraId="6F5381E1" w14:textId="77777777" w:rsidR="00E0007E" w:rsidRPr="008D3C26" w:rsidRDefault="00E0007E" w:rsidP="00E0007E">
      <w:pPr>
        <w:rPr>
          <w:rFonts w:ascii="Times New Roman" w:hAnsi="Times New Roman" w:cs="Times New Roman"/>
          <w:sz w:val="24"/>
          <w:szCs w:val="24"/>
        </w:rPr>
      </w:pPr>
      <w:r w:rsidRPr="008D3C26">
        <w:rPr>
          <w:rFonts w:ascii="Times New Roman" w:hAnsi="Times New Roman" w:cs="Times New Roman"/>
          <w:sz w:val="24"/>
          <w:szCs w:val="24"/>
        </w:rPr>
        <w:t>The programme had 29 targets (</w:t>
      </w:r>
      <w:r w:rsidR="00CE064E" w:rsidRPr="008D3C26">
        <w:rPr>
          <w:rFonts w:ascii="Times New Roman" w:hAnsi="Times New Roman" w:cs="Times New Roman"/>
          <w:sz w:val="24"/>
          <w:szCs w:val="24"/>
        </w:rPr>
        <w:t>Departmental targets</w:t>
      </w:r>
      <w:r w:rsidRPr="008D3C26">
        <w:rPr>
          <w:rFonts w:ascii="Times New Roman" w:hAnsi="Times New Roman" w:cs="Times New Roman"/>
          <w:sz w:val="24"/>
          <w:szCs w:val="24"/>
        </w:rPr>
        <w:t xml:space="preserve">) and 15 system targets planned for the year under review. Of the 29 </w:t>
      </w:r>
      <w:r w:rsidR="00CE064E" w:rsidRPr="008D3C26">
        <w:rPr>
          <w:rFonts w:ascii="Times New Roman" w:hAnsi="Times New Roman" w:cs="Times New Roman"/>
          <w:sz w:val="24"/>
          <w:szCs w:val="24"/>
        </w:rPr>
        <w:t>Departmental targets</w:t>
      </w:r>
      <w:r w:rsidRPr="008D3C26">
        <w:rPr>
          <w:rFonts w:ascii="Times New Roman" w:hAnsi="Times New Roman" w:cs="Times New Roman"/>
          <w:sz w:val="24"/>
          <w:szCs w:val="24"/>
        </w:rPr>
        <w:t xml:space="preserve">, 22 targets (75 per cent) were achieved </w:t>
      </w:r>
      <w:r w:rsidR="00847A45" w:rsidRPr="008D3C26">
        <w:rPr>
          <w:rFonts w:ascii="Times New Roman" w:hAnsi="Times New Roman" w:cs="Times New Roman"/>
          <w:sz w:val="24"/>
          <w:szCs w:val="24"/>
        </w:rPr>
        <w:t>as planned</w:t>
      </w:r>
      <w:r w:rsidRPr="008D3C26">
        <w:rPr>
          <w:rFonts w:ascii="Times New Roman" w:hAnsi="Times New Roman" w:cs="Times New Roman"/>
          <w:sz w:val="24"/>
          <w:szCs w:val="24"/>
        </w:rPr>
        <w:t xml:space="preserve">. The </w:t>
      </w:r>
      <w:r w:rsidR="00847A45" w:rsidRPr="008D3C26">
        <w:rPr>
          <w:rFonts w:ascii="Times New Roman" w:hAnsi="Times New Roman" w:cs="Times New Roman"/>
          <w:sz w:val="24"/>
          <w:szCs w:val="24"/>
        </w:rPr>
        <w:t xml:space="preserve">targets that were </w:t>
      </w:r>
      <w:r w:rsidRPr="008D3C26">
        <w:rPr>
          <w:rFonts w:ascii="Times New Roman" w:hAnsi="Times New Roman" w:cs="Times New Roman"/>
          <w:sz w:val="24"/>
          <w:szCs w:val="24"/>
        </w:rPr>
        <w:t>achieved include</w:t>
      </w:r>
      <w:r w:rsidR="00847A45" w:rsidRPr="008D3C26">
        <w:rPr>
          <w:rFonts w:ascii="Times New Roman" w:hAnsi="Times New Roman" w:cs="Times New Roman"/>
          <w:sz w:val="24"/>
          <w:szCs w:val="24"/>
        </w:rPr>
        <w:t>d,</w:t>
      </w:r>
      <w:r w:rsidRPr="008D3C26">
        <w:rPr>
          <w:rFonts w:ascii="Times New Roman" w:hAnsi="Times New Roman" w:cs="Times New Roman"/>
          <w:sz w:val="24"/>
          <w:szCs w:val="24"/>
        </w:rPr>
        <w:t xml:space="preserve"> among others: governance indicators for universities; a Policy on Minimum Requirements for Programmes leading to Qualifications in Higher Education for Early Childhood Educators; a Ministerial Statement to guide the management and utilisation of the University Development Grant; </w:t>
      </w:r>
      <w:r w:rsidR="0005179A" w:rsidRPr="008D3C26">
        <w:rPr>
          <w:rFonts w:ascii="Times New Roman" w:hAnsi="Times New Roman" w:cs="Times New Roman"/>
          <w:sz w:val="24"/>
          <w:szCs w:val="24"/>
        </w:rPr>
        <w:t>1</w:t>
      </w:r>
      <w:r w:rsidR="009C471E" w:rsidRPr="008D3C26">
        <w:rPr>
          <w:rFonts w:ascii="Times New Roman" w:hAnsi="Times New Roman" w:cs="Times New Roman"/>
          <w:sz w:val="24"/>
          <w:szCs w:val="24"/>
        </w:rPr>
        <w:t>1</w:t>
      </w:r>
      <w:r w:rsidR="0005179A" w:rsidRPr="008D3C26">
        <w:rPr>
          <w:rFonts w:ascii="Times New Roman" w:hAnsi="Times New Roman" w:cs="Times New Roman"/>
          <w:sz w:val="24"/>
          <w:szCs w:val="24"/>
        </w:rPr>
        <w:t xml:space="preserve"> monitoring and evaluation reports on higher education</w:t>
      </w:r>
      <w:r w:rsidR="009C471E" w:rsidRPr="008D3C26">
        <w:rPr>
          <w:rFonts w:ascii="Times New Roman" w:hAnsi="Times New Roman" w:cs="Times New Roman"/>
          <w:sz w:val="24"/>
          <w:szCs w:val="24"/>
        </w:rPr>
        <w:t>; four teaching and learning support plans for higher education</w:t>
      </w:r>
      <w:r w:rsidRPr="008D3C26">
        <w:rPr>
          <w:rFonts w:ascii="Times New Roman" w:hAnsi="Times New Roman" w:cs="Times New Roman"/>
          <w:sz w:val="24"/>
          <w:szCs w:val="24"/>
        </w:rPr>
        <w:t xml:space="preserve">, and a report on the 2016 BRICS Academic Forum and Think Tank partnerships. </w:t>
      </w:r>
    </w:p>
    <w:p w14:paraId="71AA8BF2" w14:textId="77777777" w:rsidR="00E0007E" w:rsidRPr="008D3C26" w:rsidRDefault="00847A45" w:rsidP="00E0007E">
      <w:pPr>
        <w:spacing w:after="0"/>
        <w:rPr>
          <w:rFonts w:ascii="Times New Roman" w:hAnsi="Times New Roman" w:cs="Times New Roman"/>
          <w:sz w:val="24"/>
          <w:szCs w:val="24"/>
        </w:rPr>
      </w:pPr>
      <w:r w:rsidRPr="008D3C26">
        <w:rPr>
          <w:rFonts w:ascii="Times New Roman" w:hAnsi="Times New Roman" w:cs="Times New Roman"/>
          <w:sz w:val="24"/>
          <w:szCs w:val="24"/>
        </w:rPr>
        <w:lastRenderedPageBreak/>
        <w:t xml:space="preserve">The </w:t>
      </w:r>
      <w:r w:rsidR="009C471E" w:rsidRPr="008D3C26">
        <w:rPr>
          <w:rFonts w:ascii="Times New Roman" w:hAnsi="Times New Roman" w:cs="Times New Roman"/>
          <w:sz w:val="24"/>
          <w:szCs w:val="24"/>
        </w:rPr>
        <w:t xml:space="preserve">Departmental </w:t>
      </w:r>
      <w:r w:rsidRPr="008D3C26">
        <w:rPr>
          <w:rFonts w:ascii="Times New Roman" w:hAnsi="Times New Roman" w:cs="Times New Roman"/>
          <w:sz w:val="24"/>
          <w:szCs w:val="24"/>
        </w:rPr>
        <w:t>t</w:t>
      </w:r>
      <w:r w:rsidR="00E0007E" w:rsidRPr="008D3C26">
        <w:rPr>
          <w:rFonts w:ascii="Times New Roman" w:hAnsi="Times New Roman" w:cs="Times New Roman"/>
          <w:sz w:val="24"/>
          <w:szCs w:val="24"/>
        </w:rPr>
        <w:t>argets that were not achieved</w:t>
      </w:r>
      <w:r w:rsidRPr="008D3C26">
        <w:rPr>
          <w:rFonts w:ascii="Times New Roman" w:hAnsi="Times New Roman" w:cs="Times New Roman"/>
          <w:sz w:val="24"/>
          <w:szCs w:val="24"/>
        </w:rPr>
        <w:t xml:space="preserve"> as planned</w:t>
      </w:r>
      <w:r w:rsidR="00E0007E" w:rsidRPr="008D3C26">
        <w:rPr>
          <w:rFonts w:ascii="Times New Roman" w:hAnsi="Times New Roman" w:cs="Times New Roman"/>
          <w:sz w:val="24"/>
          <w:szCs w:val="24"/>
        </w:rPr>
        <w:t xml:space="preserve"> include: </w:t>
      </w:r>
    </w:p>
    <w:p w14:paraId="36C7C2D1" w14:textId="77777777" w:rsidR="00E0007E" w:rsidRPr="008D3C26" w:rsidRDefault="00E0007E" w:rsidP="00E0007E">
      <w:pPr>
        <w:pStyle w:val="ListParagraph"/>
        <w:numPr>
          <w:ilvl w:val="0"/>
          <w:numId w:val="12"/>
        </w:numPr>
        <w:spacing w:after="0"/>
        <w:rPr>
          <w:rFonts w:ascii="Times New Roman" w:hAnsi="Times New Roman" w:cs="Times New Roman"/>
          <w:color w:val="000000"/>
          <w:sz w:val="24"/>
          <w:szCs w:val="24"/>
        </w:rPr>
      </w:pPr>
      <w:r w:rsidRPr="008D3C26">
        <w:rPr>
          <w:rFonts w:ascii="Times New Roman" w:hAnsi="Times New Roman" w:cs="Times New Roman"/>
          <w:sz w:val="24"/>
          <w:szCs w:val="24"/>
        </w:rPr>
        <w:t>A</w:t>
      </w:r>
      <w:r w:rsidRPr="008D3C26">
        <w:rPr>
          <w:rFonts w:ascii="Times New Roman" w:hAnsi="Times New Roman" w:cs="Times New Roman"/>
          <w:color w:val="000000"/>
          <w:sz w:val="24"/>
          <w:szCs w:val="24"/>
        </w:rPr>
        <w:t xml:space="preserve"> Policy on Creative and Innovation outputs published in the Government Gazette by 31 March 2017. It was noted that the publication of the Policy was delayed due to the need to take the Council on Higher Education (CHE) advice into account before a final version could be developed for the Minister’s approval. </w:t>
      </w:r>
    </w:p>
    <w:p w14:paraId="2889A82A" w14:textId="77777777" w:rsidR="00E0007E" w:rsidRPr="008D3C26" w:rsidRDefault="00E0007E" w:rsidP="00E0007E">
      <w:pPr>
        <w:pStyle w:val="Pa11"/>
        <w:numPr>
          <w:ilvl w:val="0"/>
          <w:numId w:val="12"/>
        </w:numPr>
        <w:spacing w:before="40" w:after="40" w:line="360" w:lineRule="auto"/>
        <w:jc w:val="both"/>
        <w:rPr>
          <w:rFonts w:ascii="Times New Roman" w:hAnsi="Times New Roman" w:cs="Times New Roman"/>
          <w:color w:val="000000"/>
        </w:rPr>
      </w:pPr>
      <w:r w:rsidRPr="008D3C26">
        <w:rPr>
          <w:rFonts w:ascii="Times New Roman" w:hAnsi="Times New Roman" w:cs="Times New Roman"/>
          <w:color w:val="000000"/>
        </w:rPr>
        <w:t xml:space="preserve">A policy on Internationalisation of higher education published in the Government Gazette by 31 March 2017 The work towards the development of the policy was slow to get underway and completed. It was not possible to finalise and publish the final policy by the date originally targeted. The draft policy has been submitted to the Minister for approval to be published for public comment. It will be published once the Minister has approved the submission. </w:t>
      </w:r>
    </w:p>
    <w:p w14:paraId="44051DBD" w14:textId="77777777" w:rsidR="00E0007E" w:rsidRPr="008D3C26" w:rsidRDefault="00E0007E" w:rsidP="00E0007E">
      <w:pPr>
        <w:pStyle w:val="ListParagraph"/>
        <w:numPr>
          <w:ilvl w:val="0"/>
          <w:numId w:val="12"/>
        </w:numPr>
        <w:autoSpaceDE w:val="0"/>
        <w:autoSpaceDN w:val="0"/>
        <w:adjustRightInd w:val="0"/>
        <w:spacing w:before="40" w:after="40"/>
        <w:rPr>
          <w:rFonts w:ascii="Times New Roman" w:hAnsi="Times New Roman" w:cs="Times New Roman"/>
          <w:color w:val="000000"/>
          <w:sz w:val="24"/>
          <w:szCs w:val="24"/>
        </w:rPr>
      </w:pPr>
      <w:r w:rsidRPr="008D3C26">
        <w:rPr>
          <w:rFonts w:ascii="Times New Roman" w:hAnsi="Times New Roman" w:cs="Times New Roman"/>
          <w:color w:val="000000"/>
          <w:sz w:val="24"/>
          <w:szCs w:val="24"/>
        </w:rPr>
        <w:t xml:space="preserve">A policy on Community Service for Graduates published in the Government Gazette by 31 March 2017. It was reported that the Task Team report was finalised. However, a policy on the matter has not been developed. The Report </w:t>
      </w:r>
      <w:r w:rsidR="002D48B2" w:rsidRPr="008D3C26">
        <w:rPr>
          <w:rFonts w:ascii="Times New Roman" w:hAnsi="Times New Roman" w:cs="Times New Roman"/>
          <w:color w:val="000000"/>
          <w:sz w:val="24"/>
          <w:szCs w:val="24"/>
        </w:rPr>
        <w:t xml:space="preserve">on </w:t>
      </w:r>
      <w:r w:rsidRPr="008D3C26">
        <w:rPr>
          <w:rFonts w:ascii="Times New Roman" w:hAnsi="Times New Roman" w:cs="Times New Roman"/>
          <w:color w:val="000000"/>
          <w:sz w:val="24"/>
          <w:szCs w:val="24"/>
        </w:rPr>
        <w:t xml:space="preserve">Community Service for Graduates was taken to the Director-General’s Cluster for Governance and Administration. The recommendations of the report had major financial implications, and the Director- General’s cluster advised that the Minister should meet and consult with the Ministers of Labour and Public Service Administration regarding existing similar schemes that these departments are running with the view to making a strategic decision on whether it would be possible to incorporate graduate community service into these schemes. </w:t>
      </w:r>
    </w:p>
    <w:p w14:paraId="1352A445" w14:textId="77777777" w:rsidR="00E0007E" w:rsidRPr="008D3C26" w:rsidRDefault="00E0007E" w:rsidP="00E0007E">
      <w:pPr>
        <w:pStyle w:val="ListParagraph"/>
        <w:numPr>
          <w:ilvl w:val="0"/>
          <w:numId w:val="12"/>
        </w:numPr>
        <w:autoSpaceDE w:val="0"/>
        <w:autoSpaceDN w:val="0"/>
        <w:adjustRightInd w:val="0"/>
        <w:spacing w:before="20" w:after="20"/>
        <w:rPr>
          <w:rFonts w:ascii="Times New Roman" w:hAnsi="Times New Roman" w:cs="Times New Roman"/>
          <w:color w:val="000000"/>
          <w:sz w:val="24"/>
          <w:szCs w:val="24"/>
        </w:rPr>
      </w:pPr>
      <w:r w:rsidRPr="008D3C26">
        <w:rPr>
          <w:rFonts w:ascii="Times New Roman" w:hAnsi="Times New Roman" w:cs="Times New Roman"/>
          <w:color w:val="000000"/>
          <w:sz w:val="24"/>
          <w:szCs w:val="24"/>
        </w:rPr>
        <w:t xml:space="preserve">A draft policy statement on Differentiation in Higher Education was developed but requires further work and consultation before it can be published in the Government Gazette. The Department reported that the draft policy required substantial work and extensive further consultation before a final draft is produced for Ministerial approval and subsequent publication. </w:t>
      </w:r>
    </w:p>
    <w:p w14:paraId="64749EEA" w14:textId="77777777" w:rsidR="00E0007E" w:rsidRPr="008D3C26" w:rsidRDefault="00E0007E" w:rsidP="00E0007E">
      <w:pPr>
        <w:pStyle w:val="ListParagraph"/>
        <w:numPr>
          <w:ilvl w:val="0"/>
          <w:numId w:val="12"/>
        </w:numPr>
        <w:autoSpaceDE w:val="0"/>
        <w:autoSpaceDN w:val="0"/>
        <w:adjustRightInd w:val="0"/>
        <w:spacing w:before="20" w:after="20"/>
        <w:rPr>
          <w:rFonts w:ascii="Times New Roman" w:hAnsi="Times New Roman" w:cs="Times New Roman"/>
          <w:color w:val="000000"/>
          <w:sz w:val="24"/>
          <w:szCs w:val="24"/>
        </w:rPr>
      </w:pPr>
      <w:r w:rsidRPr="008D3C26">
        <w:rPr>
          <w:rFonts w:ascii="Times New Roman" w:hAnsi="Times New Roman" w:cs="Times New Roman"/>
          <w:color w:val="000000"/>
          <w:sz w:val="24"/>
          <w:szCs w:val="24"/>
        </w:rPr>
        <w:t xml:space="preserve">The target on the revised funding framework for public Higher Education Institutions was finalised and ready for publication to obtain public comments in November 2015. The Minister approved the framework but requested that it be taken to Cabinet before publication and further consultation. </w:t>
      </w:r>
    </w:p>
    <w:p w14:paraId="69016B85" w14:textId="77777777" w:rsidR="00E0007E" w:rsidRPr="008D3C26" w:rsidRDefault="00E0007E" w:rsidP="00E0007E">
      <w:pPr>
        <w:pStyle w:val="ListParagraph"/>
        <w:numPr>
          <w:ilvl w:val="0"/>
          <w:numId w:val="12"/>
        </w:numPr>
        <w:autoSpaceDE w:val="0"/>
        <w:autoSpaceDN w:val="0"/>
        <w:adjustRightInd w:val="0"/>
        <w:spacing w:before="20" w:after="20"/>
        <w:rPr>
          <w:rFonts w:ascii="Times New Roman" w:hAnsi="Times New Roman" w:cs="Times New Roman"/>
          <w:color w:val="000000"/>
          <w:sz w:val="24"/>
          <w:szCs w:val="24"/>
        </w:rPr>
      </w:pPr>
      <w:r w:rsidRPr="008D3C26">
        <w:rPr>
          <w:rFonts w:ascii="Times New Roman" w:hAnsi="Times New Roman" w:cs="Times New Roman"/>
          <w:color w:val="000000"/>
          <w:sz w:val="24"/>
          <w:szCs w:val="24"/>
        </w:rPr>
        <w:t xml:space="preserve">A draft revised Language Policy for Higher Education was developed for public comments. The draft policy was inadequate and did not fulfil the policy consultation process for public comment. A project plan for taking the draft through a robust </w:t>
      </w:r>
      <w:r w:rsidRPr="008D3C26">
        <w:rPr>
          <w:rFonts w:ascii="Times New Roman" w:hAnsi="Times New Roman" w:cs="Times New Roman"/>
          <w:color w:val="000000"/>
          <w:sz w:val="24"/>
          <w:szCs w:val="24"/>
        </w:rPr>
        <w:lastRenderedPageBreak/>
        <w:t xml:space="preserve">consultative development process to enable it to be published for public comment, has been set in place. </w:t>
      </w:r>
    </w:p>
    <w:p w14:paraId="7686B876" w14:textId="77777777" w:rsidR="00E0007E" w:rsidRPr="008D3C26" w:rsidRDefault="00E0007E" w:rsidP="00E0007E">
      <w:pPr>
        <w:rPr>
          <w:rFonts w:ascii="Times New Roman" w:hAnsi="Times New Roman" w:cs="Times New Roman"/>
          <w:sz w:val="24"/>
          <w:szCs w:val="24"/>
        </w:rPr>
      </w:pPr>
      <w:r w:rsidRPr="008D3C26">
        <w:rPr>
          <w:rFonts w:ascii="Times New Roman" w:hAnsi="Times New Roman" w:cs="Times New Roman"/>
          <w:sz w:val="24"/>
          <w:szCs w:val="24"/>
        </w:rPr>
        <w:t xml:space="preserve">The NDP/MTSF has set targets for the higher education sector, and funding allocation amounting to R27.964 billion was made to the </w:t>
      </w:r>
      <w:r w:rsidR="00847A45" w:rsidRPr="008D3C26">
        <w:rPr>
          <w:rFonts w:ascii="Times New Roman" w:hAnsi="Times New Roman" w:cs="Times New Roman"/>
          <w:sz w:val="24"/>
          <w:szCs w:val="24"/>
        </w:rPr>
        <w:t>s</w:t>
      </w:r>
      <w:r w:rsidRPr="008D3C26">
        <w:rPr>
          <w:rFonts w:ascii="Times New Roman" w:hAnsi="Times New Roman" w:cs="Times New Roman"/>
          <w:sz w:val="24"/>
          <w:szCs w:val="24"/>
        </w:rPr>
        <w:t>ector as subsidies, inclusive of R2.422 billion for infrastructure projects and R974.376 million for new universities (University of Mpumalanga and Sol Plaatje University) for building, maintenance and upgrading. This was to expand access through infrastructure development (expanding student accommodation and teaching and learning facilities, and to fund other operations of the universities so as to increase access and throughput rates</w:t>
      </w:r>
      <w:r w:rsidR="002D48B2" w:rsidRPr="008D3C26">
        <w:rPr>
          <w:rFonts w:ascii="Times New Roman" w:hAnsi="Times New Roman" w:cs="Times New Roman"/>
          <w:sz w:val="24"/>
          <w:szCs w:val="24"/>
        </w:rPr>
        <w:t>)</w:t>
      </w:r>
      <w:r w:rsidRPr="008D3C26">
        <w:rPr>
          <w:rFonts w:ascii="Times New Roman" w:hAnsi="Times New Roman" w:cs="Times New Roman"/>
          <w:sz w:val="24"/>
          <w:szCs w:val="24"/>
        </w:rPr>
        <w:t xml:space="preserve">. </w:t>
      </w:r>
    </w:p>
    <w:p w14:paraId="295F7D55" w14:textId="77777777" w:rsidR="00E0007E" w:rsidRPr="008D3C26" w:rsidRDefault="00E0007E" w:rsidP="009C471E">
      <w:pPr>
        <w:rPr>
          <w:rFonts w:ascii="Times New Roman" w:hAnsi="Times New Roman" w:cs="Times New Roman"/>
          <w:sz w:val="24"/>
          <w:szCs w:val="24"/>
        </w:rPr>
      </w:pPr>
      <w:r w:rsidRPr="008D3C26">
        <w:rPr>
          <w:rFonts w:ascii="Times New Roman" w:hAnsi="Times New Roman" w:cs="Times New Roman"/>
          <w:sz w:val="24"/>
          <w:szCs w:val="24"/>
        </w:rPr>
        <w:t xml:space="preserve">The programme had 15 system targets (NDP/MTSF related targets), which 12 (80 per cent) were achieved and three (20 per cent) were not achieved. The </w:t>
      </w:r>
      <w:r w:rsidR="00847A45" w:rsidRPr="008D3C26">
        <w:rPr>
          <w:rFonts w:ascii="Times New Roman" w:hAnsi="Times New Roman" w:cs="Times New Roman"/>
          <w:sz w:val="24"/>
          <w:szCs w:val="24"/>
        </w:rPr>
        <w:t xml:space="preserve">system </w:t>
      </w:r>
      <w:r w:rsidRPr="008D3C26">
        <w:rPr>
          <w:rFonts w:ascii="Times New Roman" w:hAnsi="Times New Roman" w:cs="Times New Roman"/>
          <w:sz w:val="24"/>
          <w:szCs w:val="24"/>
        </w:rPr>
        <w:t>targets were achieved the follow</w:t>
      </w:r>
      <w:r w:rsidR="00847A45" w:rsidRPr="008D3C26">
        <w:rPr>
          <w:rFonts w:ascii="Times New Roman" w:hAnsi="Times New Roman" w:cs="Times New Roman"/>
          <w:sz w:val="24"/>
          <w:szCs w:val="24"/>
        </w:rPr>
        <w:t>s</w:t>
      </w:r>
      <w:r w:rsidRPr="008D3C26">
        <w:rPr>
          <w:rFonts w:ascii="Times New Roman" w:hAnsi="Times New Roman" w:cs="Times New Roman"/>
          <w:sz w:val="24"/>
          <w:szCs w:val="24"/>
        </w:rPr>
        <w:t>:</w:t>
      </w:r>
      <w:r w:rsidR="009C471E" w:rsidRPr="008D3C26">
        <w:rPr>
          <w:rFonts w:ascii="Times New Roman" w:hAnsi="Times New Roman" w:cs="Times New Roman"/>
          <w:sz w:val="24"/>
          <w:szCs w:val="24"/>
        </w:rPr>
        <w:t xml:space="preserve"> </w:t>
      </w:r>
      <w:r w:rsidRPr="008D3C26">
        <w:rPr>
          <w:rFonts w:ascii="Times New Roman" w:eastAsiaTheme="minorEastAsia" w:hAnsi="Times New Roman" w:cs="Times New Roman"/>
          <w:color w:val="000000" w:themeColor="text1"/>
          <w:kern w:val="24"/>
          <w:sz w:val="24"/>
          <w:szCs w:val="24"/>
        </w:rPr>
        <w:t xml:space="preserve">984 000 </w:t>
      </w:r>
      <w:r w:rsidRPr="008D3C26">
        <w:rPr>
          <w:rFonts w:ascii="Times New Roman" w:hAnsi="Times New Roman" w:cs="Times New Roman"/>
          <w:sz w:val="24"/>
          <w:szCs w:val="24"/>
        </w:rPr>
        <w:t>students enrolled in public higher education studies at universities (achievement 985 212)</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10 600 graduates in Engineering Sciences from un</w:t>
      </w:r>
      <w:r w:rsidR="009C471E" w:rsidRPr="008D3C26">
        <w:rPr>
          <w:rFonts w:ascii="Times New Roman" w:hAnsi="Times New Roman" w:cs="Times New Roman"/>
          <w:sz w:val="24"/>
          <w:szCs w:val="24"/>
        </w:rPr>
        <w:t xml:space="preserve">iversities (achievement 12 470); </w:t>
      </w:r>
      <w:r w:rsidRPr="008D3C26">
        <w:rPr>
          <w:rFonts w:ascii="Times New Roman" w:hAnsi="Times New Roman" w:cs="Times New Roman"/>
          <w:sz w:val="24"/>
          <w:szCs w:val="24"/>
        </w:rPr>
        <w:t>9 700 graduates in Human Health and Animal Health from universities (achievement 9 851)</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6 900 graduates in Natural and Physical Sciences (achievement 7 919)</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18 300 graduates in Initial Teacher Education from universities (achievement 20 698)</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2 200 Doctoral graduates from universities (achievement 2 530)</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6 500 Research Masters graduates (achievement 7 317)</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77 per</w:t>
      </w:r>
      <w:r w:rsidR="00D21284" w:rsidRPr="008D3C26">
        <w:rPr>
          <w:rFonts w:ascii="Times New Roman" w:hAnsi="Times New Roman" w:cs="Times New Roman"/>
          <w:sz w:val="24"/>
          <w:szCs w:val="24"/>
        </w:rPr>
        <w:t xml:space="preserve"> </w:t>
      </w:r>
      <w:r w:rsidRPr="008D3C26">
        <w:rPr>
          <w:rFonts w:ascii="Times New Roman" w:hAnsi="Times New Roman" w:cs="Times New Roman"/>
          <w:sz w:val="24"/>
          <w:szCs w:val="24"/>
        </w:rPr>
        <w:t>cent success rate at universities (achievement 78 percent)</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80 percent higher education under graduate success rate for contact students (achievement 83 percent)</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68 percent higher education undergraduate success rate in distance learning (achievement 68 per</w:t>
      </w:r>
      <w:r w:rsidR="00D21284" w:rsidRPr="008D3C26">
        <w:rPr>
          <w:rFonts w:ascii="Times New Roman" w:hAnsi="Times New Roman" w:cs="Times New Roman"/>
          <w:sz w:val="24"/>
          <w:szCs w:val="24"/>
        </w:rPr>
        <w:t xml:space="preserve"> </w:t>
      </w:r>
      <w:r w:rsidRPr="008D3C26">
        <w:rPr>
          <w:rFonts w:ascii="Times New Roman" w:hAnsi="Times New Roman" w:cs="Times New Roman"/>
          <w:sz w:val="24"/>
          <w:szCs w:val="24"/>
        </w:rPr>
        <w:t>cent)</w:t>
      </w:r>
      <w:r w:rsidR="009C471E" w:rsidRPr="008D3C26">
        <w:rPr>
          <w:rFonts w:ascii="Times New Roman" w:hAnsi="Times New Roman" w:cs="Times New Roman"/>
          <w:sz w:val="24"/>
          <w:szCs w:val="24"/>
        </w:rPr>
        <w:t xml:space="preserve">, and </w:t>
      </w:r>
      <w:r w:rsidRPr="008D3C26">
        <w:rPr>
          <w:rFonts w:ascii="Times New Roman" w:hAnsi="Times New Roman" w:cs="Times New Roman"/>
          <w:sz w:val="24"/>
          <w:szCs w:val="24"/>
        </w:rPr>
        <w:t>43 per</w:t>
      </w:r>
      <w:r w:rsidR="00D21284" w:rsidRPr="008D3C26">
        <w:rPr>
          <w:rFonts w:ascii="Times New Roman" w:hAnsi="Times New Roman" w:cs="Times New Roman"/>
          <w:sz w:val="24"/>
          <w:szCs w:val="24"/>
        </w:rPr>
        <w:t xml:space="preserve"> </w:t>
      </w:r>
      <w:r w:rsidRPr="008D3C26">
        <w:rPr>
          <w:rFonts w:ascii="Times New Roman" w:hAnsi="Times New Roman" w:cs="Times New Roman"/>
          <w:sz w:val="24"/>
          <w:szCs w:val="24"/>
        </w:rPr>
        <w:t>cent percentage of University academic staff with Doctoral qualifications / PHDs (achievement 44 percent).</w:t>
      </w:r>
    </w:p>
    <w:p w14:paraId="4F57E019" w14:textId="77777777" w:rsidR="00E0007E" w:rsidRPr="008D3C26" w:rsidRDefault="00847A45" w:rsidP="00E0007E">
      <w:pPr>
        <w:spacing w:after="0"/>
        <w:rPr>
          <w:rFonts w:ascii="Times New Roman" w:hAnsi="Times New Roman" w:cs="Times New Roman"/>
          <w:sz w:val="24"/>
          <w:szCs w:val="24"/>
        </w:rPr>
      </w:pPr>
      <w:r w:rsidRPr="008D3C26">
        <w:rPr>
          <w:rFonts w:ascii="Times New Roman" w:hAnsi="Times New Roman" w:cs="Times New Roman"/>
          <w:sz w:val="24"/>
          <w:szCs w:val="24"/>
        </w:rPr>
        <w:t>The a</w:t>
      </w:r>
      <w:r w:rsidR="00E0007E" w:rsidRPr="008D3C26">
        <w:rPr>
          <w:rFonts w:ascii="Times New Roman" w:hAnsi="Times New Roman" w:cs="Times New Roman"/>
          <w:sz w:val="24"/>
          <w:szCs w:val="24"/>
        </w:rPr>
        <w:t>llocation to NSFAS was increased from R</w:t>
      </w:r>
      <w:r w:rsidR="009C471E" w:rsidRPr="008D3C26">
        <w:rPr>
          <w:rFonts w:ascii="Times New Roman" w:hAnsi="Times New Roman" w:cs="Times New Roman"/>
          <w:sz w:val="24"/>
          <w:szCs w:val="24"/>
        </w:rPr>
        <w:t>6</w:t>
      </w:r>
      <w:r w:rsidR="00E0007E" w:rsidRPr="008D3C26">
        <w:rPr>
          <w:rFonts w:ascii="Times New Roman" w:hAnsi="Times New Roman" w:cs="Times New Roman"/>
          <w:sz w:val="24"/>
          <w:szCs w:val="24"/>
        </w:rPr>
        <w:t>.</w:t>
      </w:r>
      <w:r w:rsidR="009C471E" w:rsidRPr="008D3C26">
        <w:rPr>
          <w:rFonts w:ascii="Times New Roman" w:hAnsi="Times New Roman" w:cs="Times New Roman"/>
          <w:sz w:val="24"/>
          <w:szCs w:val="24"/>
        </w:rPr>
        <w:t>4</w:t>
      </w:r>
      <w:r w:rsidR="0093108B" w:rsidRPr="008D3C26">
        <w:rPr>
          <w:rFonts w:ascii="Times New Roman" w:hAnsi="Times New Roman" w:cs="Times New Roman"/>
          <w:sz w:val="24"/>
          <w:szCs w:val="24"/>
        </w:rPr>
        <w:t>4</w:t>
      </w:r>
      <w:r w:rsidR="009C471E" w:rsidRPr="008D3C26">
        <w:rPr>
          <w:rFonts w:ascii="Times New Roman" w:hAnsi="Times New Roman" w:cs="Times New Roman"/>
          <w:sz w:val="24"/>
          <w:szCs w:val="24"/>
        </w:rPr>
        <w:t>8</w:t>
      </w:r>
      <w:r w:rsidR="00E0007E" w:rsidRPr="008D3C26">
        <w:rPr>
          <w:rFonts w:ascii="Times New Roman" w:hAnsi="Times New Roman" w:cs="Times New Roman"/>
          <w:sz w:val="24"/>
          <w:szCs w:val="24"/>
        </w:rPr>
        <w:t xml:space="preserve"> billion in 2015/16 to R11.39</w:t>
      </w:r>
      <w:r w:rsidR="0093108B" w:rsidRPr="008D3C26">
        <w:rPr>
          <w:rFonts w:ascii="Times New Roman" w:hAnsi="Times New Roman" w:cs="Times New Roman"/>
          <w:sz w:val="24"/>
          <w:szCs w:val="24"/>
        </w:rPr>
        <w:t>2</w:t>
      </w:r>
      <w:r w:rsidR="00E0007E" w:rsidRPr="008D3C26">
        <w:rPr>
          <w:rFonts w:ascii="Times New Roman" w:hAnsi="Times New Roman" w:cs="Times New Roman"/>
          <w:sz w:val="24"/>
          <w:szCs w:val="24"/>
        </w:rPr>
        <w:t xml:space="preserve"> billion in 2016/17 financial year. The increase in 2016/17 budget allocation was to cater for zero per cent fee increment as announced by government as well as the historic debt relief for NSFAS students who were inadequately funded over three years (2013-2015 academic years), and those who qualified but could not be funded. This was to ensure that student</w:t>
      </w:r>
      <w:r w:rsidR="002D48B2" w:rsidRPr="008D3C26">
        <w:rPr>
          <w:rFonts w:ascii="Times New Roman" w:hAnsi="Times New Roman" w:cs="Times New Roman"/>
          <w:sz w:val="24"/>
          <w:szCs w:val="24"/>
        </w:rPr>
        <w:t>s</w:t>
      </w:r>
      <w:r w:rsidR="00E0007E" w:rsidRPr="008D3C26">
        <w:rPr>
          <w:rFonts w:ascii="Times New Roman" w:hAnsi="Times New Roman" w:cs="Times New Roman"/>
          <w:sz w:val="24"/>
          <w:szCs w:val="24"/>
        </w:rPr>
        <w:t xml:space="preserve"> who were academically capable were not financially excluded to access and succeed in higher education. The increase in allocation to NSFAS has ensured that the target to have 205 000 eligible student obtaining financial aid was achieved and exceeded by 20 950.  </w:t>
      </w:r>
    </w:p>
    <w:p w14:paraId="793CFE17" w14:textId="77777777" w:rsidR="0093108B" w:rsidRPr="008D3C26" w:rsidRDefault="0093108B" w:rsidP="00E0007E">
      <w:pPr>
        <w:spacing w:after="0"/>
        <w:rPr>
          <w:rFonts w:ascii="Times New Roman" w:hAnsi="Times New Roman" w:cs="Times New Roman"/>
          <w:sz w:val="24"/>
          <w:szCs w:val="24"/>
        </w:rPr>
      </w:pPr>
    </w:p>
    <w:p w14:paraId="33EC9E7C" w14:textId="77777777" w:rsidR="00E0007E" w:rsidRPr="008D3C26" w:rsidRDefault="00E0007E" w:rsidP="00E0007E">
      <w:pPr>
        <w:spacing w:after="0"/>
        <w:rPr>
          <w:rFonts w:ascii="Times New Roman" w:hAnsi="Times New Roman" w:cs="Times New Roman"/>
          <w:sz w:val="24"/>
          <w:szCs w:val="24"/>
        </w:rPr>
      </w:pPr>
      <w:r w:rsidRPr="008D3C26">
        <w:rPr>
          <w:rFonts w:ascii="Times New Roman" w:hAnsi="Times New Roman" w:cs="Times New Roman"/>
          <w:sz w:val="24"/>
          <w:szCs w:val="24"/>
        </w:rPr>
        <w:t>The following were targets not achieved as planned:</w:t>
      </w:r>
    </w:p>
    <w:p w14:paraId="1788C4B4" w14:textId="77777777" w:rsidR="00E0007E" w:rsidRPr="008D3C26" w:rsidRDefault="00E0007E" w:rsidP="00E0007E">
      <w:pPr>
        <w:pStyle w:val="ListParagraph"/>
        <w:numPr>
          <w:ilvl w:val="0"/>
          <w:numId w:val="11"/>
        </w:numPr>
        <w:spacing w:after="0"/>
        <w:rPr>
          <w:rFonts w:ascii="Times New Roman" w:hAnsi="Times New Roman" w:cs="Times New Roman"/>
          <w:sz w:val="24"/>
          <w:szCs w:val="24"/>
        </w:rPr>
      </w:pPr>
      <w:r w:rsidRPr="008D3C26">
        <w:rPr>
          <w:rFonts w:ascii="Times New Roman" w:hAnsi="Times New Roman" w:cs="Times New Roman"/>
          <w:sz w:val="24"/>
          <w:szCs w:val="24"/>
        </w:rPr>
        <w:lastRenderedPageBreak/>
        <w:t xml:space="preserve">10 Universities offering accredited TVET College qualifications (achievement 1). The underperformance in this area </w:t>
      </w:r>
      <w:r w:rsidR="0093108B" w:rsidRPr="008D3C26">
        <w:rPr>
          <w:rFonts w:ascii="Times New Roman" w:hAnsi="Times New Roman" w:cs="Times New Roman"/>
          <w:sz w:val="24"/>
          <w:szCs w:val="24"/>
        </w:rPr>
        <w:t>was</w:t>
      </w:r>
      <w:r w:rsidRPr="008D3C26">
        <w:rPr>
          <w:rFonts w:ascii="Times New Roman" w:hAnsi="Times New Roman" w:cs="Times New Roman"/>
          <w:sz w:val="24"/>
          <w:szCs w:val="24"/>
        </w:rPr>
        <w:t xml:space="preserve"> of great concern, given the challenges of underqualified and unqualified </w:t>
      </w:r>
      <w:r w:rsidR="0093108B" w:rsidRPr="008D3C26">
        <w:rPr>
          <w:rFonts w:ascii="Times New Roman" w:hAnsi="Times New Roman" w:cs="Times New Roman"/>
          <w:sz w:val="24"/>
          <w:szCs w:val="24"/>
        </w:rPr>
        <w:t xml:space="preserve">lecturers </w:t>
      </w:r>
      <w:r w:rsidRPr="008D3C26">
        <w:rPr>
          <w:rFonts w:ascii="Times New Roman" w:hAnsi="Times New Roman" w:cs="Times New Roman"/>
          <w:sz w:val="24"/>
          <w:szCs w:val="24"/>
        </w:rPr>
        <w:t xml:space="preserve">with inappropriate or lack of pedagogical training. </w:t>
      </w:r>
      <w:r w:rsidR="0093108B" w:rsidRPr="008D3C26">
        <w:rPr>
          <w:rFonts w:ascii="Times New Roman" w:hAnsi="Times New Roman" w:cs="Times New Roman"/>
          <w:sz w:val="24"/>
          <w:szCs w:val="24"/>
        </w:rPr>
        <w:t>T</w:t>
      </w:r>
      <w:r w:rsidRPr="008D3C26">
        <w:rPr>
          <w:rFonts w:ascii="Times New Roman" w:hAnsi="Times New Roman" w:cs="Times New Roman"/>
          <w:sz w:val="24"/>
          <w:szCs w:val="24"/>
        </w:rPr>
        <w:t>his ha</w:t>
      </w:r>
      <w:r w:rsidR="0093108B" w:rsidRPr="008D3C26">
        <w:rPr>
          <w:rFonts w:ascii="Times New Roman" w:hAnsi="Times New Roman" w:cs="Times New Roman"/>
          <w:sz w:val="24"/>
          <w:szCs w:val="24"/>
        </w:rPr>
        <w:t>d</w:t>
      </w:r>
      <w:r w:rsidRPr="008D3C26">
        <w:rPr>
          <w:rFonts w:ascii="Times New Roman" w:hAnsi="Times New Roman" w:cs="Times New Roman"/>
          <w:sz w:val="24"/>
          <w:szCs w:val="24"/>
        </w:rPr>
        <w:t xml:space="preserve"> contributed to </w:t>
      </w:r>
      <w:r w:rsidR="0093108B"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low certification and throughput rate in the TVET sector. The Department reported that there was no funding to implement this target. However, funding was </w:t>
      </w:r>
      <w:r w:rsidR="002D48B2" w:rsidRPr="008D3C26">
        <w:rPr>
          <w:rFonts w:ascii="Times New Roman" w:hAnsi="Times New Roman" w:cs="Times New Roman"/>
          <w:sz w:val="24"/>
          <w:szCs w:val="24"/>
        </w:rPr>
        <w:t xml:space="preserve">subsequently </w:t>
      </w:r>
      <w:r w:rsidRPr="008D3C26">
        <w:rPr>
          <w:rFonts w:ascii="Times New Roman" w:hAnsi="Times New Roman" w:cs="Times New Roman"/>
          <w:sz w:val="24"/>
          <w:szCs w:val="24"/>
        </w:rPr>
        <w:t>secured and 12 institutions are supported to develop new programmes.</w:t>
      </w:r>
    </w:p>
    <w:p w14:paraId="74EEF611" w14:textId="77777777" w:rsidR="00E0007E" w:rsidRPr="008D3C26" w:rsidRDefault="00E0007E" w:rsidP="00E0007E">
      <w:pPr>
        <w:pStyle w:val="ListParagraph"/>
        <w:numPr>
          <w:ilvl w:val="0"/>
          <w:numId w:val="11"/>
        </w:numPr>
        <w:spacing w:after="0"/>
        <w:rPr>
          <w:rFonts w:ascii="Times New Roman" w:hAnsi="Times New Roman" w:cs="Times New Roman"/>
          <w:sz w:val="24"/>
          <w:szCs w:val="24"/>
        </w:rPr>
      </w:pPr>
      <w:r w:rsidRPr="008D3C26">
        <w:rPr>
          <w:rFonts w:ascii="Times New Roman" w:hAnsi="Times New Roman" w:cs="Times New Roman"/>
          <w:sz w:val="24"/>
          <w:szCs w:val="24"/>
        </w:rPr>
        <w:t xml:space="preserve">100 additional first-time entrants (black and women) to academic workforce (achievement 90). It was reported that disruptions </w:t>
      </w:r>
      <w:r w:rsidR="0093108B" w:rsidRPr="008D3C26">
        <w:rPr>
          <w:rFonts w:ascii="Times New Roman" w:hAnsi="Times New Roman" w:cs="Times New Roman"/>
          <w:sz w:val="24"/>
          <w:szCs w:val="24"/>
        </w:rPr>
        <w:t>at</w:t>
      </w:r>
      <w:r w:rsidRPr="008D3C26">
        <w:rPr>
          <w:rFonts w:ascii="Times New Roman" w:hAnsi="Times New Roman" w:cs="Times New Roman"/>
          <w:sz w:val="24"/>
          <w:szCs w:val="24"/>
        </w:rPr>
        <w:t xml:space="preserve"> universities due to from September </w:t>
      </w:r>
      <w:r w:rsidR="0093108B" w:rsidRPr="008D3C26">
        <w:rPr>
          <w:rFonts w:ascii="Times New Roman" w:hAnsi="Times New Roman" w:cs="Times New Roman"/>
          <w:sz w:val="24"/>
          <w:szCs w:val="24"/>
        </w:rPr>
        <w:t xml:space="preserve">to </w:t>
      </w:r>
      <w:r w:rsidRPr="008D3C26">
        <w:rPr>
          <w:rFonts w:ascii="Times New Roman" w:hAnsi="Times New Roman" w:cs="Times New Roman"/>
          <w:sz w:val="24"/>
          <w:szCs w:val="24"/>
        </w:rPr>
        <w:t xml:space="preserve">December </w:t>
      </w:r>
      <w:r w:rsidR="0093108B" w:rsidRPr="008D3C26">
        <w:rPr>
          <w:rFonts w:ascii="Times New Roman" w:hAnsi="Times New Roman" w:cs="Times New Roman"/>
          <w:sz w:val="24"/>
          <w:szCs w:val="24"/>
        </w:rPr>
        <w:t xml:space="preserve">2016 </w:t>
      </w:r>
      <w:r w:rsidRPr="008D3C26">
        <w:rPr>
          <w:rFonts w:ascii="Times New Roman" w:hAnsi="Times New Roman" w:cs="Times New Roman"/>
          <w:sz w:val="24"/>
          <w:szCs w:val="24"/>
        </w:rPr>
        <w:t xml:space="preserve">caused </w:t>
      </w:r>
      <w:r w:rsidR="0093108B"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delays </w:t>
      </w:r>
      <w:r w:rsidR="0093108B" w:rsidRPr="008D3C26">
        <w:rPr>
          <w:rFonts w:ascii="Times New Roman" w:hAnsi="Times New Roman" w:cs="Times New Roman"/>
          <w:sz w:val="24"/>
          <w:szCs w:val="24"/>
        </w:rPr>
        <w:t>in</w:t>
      </w:r>
      <w:r w:rsidRPr="008D3C26">
        <w:rPr>
          <w:rFonts w:ascii="Times New Roman" w:hAnsi="Times New Roman" w:cs="Times New Roman"/>
          <w:sz w:val="24"/>
          <w:szCs w:val="24"/>
        </w:rPr>
        <w:t xml:space="preserve"> fill</w:t>
      </w:r>
      <w:r w:rsidR="0093108B" w:rsidRPr="008D3C26">
        <w:rPr>
          <w:rFonts w:ascii="Times New Roman" w:hAnsi="Times New Roman" w:cs="Times New Roman"/>
          <w:sz w:val="24"/>
          <w:szCs w:val="24"/>
        </w:rPr>
        <w:t>ing</w:t>
      </w:r>
      <w:r w:rsidRPr="008D3C26">
        <w:rPr>
          <w:rFonts w:ascii="Times New Roman" w:hAnsi="Times New Roman" w:cs="Times New Roman"/>
          <w:sz w:val="24"/>
          <w:szCs w:val="24"/>
        </w:rPr>
        <w:t xml:space="preserve"> the posts. </w:t>
      </w:r>
    </w:p>
    <w:p w14:paraId="0E62F1B9" w14:textId="77777777" w:rsidR="00E0007E" w:rsidRPr="008D3C26" w:rsidRDefault="00E0007E" w:rsidP="00E0007E">
      <w:pPr>
        <w:pStyle w:val="ListParagraph"/>
        <w:numPr>
          <w:ilvl w:val="0"/>
          <w:numId w:val="11"/>
        </w:numPr>
        <w:spacing w:after="0"/>
        <w:rPr>
          <w:rFonts w:ascii="Times New Roman" w:hAnsi="Times New Roman" w:cs="Times New Roman"/>
          <w:sz w:val="24"/>
          <w:szCs w:val="24"/>
        </w:rPr>
      </w:pPr>
      <w:r w:rsidRPr="008D3C26">
        <w:rPr>
          <w:rFonts w:ascii="Times New Roman" w:hAnsi="Times New Roman" w:cs="Times New Roman"/>
          <w:sz w:val="24"/>
          <w:szCs w:val="24"/>
        </w:rPr>
        <w:t xml:space="preserve">30 400 first year students in foundation programmes (achievement 17 977). This was due to the exclusion of the University of South Africa students as the programme had not been approved and Tshwane University of Technology enrolled fewer students. </w:t>
      </w:r>
    </w:p>
    <w:p w14:paraId="04E01051" w14:textId="77777777" w:rsidR="00355F84" w:rsidRPr="008D3C26" w:rsidRDefault="00355F84" w:rsidP="00E01B75">
      <w:pPr>
        <w:spacing w:after="0"/>
        <w:rPr>
          <w:rFonts w:ascii="Times New Roman" w:hAnsi="Times New Roman" w:cs="Times New Roman"/>
          <w:b/>
          <w:sz w:val="24"/>
          <w:szCs w:val="24"/>
        </w:rPr>
      </w:pPr>
    </w:p>
    <w:p w14:paraId="22DE9931" w14:textId="77777777" w:rsidR="00E01B75" w:rsidRPr="008D3C26" w:rsidRDefault="001129A1" w:rsidP="00E01B75">
      <w:pPr>
        <w:spacing w:after="0"/>
        <w:rPr>
          <w:rFonts w:ascii="Times New Roman" w:hAnsi="Times New Roman" w:cs="Times New Roman"/>
          <w:b/>
          <w:sz w:val="24"/>
          <w:szCs w:val="24"/>
        </w:rPr>
      </w:pPr>
      <w:r w:rsidRPr="008D3C26">
        <w:rPr>
          <w:rFonts w:ascii="Times New Roman" w:hAnsi="Times New Roman" w:cs="Times New Roman"/>
          <w:b/>
          <w:sz w:val="24"/>
          <w:szCs w:val="24"/>
        </w:rPr>
        <w:t>5.</w:t>
      </w:r>
      <w:r w:rsidR="008811BF" w:rsidRPr="008D3C26">
        <w:rPr>
          <w:rFonts w:ascii="Times New Roman" w:hAnsi="Times New Roman" w:cs="Times New Roman"/>
          <w:b/>
          <w:sz w:val="24"/>
          <w:szCs w:val="24"/>
        </w:rPr>
        <w:t>2</w:t>
      </w:r>
      <w:r w:rsidR="00E01B75" w:rsidRPr="008D3C26">
        <w:rPr>
          <w:rFonts w:ascii="Times New Roman" w:hAnsi="Times New Roman" w:cs="Times New Roman"/>
          <w:b/>
          <w:sz w:val="24"/>
          <w:szCs w:val="24"/>
        </w:rPr>
        <w:t>.4. Programme 4: Technical and Vocational Education and Training</w:t>
      </w:r>
    </w:p>
    <w:p w14:paraId="50A7B541" w14:textId="77777777" w:rsidR="005124C3" w:rsidRPr="008D3C26" w:rsidRDefault="005124C3" w:rsidP="005124C3">
      <w:pPr>
        <w:rPr>
          <w:rFonts w:ascii="Times New Roman" w:hAnsi="Times New Roman" w:cs="Times New Roman"/>
          <w:color w:val="000000"/>
          <w:sz w:val="24"/>
          <w:szCs w:val="24"/>
        </w:rPr>
      </w:pPr>
      <w:r w:rsidRPr="008D3C26">
        <w:rPr>
          <w:rFonts w:ascii="Times New Roman" w:hAnsi="Times New Roman" w:cs="Times New Roman"/>
          <w:sz w:val="24"/>
          <w:szCs w:val="24"/>
        </w:rPr>
        <w:t xml:space="preserve">The purpose of this programme is to plan, develop, implement, monitor, maintain and evaluate national policy, programmes, assessment practices and systems for TVET. The programme had six (6) strategic objectives for the year under review: to develop three (3) and revise four (4) legislative and guiding frameworks aimed at steering the Technical and Vocational Education and Training sector by 31 March 2020; to standardise the level of governance across TVET institutions through monitoring and reporting on implementation of proposed best practice policies and guidelines issued by the Department of Higher Education and Training; to improve </w:t>
      </w:r>
      <w:r w:rsidRPr="008D3C26">
        <w:rPr>
          <w:rFonts w:ascii="Times New Roman" w:hAnsi="Times New Roman" w:cs="Times New Roman"/>
          <w:color w:val="000000"/>
          <w:sz w:val="24"/>
          <w:szCs w:val="24"/>
        </w:rPr>
        <w:t xml:space="preserve">performance in programmes offered in TVET institutions through annual reporting and implementation of Teaching and Learning Support Plans and Student Support Plans by 31 March 2020; to improve success in programmes offered in TVET institutions by developing and implementing an appropriate student support plan by 31 March 2020; to strengthen geographic spread of TVET institutions through the establishment of 12 additional sites of delivery (i.e. campuses) by 31 March 2020; and to establish a functioning coordinating structure within the Department for support and research in the TVET sector by 31 March 2020. </w:t>
      </w:r>
    </w:p>
    <w:p w14:paraId="4CE17141" w14:textId="77777777" w:rsidR="005124C3" w:rsidRPr="008D3C26" w:rsidRDefault="005124C3" w:rsidP="005124C3">
      <w:pPr>
        <w:rPr>
          <w:rFonts w:ascii="Times New Roman" w:hAnsi="Times New Roman" w:cs="Times New Roman"/>
          <w:color w:val="000000"/>
          <w:sz w:val="24"/>
          <w:szCs w:val="24"/>
        </w:rPr>
      </w:pPr>
      <w:r w:rsidRPr="008D3C26">
        <w:rPr>
          <w:rFonts w:ascii="Times New Roman" w:hAnsi="Times New Roman" w:cs="Times New Roman"/>
          <w:color w:val="000000"/>
          <w:sz w:val="24"/>
          <w:szCs w:val="24"/>
        </w:rPr>
        <w:t>The programme had 11 targets (</w:t>
      </w:r>
      <w:r w:rsidR="002D48B2" w:rsidRPr="008D3C26">
        <w:rPr>
          <w:rFonts w:ascii="Times New Roman" w:hAnsi="Times New Roman" w:cs="Times New Roman"/>
          <w:color w:val="000000"/>
          <w:sz w:val="24"/>
          <w:szCs w:val="24"/>
        </w:rPr>
        <w:t>d</w:t>
      </w:r>
      <w:r w:rsidR="00CE064E" w:rsidRPr="008D3C26">
        <w:rPr>
          <w:rFonts w:ascii="Times New Roman" w:hAnsi="Times New Roman" w:cs="Times New Roman"/>
          <w:color w:val="000000"/>
          <w:sz w:val="24"/>
          <w:szCs w:val="24"/>
        </w:rPr>
        <w:t>epartmental targets</w:t>
      </w:r>
      <w:r w:rsidRPr="008D3C26">
        <w:rPr>
          <w:rFonts w:ascii="Times New Roman" w:hAnsi="Times New Roman" w:cs="Times New Roman"/>
          <w:color w:val="000000"/>
          <w:sz w:val="24"/>
          <w:szCs w:val="24"/>
        </w:rPr>
        <w:t xml:space="preserve">) and 12 system targets planned for the year under review. Of the 11 </w:t>
      </w:r>
      <w:r w:rsidR="002D48B2" w:rsidRPr="008D3C26">
        <w:rPr>
          <w:rFonts w:ascii="Times New Roman" w:hAnsi="Times New Roman" w:cs="Times New Roman"/>
          <w:color w:val="000000"/>
          <w:sz w:val="24"/>
          <w:szCs w:val="24"/>
        </w:rPr>
        <w:t>d</w:t>
      </w:r>
      <w:r w:rsidR="00CE064E" w:rsidRPr="008D3C26">
        <w:rPr>
          <w:rFonts w:ascii="Times New Roman" w:hAnsi="Times New Roman" w:cs="Times New Roman"/>
          <w:color w:val="000000"/>
          <w:sz w:val="24"/>
          <w:szCs w:val="24"/>
        </w:rPr>
        <w:t>epartmental targets</w:t>
      </w:r>
      <w:r w:rsidRPr="008D3C26">
        <w:rPr>
          <w:rFonts w:ascii="Times New Roman" w:hAnsi="Times New Roman" w:cs="Times New Roman"/>
          <w:color w:val="000000"/>
          <w:sz w:val="24"/>
          <w:szCs w:val="24"/>
        </w:rPr>
        <w:t xml:space="preserve">, eight were achieved and three were not achieved as planned. </w:t>
      </w:r>
      <w:r w:rsidRPr="008D3C26">
        <w:rPr>
          <w:rFonts w:ascii="Times New Roman" w:hAnsi="Times New Roman" w:cs="Times New Roman"/>
          <w:sz w:val="24"/>
          <w:szCs w:val="24"/>
          <w:lang w:eastAsia="en-ZA"/>
        </w:rPr>
        <w:t xml:space="preserve">The seven achieved targets covered steering mechanisms, </w:t>
      </w:r>
      <w:r w:rsidRPr="008D3C26">
        <w:rPr>
          <w:rFonts w:ascii="Times New Roman" w:hAnsi="Times New Roman" w:cs="Times New Roman"/>
          <w:sz w:val="24"/>
          <w:szCs w:val="24"/>
          <w:lang w:eastAsia="en-ZA"/>
        </w:rPr>
        <w:lastRenderedPageBreak/>
        <w:t>implementation and teaching and learning supporting initiatives and they were approved by the Director-General: a</w:t>
      </w:r>
      <w:r w:rsidRPr="008D3C26">
        <w:rPr>
          <w:rFonts w:ascii="Times New Roman" w:hAnsi="Times New Roman" w:cs="Times New Roman"/>
          <w:sz w:val="24"/>
          <w:szCs w:val="24"/>
        </w:rPr>
        <w:t xml:space="preserve"> revised costing model for TVET College </w:t>
      </w:r>
      <w:r w:rsidR="000C1C56" w:rsidRPr="008D3C26">
        <w:rPr>
          <w:rFonts w:ascii="Times New Roman" w:hAnsi="Times New Roman" w:cs="Times New Roman"/>
          <w:sz w:val="24"/>
          <w:szCs w:val="24"/>
        </w:rPr>
        <w:t>p</w:t>
      </w:r>
      <w:r w:rsidRPr="008D3C26">
        <w:rPr>
          <w:rFonts w:ascii="Times New Roman" w:hAnsi="Times New Roman" w:cs="Times New Roman"/>
          <w:sz w:val="24"/>
          <w:szCs w:val="24"/>
        </w:rPr>
        <w:t xml:space="preserve">rogrammes; two </w:t>
      </w:r>
      <w:r w:rsidR="000C1C56" w:rsidRPr="008D3C26">
        <w:rPr>
          <w:rFonts w:ascii="Times New Roman" w:hAnsi="Times New Roman" w:cs="Times New Roman"/>
          <w:sz w:val="24"/>
          <w:szCs w:val="24"/>
        </w:rPr>
        <w:t>m</w:t>
      </w:r>
      <w:r w:rsidRPr="008D3C26">
        <w:rPr>
          <w:rFonts w:ascii="Times New Roman" w:hAnsi="Times New Roman" w:cs="Times New Roman"/>
          <w:sz w:val="24"/>
          <w:szCs w:val="24"/>
        </w:rPr>
        <w:t xml:space="preserve">onitoring and </w:t>
      </w:r>
      <w:r w:rsidR="000C1C56" w:rsidRPr="008D3C26">
        <w:rPr>
          <w:rFonts w:ascii="Times New Roman" w:hAnsi="Times New Roman" w:cs="Times New Roman"/>
          <w:sz w:val="24"/>
          <w:szCs w:val="24"/>
        </w:rPr>
        <w:t>e</w:t>
      </w:r>
      <w:r w:rsidRPr="008D3C26">
        <w:rPr>
          <w:rFonts w:ascii="Times New Roman" w:hAnsi="Times New Roman" w:cs="Times New Roman"/>
          <w:sz w:val="24"/>
          <w:szCs w:val="24"/>
        </w:rPr>
        <w:t xml:space="preserve">valuation reports on TVET institutions; an annual teaching and learning support plan for the TVET Colleges; an implementation report on teaching and learning support plans in TVET Colleges, an implementation report on the student support services plan for 2016 in TVET Colleges, and a report on the TVET Colleges </w:t>
      </w:r>
      <w:r w:rsidR="000C1C56" w:rsidRPr="008D3C26">
        <w:rPr>
          <w:rFonts w:ascii="Times New Roman" w:hAnsi="Times New Roman" w:cs="Times New Roman"/>
          <w:sz w:val="24"/>
          <w:szCs w:val="24"/>
        </w:rPr>
        <w:t>i</w:t>
      </w:r>
      <w:r w:rsidRPr="008D3C26">
        <w:rPr>
          <w:rFonts w:ascii="Times New Roman" w:hAnsi="Times New Roman" w:cs="Times New Roman"/>
          <w:sz w:val="24"/>
          <w:szCs w:val="24"/>
        </w:rPr>
        <w:t>nfrastructure maintenance.</w:t>
      </w:r>
    </w:p>
    <w:p w14:paraId="7FC2A101" w14:textId="77777777" w:rsidR="005124C3" w:rsidRPr="008D3C26" w:rsidRDefault="005124C3" w:rsidP="005124C3">
      <w:pPr>
        <w:rPr>
          <w:rFonts w:ascii="Times New Roman" w:hAnsi="Times New Roman" w:cs="Times New Roman"/>
          <w:sz w:val="24"/>
          <w:szCs w:val="24"/>
        </w:rPr>
      </w:pPr>
      <w:r w:rsidRPr="008D3C26">
        <w:rPr>
          <w:rFonts w:ascii="Times New Roman" w:hAnsi="Times New Roman" w:cs="Times New Roman"/>
          <w:sz w:val="24"/>
          <w:szCs w:val="24"/>
        </w:rPr>
        <w:t xml:space="preserve">Targets that were not achieved </w:t>
      </w:r>
      <w:r w:rsidR="000C1C56" w:rsidRPr="008D3C26">
        <w:rPr>
          <w:rFonts w:ascii="Times New Roman" w:hAnsi="Times New Roman" w:cs="Times New Roman"/>
          <w:sz w:val="24"/>
          <w:szCs w:val="24"/>
        </w:rPr>
        <w:t xml:space="preserve">as planned included: </w:t>
      </w:r>
      <w:r w:rsidR="002D48B2"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establishment of a coordinating structure for stakeholder engagement South African Institute for Vocational and Continuing Education and Training (SAIVCET); the national admission and promotion guidelines for NC(V) and a revised conduct policy for NC(V). It </w:t>
      </w:r>
      <w:r w:rsidR="000C1C56" w:rsidRPr="008D3C26">
        <w:rPr>
          <w:rFonts w:ascii="Times New Roman" w:hAnsi="Times New Roman" w:cs="Times New Roman"/>
          <w:sz w:val="24"/>
          <w:szCs w:val="24"/>
        </w:rPr>
        <w:t>was</w:t>
      </w:r>
      <w:r w:rsidRPr="008D3C26">
        <w:rPr>
          <w:rFonts w:ascii="Times New Roman" w:hAnsi="Times New Roman" w:cs="Times New Roman"/>
          <w:sz w:val="24"/>
          <w:szCs w:val="24"/>
        </w:rPr>
        <w:t xml:space="preserve"> noted that </w:t>
      </w:r>
      <w:r w:rsidRPr="008D3C26">
        <w:rPr>
          <w:rFonts w:ascii="Times New Roman" w:hAnsi="Times New Roman" w:cs="Times New Roman"/>
          <w:color w:val="000000"/>
          <w:sz w:val="24"/>
          <w:szCs w:val="24"/>
        </w:rPr>
        <w:t xml:space="preserve">national admission and promotion guidelines for NC(V) was not a </w:t>
      </w:r>
      <w:r w:rsidR="002D48B2" w:rsidRPr="008D3C26">
        <w:rPr>
          <w:rFonts w:ascii="Times New Roman" w:hAnsi="Times New Roman" w:cs="Times New Roman"/>
          <w:color w:val="000000"/>
          <w:sz w:val="24"/>
          <w:szCs w:val="24"/>
        </w:rPr>
        <w:t>d</w:t>
      </w:r>
      <w:r w:rsidRPr="008D3C26">
        <w:rPr>
          <w:rFonts w:ascii="Times New Roman" w:hAnsi="Times New Roman" w:cs="Times New Roman"/>
          <w:color w:val="000000"/>
          <w:sz w:val="24"/>
          <w:szCs w:val="24"/>
        </w:rPr>
        <w:t xml:space="preserve">epartmental competence, and formed part of the qualifications policy which was the responsibility of </w:t>
      </w:r>
      <w:r w:rsidR="000C1C56" w:rsidRPr="008D3C26">
        <w:rPr>
          <w:rFonts w:ascii="Times New Roman" w:hAnsi="Times New Roman" w:cs="Times New Roman"/>
          <w:color w:val="000000"/>
          <w:sz w:val="24"/>
          <w:szCs w:val="24"/>
        </w:rPr>
        <w:t>Umalusi</w:t>
      </w:r>
      <w:r w:rsidRPr="008D3C26">
        <w:rPr>
          <w:rFonts w:ascii="Times New Roman" w:hAnsi="Times New Roman" w:cs="Times New Roman"/>
          <w:color w:val="000000"/>
          <w:sz w:val="24"/>
          <w:szCs w:val="24"/>
        </w:rPr>
        <w:t xml:space="preserve">. Ministerial approval was sought to remove the target as an indicator for the 2016/17 financial year. While the Minister granted approval, changes could not be effected in the Annual Performance Plan because this only happened towards the end of the financial year. The Department also noted that </w:t>
      </w:r>
      <w:r w:rsidR="002D48B2" w:rsidRPr="008D3C26">
        <w:rPr>
          <w:rFonts w:ascii="Times New Roman" w:hAnsi="Times New Roman" w:cs="Times New Roman"/>
          <w:color w:val="000000"/>
          <w:sz w:val="24"/>
          <w:szCs w:val="24"/>
        </w:rPr>
        <w:t xml:space="preserve">the </w:t>
      </w:r>
      <w:r w:rsidRPr="008D3C26">
        <w:rPr>
          <w:rFonts w:ascii="Times New Roman" w:hAnsi="Times New Roman" w:cs="Times New Roman"/>
          <w:color w:val="000000"/>
          <w:sz w:val="24"/>
          <w:szCs w:val="24"/>
        </w:rPr>
        <w:t xml:space="preserve">conduct policy could not be revised until </w:t>
      </w:r>
      <w:r w:rsidRPr="008D3C26">
        <w:rPr>
          <w:rFonts w:ascii="Times New Roman" w:hAnsi="Times New Roman" w:cs="Times New Roman"/>
          <w:sz w:val="24"/>
          <w:szCs w:val="24"/>
        </w:rPr>
        <w:t>such time that the assessment regime for the revised NC(V) qualification ha</w:t>
      </w:r>
      <w:r w:rsidR="000C1C56" w:rsidRPr="008D3C26">
        <w:rPr>
          <w:rFonts w:ascii="Times New Roman" w:hAnsi="Times New Roman" w:cs="Times New Roman"/>
          <w:sz w:val="24"/>
          <w:szCs w:val="24"/>
        </w:rPr>
        <w:t>d</w:t>
      </w:r>
      <w:r w:rsidRPr="008D3C26">
        <w:rPr>
          <w:rFonts w:ascii="Times New Roman" w:hAnsi="Times New Roman" w:cs="Times New Roman"/>
          <w:sz w:val="24"/>
          <w:szCs w:val="24"/>
        </w:rPr>
        <w:t xml:space="preserve"> been finalised by Umalusi. Umalusi ha</w:t>
      </w:r>
      <w:r w:rsidR="000C1C56" w:rsidRPr="008D3C26">
        <w:rPr>
          <w:rFonts w:ascii="Times New Roman" w:hAnsi="Times New Roman" w:cs="Times New Roman"/>
          <w:sz w:val="24"/>
          <w:szCs w:val="24"/>
        </w:rPr>
        <w:t>d</w:t>
      </w:r>
      <w:r w:rsidRPr="008D3C26">
        <w:rPr>
          <w:rFonts w:ascii="Times New Roman" w:hAnsi="Times New Roman" w:cs="Times New Roman"/>
          <w:sz w:val="24"/>
          <w:szCs w:val="24"/>
        </w:rPr>
        <w:t xml:space="preserve"> yet to release the qualifications policy for public comment. </w:t>
      </w:r>
      <w:r w:rsidR="000C1C56" w:rsidRPr="008D3C26">
        <w:rPr>
          <w:rFonts w:ascii="Times New Roman" w:hAnsi="Times New Roman" w:cs="Times New Roman"/>
          <w:sz w:val="24"/>
          <w:szCs w:val="24"/>
        </w:rPr>
        <w:t>The Committee was informed that Umalusi had since published the revised NC(V) qualifications policy for comment.</w:t>
      </w:r>
    </w:p>
    <w:p w14:paraId="68A78DC2" w14:textId="77777777" w:rsidR="005124C3" w:rsidRPr="008D3C26" w:rsidRDefault="005124C3" w:rsidP="005124C3">
      <w:pPr>
        <w:rPr>
          <w:rFonts w:ascii="Times New Roman" w:hAnsi="Times New Roman" w:cs="Times New Roman"/>
          <w:b/>
          <w:sz w:val="24"/>
          <w:szCs w:val="24"/>
        </w:rPr>
      </w:pPr>
      <w:r w:rsidRPr="008D3C26">
        <w:rPr>
          <w:rFonts w:ascii="Times New Roman" w:hAnsi="Times New Roman" w:cs="Times New Roman"/>
          <w:sz w:val="24"/>
          <w:szCs w:val="24"/>
        </w:rPr>
        <w:t xml:space="preserve">The National Development Plan envisages that by 2030, South Africans should have access to </w:t>
      </w:r>
      <w:r w:rsidR="000C1C56" w:rsidRPr="008D3C26">
        <w:rPr>
          <w:rFonts w:ascii="Times New Roman" w:hAnsi="Times New Roman" w:cs="Times New Roman"/>
          <w:sz w:val="24"/>
          <w:szCs w:val="24"/>
        </w:rPr>
        <w:t>e</w:t>
      </w:r>
      <w:r w:rsidRPr="008D3C26">
        <w:rPr>
          <w:rFonts w:ascii="Times New Roman" w:hAnsi="Times New Roman" w:cs="Times New Roman"/>
          <w:sz w:val="24"/>
          <w:szCs w:val="24"/>
        </w:rPr>
        <w:t xml:space="preserve">ducation and </w:t>
      </w:r>
      <w:r w:rsidR="000C1C56" w:rsidRPr="008D3C26">
        <w:rPr>
          <w:rFonts w:ascii="Times New Roman" w:hAnsi="Times New Roman" w:cs="Times New Roman"/>
          <w:sz w:val="24"/>
          <w:szCs w:val="24"/>
        </w:rPr>
        <w:t>t</w:t>
      </w:r>
      <w:r w:rsidRPr="008D3C26">
        <w:rPr>
          <w:rFonts w:ascii="Times New Roman" w:hAnsi="Times New Roman" w:cs="Times New Roman"/>
          <w:sz w:val="24"/>
          <w:szCs w:val="24"/>
        </w:rPr>
        <w:t>raining of the highest quality. The education, training and innovation system should cater for different needs and produce highly skilled individuals</w:t>
      </w:r>
      <w:r w:rsidR="000C1C56" w:rsidRPr="008D3C26">
        <w:rPr>
          <w:rFonts w:ascii="Times New Roman" w:hAnsi="Times New Roman" w:cs="Times New Roman"/>
          <w:sz w:val="24"/>
          <w:szCs w:val="24"/>
        </w:rPr>
        <w:t>,</w:t>
      </w:r>
      <w:r w:rsidRPr="008D3C26">
        <w:rPr>
          <w:rFonts w:ascii="Times New Roman" w:hAnsi="Times New Roman" w:cs="Times New Roman"/>
          <w:sz w:val="24"/>
          <w:szCs w:val="24"/>
        </w:rPr>
        <w:t xml:space="preserve"> and graduates of the post-school system should have adequate skills and knowledge to meet the current and future needs of the economy and society.</w:t>
      </w:r>
      <w:r w:rsidRPr="008D3C26">
        <w:rPr>
          <w:rFonts w:ascii="Times New Roman" w:hAnsi="Times New Roman" w:cs="Times New Roman"/>
          <w:b/>
          <w:sz w:val="24"/>
          <w:szCs w:val="24"/>
        </w:rPr>
        <w:t xml:space="preserve"> </w:t>
      </w:r>
      <w:r w:rsidRPr="008D3C26">
        <w:rPr>
          <w:rFonts w:ascii="Times New Roman" w:hAnsi="Times New Roman" w:cs="Times New Roman"/>
          <w:sz w:val="24"/>
          <w:szCs w:val="24"/>
        </w:rPr>
        <w:t xml:space="preserve">The 2016/17 budget allocation for the TVET sector was geared towards achieving the following targets as contained in the 2014 – 2019 MTSF: </w:t>
      </w:r>
    </w:p>
    <w:p w14:paraId="7EF648FA" w14:textId="77777777" w:rsidR="005124C3" w:rsidRPr="008D3C26" w:rsidRDefault="005124C3" w:rsidP="005124C3">
      <w:pPr>
        <w:pStyle w:val="ListParagraph"/>
        <w:numPr>
          <w:ilvl w:val="0"/>
          <w:numId w:val="13"/>
        </w:numPr>
        <w:suppressAutoHyphens/>
        <w:autoSpaceDN w:val="0"/>
        <w:spacing w:after="0"/>
        <w:contextualSpacing w:val="0"/>
        <w:textAlignment w:val="baseline"/>
        <w:rPr>
          <w:rFonts w:ascii="Times New Roman" w:hAnsi="Times New Roman" w:cs="Times New Roman"/>
          <w:sz w:val="24"/>
          <w:szCs w:val="24"/>
        </w:rPr>
      </w:pPr>
      <w:r w:rsidRPr="008D3C26">
        <w:rPr>
          <w:rFonts w:ascii="Times New Roman" w:hAnsi="Times New Roman" w:cs="Times New Roman"/>
          <w:sz w:val="24"/>
          <w:szCs w:val="24"/>
        </w:rPr>
        <w:t>Ensuring more students have access to post-school education and training</w:t>
      </w:r>
      <w:r w:rsidR="00E93CC4" w:rsidRPr="008D3C26">
        <w:rPr>
          <w:rFonts w:ascii="Times New Roman" w:hAnsi="Times New Roman" w:cs="Times New Roman"/>
          <w:sz w:val="24"/>
          <w:szCs w:val="24"/>
        </w:rPr>
        <w:t xml:space="preserve"> and the</w:t>
      </w:r>
      <w:r w:rsidRPr="008D3C26">
        <w:rPr>
          <w:rFonts w:ascii="Times New Roman" w:hAnsi="Times New Roman" w:cs="Times New Roman"/>
          <w:sz w:val="24"/>
          <w:szCs w:val="24"/>
        </w:rPr>
        <w:t xml:space="preserve"> need to provide more infrastructure, such as new TVET college campuses and student accommodation.</w:t>
      </w:r>
    </w:p>
    <w:p w14:paraId="495AA88A" w14:textId="77777777" w:rsidR="005124C3" w:rsidRPr="008D3C26" w:rsidRDefault="005124C3" w:rsidP="005124C3">
      <w:pPr>
        <w:pStyle w:val="ListParagraph"/>
        <w:numPr>
          <w:ilvl w:val="0"/>
          <w:numId w:val="14"/>
        </w:numPr>
        <w:rPr>
          <w:rFonts w:ascii="Times New Roman" w:hAnsi="Times New Roman" w:cs="Times New Roman"/>
          <w:sz w:val="24"/>
          <w:szCs w:val="24"/>
        </w:rPr>
      </w:pPr>
      <w:r w:rsidRPr="008D3C26">
        <w:rPr>
          <w:rFonts w:ascii="Times New Roman" w:hAnsi="Times New Roman" w:cs="Times New Roman"/>
          <w:sz w:val="24"/>
          <w:szCs w:val="24"/>
        </w:rPr>
        <w:t>The number of students enrolled in TVET Colleges will increase from 670 455 in 2013 to 1.238 million in 2019.</w:t>
      </w:r>
    </w:p>
    <w:p w14:paraId="36008A94" w14:textId="77777777" w:rsidR="005124C3" w:rsidRPr="008D3C26" w:rsidRDefault="005124C3" w:rsidP="005124C3">
      <w:pPr>
        <w:pStyle w:val="ListParagraph"/>
        <w:numPr>
          <w:ilvl w:val="0"/>
          <w:numId w:val="14"/>
        </w:numPr>
        <w:rPr>
          <w:rFonts w:ascii="Times New Roman" w:hAnsi="Times New Roman" w:cs="Times New Roman"/>
          <w:sz w:val="24"/>
          <w:szCs w:val="24"/>
        </w:rPr>
      </w:pPr>
      <w:r w:rsidRPr="008D3C26">
        <w:rPr>
          <w:rFonts w:ascii="Times New Roman" w:hAnsi="Times New Roman" w:cs="Times New Roman"/>
          <w:sz w:val="24"/>
          <w:szCs w:val="24"/>
        </w:rPr>
        <w:lastRenderedPageBreak/>
        <w:t xml:space="preserve">30 percent of TVET college lecturers should have </w:t>
      </w:r>
      <w:r w:rsidR="0022550F" w:rsidRPr="008D3C26">
        <w:rPr>
          <w:rFonts w:ascii="Times New Roman" w:hAnsi="Times New Roman" w:cs="Times New Roman"/>
          <w:sz w:val="24"/>
          <w:szCs w:val="24"/>
        </w:rPr>
        <w:t>workplace</w:t>
      </w:r>
      <w:r w:rsidRPr="008D3C26">
        <w:rPr>
          <w:rFonts w:ascii="Times New Roman" w:hAnsi="Times New Roman" w:cs="Times New Roman"/>
          <w:sz w:val="24"/>
          <w:szCs w:val="24"/>
        </w:rPr>
        <w:t xml:space="preserve"> exposure every year by 2019.</w:t>
      </w:r>
    </w:p>
    <w:p w14:paraId="4DD11E71" w14:textId="77777777" w:rsidR="005124C3" w:rsidRPr="008D3C26" w:rsidRDefault="005124C3" w:rsidP="005124C3">
      <w:pPr>
        <w:rPr>
          <w:rFonts w:ascii="Times New Roman" w:hAnsi="Times New Roman" w:cs="Times New Roman"/>
          <w:sz w:val="24"/>
          <w:szCs w:val="24"/>
        </w:rPr>
      </w:pPr>
      <w:r w:rsidRPr="008D3C26">
        <w:rPr>
          <w:rFonts w:ascii="Times New Roman" w:hAnsi="Times New Roman" w:cs="Times New Roman"/>
          <w:sz w:val="24"/>
          <w:szCs w:val="24"/>
        </w:rPr>
        <w:t xml:space="preserve">For the 12 system targets, one (1) target of having 200 000 qualifying TVET students obtaining financial assistance was achieved. The target was exceeded by 26 007. </w:t>
      </w:r>
    </w:p>
    <w:p w14:paraId="6A89A43F" w14:textId="77777777" w:rsidR="005124C3" w:rsidRPr="008D3C26" w:rsidRDefault="005124C3" w:rsidP="005124C3">
      <w:pPr>
        <w:rPr>
          <w:rFonts w:ascii="Times New Roman" w:hAnsi="Times New Roman" w:cs="Times New Roman"/>
          <w:sz w:val="24"/>
          <w:szCs w:val="24"/>
        </w:rPr>
      </w:pPr>
      <w:r w:rsidRPr="008D3C26">
        <w:rPr>
          <w:rFonts w:ascii="Times New Roman" w:hAnsi="Times New Roman" w:cs="Times New Roman"/>
          <w:sz w:val="24"/>
          <w:szCs w:val="24"/>
        </w:rPr>
        <w:t>The NDP/MTEF target is to have 1,2 million students enrolled in the TVET colleges by 2019/2020. The programme ha</w:t>
      </w:r>
      <w:r w:rsidR="003341C2" w:rsidRPr="008D3C26">
        <w:rPr>
          <w:rFonts w:ascii="Times New Roman" w:hAnsi="Times New Roman" w:cs="Times New Roman"/>
          <w:sz w:val="24"/>
          <w:szCs w:val="24"/>
        </w:rPr>
        <w:t>d</w:t>
      </w:r>
      <w:r w:rsidRPr="008D3C26">
        <w:rPr>
          <w:rFonts w:ascii="Times New Roman" w:hAnsi="Times New Roman" w:cs="Times New Roman"/>
          <w:sz w:val="24"/>
          <w:szCs w:val="24"/>
        </w:rPr>
        <w:t xml:space="preserve"> been underperforming in this target for over years. The underachievement was attributed to underfunding in terms of programmes and student funding. The target could not be achieved due to funding constraints and </w:t>
      </w:r>
      <w:r w:rsidR="00277FCC" w:rsidRPr="008D3C26">
        <w:rPr>
          <w:rFonts w:ascii="Times New Roman" w:hAnsi="Times New Roman" w:cs="Times New Roman"/>
          <w:sz w:val="24"/>
          <w:szCs w:val="24"/>
        </w:rPr>
        <w:t>829 000</w:t>
      </w:r>
      <w:r w:rsidRPr="008D3C26">
        <w:rPr>
          <w:rFonts w:ascii="Times New Roman" w:hAnsi="Times New Roman" w:cs="Times New Roman"/>
          <w:sz w:val="24"/>
          <w:szCs w:val="24"/>
        </w:rPr>
        <w:t xml:space="preserve"> headcount (not verified) enrolment was not achieved in 2016/17. In </w:t>
      </w:r>
      <w:r w:rsidR="00F22BCF"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2016/17 financial year, the Department required a budget of R11.2 billion to fund the TVET sector and was allocated only 61.6 per cent (R6,9 billion) of the required budget, resulting in a shortfall of R4,6 billion. </w:t>
      </w:r>
      <w:r w:rsidR="00277FCC" w:rsidRPr="008D3C26">
        <w:rPr>
          <w:rFonts w:ascii="Times New Roman" w:hAnsi="Times New Roman" w:cs="Times New Roman"/>
          <w:sz w:val="24"/>
          <w:szCs w:val="24"/>
        </w:rPr>
        <w:t>The f</w:t>
      </w:r>
      <w:r w:rsidRPr="008D3C26">
        <w:rPr>
          <w:rFonts w:ascii="Times New Roman" w:hAnsi="Times New Roman" w:cs="Times New Roman"/>
          <w:sz w:val="24"/>
          <w:szCs w:val="24"/>
        </w:rPr>
        <w:t>unding allocated for students who qualified for the National Student Financial Aid Scheme (NSFAS) in 2016/17 was R2.4 billion and the required budget was R4.8 billion to cover the target of 80 per cent of college students with bursaries. This resulted in a shortfall of R2.4 billion.</w:t>
      </w:r>
    </w:p>
    <w:p w14:paraId="3D6F04DD" w14:textId="77777777" w:rsidR="005124C3" w:rsidRPr="008D3C26" w:rsidRDefault="005124C3" w:rsidP="005124C3">
      <w:pPr>
        <w:rPr>
          <w:rFonts w:ascii="Times New Roman" w:hAnsi="Times New Roman" w:cs="Times New Roman"/>
          <w:sz w:val="24"/>
          <w:szCs w:val="24"/>
        </w:rPr>
      </w:pPr>
      <w:r w:rsidRPr="008D3C26">
        <w:rPr>
          <w:rFonts w:ascii="Times New Roman" w:hAnsi="Times New Roman" w:cs="Times New Roman"/>
          <w:sz w:val="24"/>
          <w:szCs w:val="24"/>
        </w:rPr>
        <w:t xml:space="preserve">The target to have 40 per cent certification rate for NC(V) Level 4 was not achieved, </w:t>
      </w:r>
      <w:r w:rsidR="00277FCC" w:rsidRPr="008D3C26">
        <w:rPr>
          <w:rFonts w:ascii="Times New Roman" w:hAnsi="Times New Roman" w:cs="Times New Roman"/>
          <w:sz w:val="24"/>
          <w:szCs w:val="24"/>
        </w:rPr>
        <w:t xml:space="preserve">and </w:t>
      </w:r>
      <w:r w:rsidRPr="008D3C26">
        <w:rPr>
          <w:rFonts w:ascii="Times New Roman" w:hAnsi="Times New Roman" w:cs="Times New Roman"/>
          <w:sz w:val="24"/>
          <w:szCs w:val="24"/>
        </w:rPr>
        <w:t>the actual achievement was 32.6 per cent. In terms of the three (3) months lead time to issue certificates to qualifying candidates. The target was not achieved. It took more than six (6) months to issue certificates to qualifying students. The target to have 1 000 additional beds for student accommodation in public TVET Colleges could not be achieved as planned due to lack of funding. This would have a negative impact on expanding access to and success at TVET Colleges through infrastructure development. The target to build 1000 additional beds for student at TVET College and to have 5 000 students entering the Foundation Programme had since been discontinued for the remainder of the Medium-Term Strategic Framework due to lack of funding.</w:t>
      </w:r>
    </w:p>
    <w:p w14:paraId="671A756A" w14:textId="77777777" w:rsidR="00CA1C49" w:rsidRPr="008D3C26" w:rsidRDefault="005124C3" w:rsidP="00A90A92">
      <w:pPr>
        <w:rPr>
          <w:rFonts w:ascii="Times New Roman" w:hAnsi="Times New Roman" w:cs="Times New Roman"/>
          <w:sz w:val="24"/>
          <w:szCs w:val="24"/>
        </w:rPr>
      </w:pPr>
      <w:r w:rsidRPr="008D3C26">
        <w:rPr>
          <w:rFonts w:ascii="Times New Roman" w:hAnsi="Times New Roman" w:cs="Times New Roman"/>
          <w:sz w:val="24"/>
          <w:szCs w:val="24"/>
        </w:rPr>
        <w:t>The NDP pro</w:t>
      </w:r>
      <w:r w:rsidR="002D48B2" w:rsidRPr="008D3C26">
        <w:rPr>
          <w:rFonts w:ascii="Times New Roman" w:hAnsi="Times New Roman" w:cs="Times New Roman"/>
          <w:sz w:val="24"/>
          <w:szCs w:val="24"/>
        </w:rPr>
        <w:t>vides</w:t>
      </w:r>
      <w:r w:rsidRPr="008D3C26">
        <w:rPr>
          <w:rFonts w:ascii="Times New Roman" w:hAnsi="Times New Roman" w:cs="Times New Roman"/>
          <w:sz w:val="24"/>
          <w:szCs w:val="24"/>
        </w:rPr>
        <w:t xml:space="preserve"> </w:t>
      </w:r>
      <w:r w:rsidR="00277FCC" w:rsidRPr="008D3C26">
        <w:rPr>
          <w:rFonts w:ascii="Times New Roman" w:hAnsi="Times New Roman" w:cs="Times New Roman"/>
          <w:sz w:val="24"/>
          <w:szCs w:val="24"/>
        </w:rPr>
        <w:t xml:space="preserve">for </w:t>
      </w:r>
      <w:r w:rsidRPr="008D3C26">
        <w:rPr>
          <w:rFonts w:ascii="Times New Roman" w:hAnsi="Times New Roman" w:cs="Times New Roman"/>
          <w:sz w:val="24"/>
          <w:szCs w:val="24"/>
        </w:rPr>
        <w:t xml:space="preserve">an increased throughput of 75 per cent by 2030, in order to have a major impact on South Africa’s skills profile. </w:t>
      </w:r>
      <w:r w:rsidR="00277FCC" w:rsidRPr="008D3C26">
        <w:rPr>
          <w:rFonts w:ascii="Times New Roman" w:hAnsi="Times New Roman" w:cs="Times New Roman"/>
          <w:sz w:val="24"/>
          <w:szCs w:val="24"/>
        </w:rPr>
        <w:t>The p</w:t>
      </w:r>
      <w:r w:rsidRPr="008D3C26">
        <w:rPr>
          <w:rFonts w:ascii="Times New Roman" w:hAnsi="Times New Roman" w:cs="Times New Roman"/>
          <w:sz w:val="24"/>
          <w:szCs w:val="24"/>
        </w:rPr>
        <w:t>erformance on the following targets had not been reported on due to unavailability of data</w:t>
      </w:r>
      <w:r w:rsidR="00277FCC" w:rsidRPr="008D3C26">
        <w:rPr>
          <w:rFonts w:ascii="Times New Roman" w:hAnsi="Times New Roman" w:cs="Times New Roman"/>
          <w:sz w:val="24"/>
          <w:szCs w:val="24"/>
        </w:rPr>
        <w:t xml:space="preserve"> for system performance indicators</w:t>
      </w:r>
      <w:r w:rsidRPr="008D3C26">
        <w:rPr>
          <w:rFonts w:ascii="Times New Roman" w:hAnsi="Times New Roman" w:cs="Times New Roman"/>
          <w:sz w:val="24"/>
          <w:szCs w:val="24"/>
        </w:rPr>
        <w:t xml:space="preserve">. The targets were: 65 per cent certification rate in the TVET qualifications N3; 45 per cent certification rate in the TVET qualification N6; 100 per cent of public TVET College examination centres conducting national examinations and assessments in compliance with national policy; 15 per cent TVET throughput rate and 14 per cent funded NC(V) Level 4 </w:t>
      </w:r>
      <w:r w:rsidRPr="008D3C26">
        <w:rPr>
          <w:rFonts w:ascii="Times New Roman" w:hAnsi="Times New Roman" w:cs="Times New Roman"/>
          <w:sz w:val="24"/>
          <w:szCs w:val="24"/>
        </w:rPr>
        <w:lastRenderedPageBreak/>
        <w:t>students obtaining qualification within stipulated time. It was cited that data was not yet available from the State Information Technology Agency (SITA</w:t>
      </w:r>
      <w:r w:rsidR="002D48B2" w:rsidRPr="008D3C26">
        <w:rPr>
          <w:rFonts w:ascii="Times New Roman" w:hAnsi="Times New Roman" w:cs="Times New Roman"/>
          <w:sz w:val="24"/>
          <w:szCs w:val="24"/>
        </w:rPr>
        <w:t>)</w:t>
      </w:r>
      <w:r w:rsidR="002D613F" w:rsidRPr="008D3C26">
        <w:rPr>
          <w:rFonts w:ascii="Times New Roman" w:hAnsi="Times New Roman" w:cs="Times New Roman"/>
          <w:sz w:val="24"/>
          <w:szCs w:val="24"/>
        </w:rPr>
        <w:t>.</w:t>
      </w:r>
      <w:r w:rsidR="002D48B2" w:rsidRPr="008D3C26">
        <w:rPr>
          <w:rFonts w:ascii="Times New Roman" w:hAnsi="Times New Roman" w:cs="Times New Roman"/>
          <w:sz w:val="24"/>
          <w:szCs w:val="24"/>
        </w:rPr>
        <w:t xml:space="preserve">  </w:t>
      </w:r>
      <w:r w:rsidR="002D613F" w:rsidRPr="008D3C26">
        <w:rPr>
          <w:rFonts w:ascii="Times New Roman" w:hAnsi="Times New Roman" w:cs="Times New Roman"/>
          <w:sz w:val="24"/>
          <w:szCs w:val="24"/>
        </w:rPr>
        <w:t>T</w:t>
      </w:r>
      <w:r w:rsidR="002D48B2" w:rsidRPr="008D3C26">
        <w:rPr>
          <w:rFonts w:ascii="Times New Roman" w:hAnsi="Times New Roman" w:cs="Times New Roman"/>
          <w:sz w:val="24"/>
          <w:szCs w:val="24"/>
        </w:rPr>
        <w:t>he t</w:t>
      </w:r>
      <w:r w:rsidRPr="008D3C26">
        <w:rPr>
          <w:rFonts w:ascii="Times New Roman" w:hAnsi="Times New Roman" w:cs="Times New Roman"/>
          <w:sz w:val="24"/>
          <w:szCs w:val="24"/>
        </w:rPr>
        <w:t xml:space="preserve">hroughput rate could not be generated until such time </w:t>
      </w:r>
      <w:r w:rsidR="00145CDC" w:rsidRPr="008D3C26">
        <w:rPr>
          <w:rFonts w:ascii="Times New Roman" w:hAnsi="Times New Roman" w:cs="Times New Roman"/>
          <w:sz w:val="24"/>
          <w:szCs w:val="24"/>
        </w:rPr>
        <w:t>that</w:t>
      </w:r>
      <w:r w:rsidRPr="008D3C26">
        <w:rPr>
          <w:rFonts w:ascii="Times New Roman" w:hAnsi="Times New Roman" w:cs="Times New Roman"/>
          <w:sz w:val="24"/>
          <w:szCs w:val="24"/>
        </w:rPr>
        <w:t xml:space="preserve"> certification backlogs had been resolved and baseline established. </w:t>
      </w:r>
    </w:p>
    <w:p w14:paraId="7D174942" w14:textId="77777777" w:rsidR="00767186" w:rsidRPr="008D3C26" w:rsidRDefault="00767186" w:rsidP="00E01B75">
      <w:pPr>
        <w:spacing w:after="0"/>
        <w:rPr>
          <w:rFonts w:ascii="Times New Roman" w:hAnsi="Times New Roman" w:cs="Times New Roman"/>
          <w:b/>
          <w:sz w:val="24"/>
          <w:szCs w:val="24"/>
        </w:rPr>
      </w:pPr>
    </w:p>
    <w:p w14:paraId="01625C72" w14:textId="77777777" w:rsidR="00767186" w:rsidRPr="008D3C26" w:rsidRDefault="00767186" w:rsidP="00E01B75">
      <w:pPr>
        <w:spacing w:after="0"/>
        <w:rPr>
          <w:rFonts w:ascii="Times New Roman" w:hAnsi="Times New Roman" w:cs="Times New Roman"/>
          <w:b/>
          <w:sz w:val="24"/>
          <w:szCs w:val="24"/>
        </w:rPr>
      </w:pPr>
    </w:p>
    <w:p w14:paraId="35813172" w14:textId="77777777" w:rsidR="00E01B75" w:rsidRPr="008D3C26" w:rsidRDefault="001129A1" w:rsidP="00E01B75">
      <w:pPr>
        <w:spacing w:after="0"/>
        <w:rPr>
          <w:rFonts w:ascii="Times New Roman" w:hAnsi="Times New Roman" w:cs="Times New Roman"/>
          <w:b/>
          <w:sz w:val="24"/>
          <w:szCs w:val="24"/>
        </w:rPr>
      </w:pPr>
      <w:r w:rsidRPr="008D3C26">
        <w:rPr>
          <w:rFonts w:ascii="Times New Roman" w:hAnsi="Times New Roman" w:cs="Times New Roman"/>
          <w:b/>
          <w:sz w:val="24"/>
          <w:szCs w:val="24"/>
        </w:rPr>
        <w:t>5.</w:t>
      </w:r>
      <w:r w:rsidR="008811BF" w:rsidRPr="008D3C26">
        <w:rPr>
          <w:rFonts w:ascii="Times New Roman" w:hAnsi="Times New Roman" w:cs="Times New Roman"/>
          <w:b/>
          <w:sz w:val="24"/>
          <w:szCs w:val="24"/>
        </w:rPr>
        <w:t>2</w:t>
      </w:r>
      <w:r w:rsidR="00E01B75" w:rsidRPr="008D3C26">
        <w:rPr>
          <w:rFonts w:ascii="Times New Roman" w:hAnsi="Times New Roman" w:cs="Times New Roman"/>
          <w:b/>
          <w:sz w:val="24"/>
          <w:szCs w:val="24"/>
        </w:rPr>
        <w:t>.5. Programme 5: Skills Development</w:t>
      </w:r>
    </w:p>
    <w:p w14:paraId="3852A673" w14:textId="77777777" w:rsidR="0088110C" w:rsidRPr="008D3C26" w:rsidRDefault="0088110C" w:rsidP="0088110C">
      <w:pPr>
        <w:tabs>
          <w:tab w:val="num" w:pos="1440"/>
        </w:tabs>
        <w:rPr>
          <w:rFonts w:ascii="Times New Roman" w:hAnsi="Times New Roman" w:cs="Times New Roman"/>
          <w:sz w:val="24"/>
          <w:szCs w:val="24"/>
        </w:rPr>
      </w:pPr>
      <w:r w:rsidRPr="008D3C26">
        <w:rPr>
          <w:rFonts w:ascii="Times New Roman" w:hAnsi="Times New Roman" w:cs="Times New Roman"/>
          <w:sz w:val="24"/>
          <w:szCs w:val="24"/>
        </w:rPr>
        <w:t xml:space="preserve">The purpose of the programme is to promote and monitor the National Skills Development Strategy (NSDS III) and to develop a skills development policy and regulatory framework for an effective skills development system. For the year under review, the programme had three (3) strategic objectives: </w:t>
      </w:r>
      <w:r w:rsidRPr="008D3C26">
        <w:rPr>
          <w:rFonts w:ascii="Times New Roman" w:hAnsi="Times New Roman" w:cs="Times New Roman"/>
          <w:bCs/>
          <w:sz w:val="24"/>
          <w:szCs w:val="24"/>
        </w:rPr>
        <w:t>t</w:t>
      </w:r>
      <w:r w:rsidRPr="008D3C26">
        <w:rPr>
          <w:rFonts w:ascii="Times New Roman" w:hAnsi="Times New Roman" w:cs="Times New Roman"/>
          <w:sz w:val="24"/>
          <w:szCs w:val="24"/>
        </w:rPr>
        <w:t xml:space="preserve">o steer and support skills development institutions to implement the National Skills Development Strategy (NSDS) through the development five new and six revised policies, including legislation, regulations and guidelines by 31 March 2020; </w:t>
      </w:r>
      <w:r w:rsidRPr="008D3C26">
        <w:rPr>
          <w:rFonts w:ascii="Times New Roman" w:hAnsi="Times New Roman" w:cs="Times New Roman"/>
          <w:bCs/>
          <w:sz w:val="24"/>
          <w:szCs w:val="24"/>
        </w:rPr>
        <w:t>t</w:t>
      </w:r>
      <w:r w:rsidRPr="008D3C26">
        <w:rPr>
          <w:rFonts w:ascii="Times New Roman" w:hAnsi="Times New Roman" w:cs="Times New Roman"/>
          <w:sz w:val="24"/>
          <w:szCs w:val="24"/>
        </w:rPr>
        <w:t>o standardise the level of governance across Sector Education and Training Authorities (SETAs) by 31 March 2020, monitor and compile annual quarterly reports and take appropriate actions where deficiencies are detected; and to effectively manage artisan development assessment services inclusive of Recognition of Prior Learning in order to produce 24 000  qualified artisans per annum by 31 March 2020.</w:t>
      </w:r>
    </w:p>
    <w:p w14:paraId="55C86C62" w14:textId="77777777" w:rsidR="0088110C" w:rsidRPr="008D3C26" w:rsidRDefault="0088110C" w:rsidP="0088110C">
      <w:pPr>
        <w:tabs>
          <w:tab w:val="num" w:pos="1440"/>
        </w:tabs>
        <w:rPr>
          <w:rFonts w:ascii="Times New Roman" w:hAnsi="Times New Roman" w:cs="Times New Roman"/>
          <w:color w:val="000000"/>
          <w:sz w:val="24"/>
          <w:szCs w:val="24"/>
        </w:rPr>
      </w:pPr>
      <w:r w:rsidRPr="008D3C26">
        <w:rPr>
          <w:rFonts w:ascii="Times New Roman" w:hAnsi="Times New Roman" w:cs="Times New Roman"/>
          <w:sz w:val="24"/>
          <w:szCs w:val="24"/>
        </w:rPr>
        <w:t>The programme had six targets (</w:t>
      </w:r>
      <w:r w:rsidR="00CE064E" w:rsidRPr="008D3C26">
        <w:rPr>
          <w:rFonts w:ascii="Times New Roman" w:hAnsi="Times New Roman" w:cs="Times New Roman"/>
          <w:sz w:val="24"/>
          <w:szCs w:val="24"/>
        </w:rPr>
        <w:t>Departmental targets</w:t>
      </w:r>
      <w:r w:rsidRPr="008D3C26">
        <w:rPr>
          <w:rFonts w:ascii="Times New Roman" w:hAnsi="Times New Roman" w:cs="Times New Roman"/>
          <w:sz w:val="24"/>
          <w:szCs w:val="24"/>
        </w:rPr>
        <w:t xml:space="preserve">) </w:t>
      </w:r>
      <w:r w:rsidR="007C67AA" w:rsidRPr="008D3C26">
        <w:rPr>
          <w:rFonts w:ascii="Times New Roman" w:hAnsi="Times New Roman" w:cs="Times New Roman"/>
          <w:sz w:val="24"/>
          <w:szCs w:val="24"/>
        </w:rPr>
        <w:t xml:space="preserve">and </w:t>
      </w:r>
      <w:r w:rsidRPr="008D3C26">
        <w:rPr>
          <w:rFonts w:ascii="Times New Roman" w:hAnsi="Times New Roman" w:cs="Times New Roman"/>
          <w:sz w:val="24"/>
          <w:szCs w:val="24"/>
        </w:rPr>
        <w:t>five system targets planned for the year under review and they were all achieved</w:t>
      </w:r>
      <w:r w:rsidR="007C67AA" w:rsidRPr="008D3C26">
        <w:rPr>
          <w:rFonts w:ascii="Times New Roman" w:hAnsi="Times New Roman" w:cs="Times New Roman"/>
          <w:sz w:val="24"/>
          <w:szCs w:val="24"/>
        </w:rPr>
        <w:t xml:space="preserve"> as planned</w:t>
      </w:r>
      <w:r w:rsidRPr="008D3C26">
        <w:rPr>
          <w:rFonts w:ascii="Times New Roman" w:hAnsi="Times New Roman" w:cs="Times New Roman"/>
          <w:sz w:val="24"/>
          <w:szCs w:val="24"/>
        </w:rPr>
        <w:t>. The Minister approved the w</w:t>
      </w:r>
      <w:r w:rsidRPr="008D3C26">
        <w:rPr>
          <w:rFonts w:ascii="Times New Roman" w:hAnsi="Times New Roman" w:cs="Times New Roman"/>
          <w:color w:val="000000"/>
          <w:sz w:val="24"/>
          <w:szCs w:val="24"/>
        </w:rPr>
        <w:t xml:space="preserve">orkplace based learning programme regulations, the National Skills Development Strategy (NSDS) III, the Sector Education and Training Authorities (SETA) landscape, four SETA monitoring reports on skills development were approved by the Director-General. The target to have an average of 120 days from trade test application received until the trades test was conducted at INDLELA and average of 55 per cent regarding national artisan learners trade test pass rates at INDLELA were achieved as planned. The budget allocation has ensured increased access to training through skills development.  </w:t>
      </w:r>
    </w:p>
    <w:p w14:paraId="04F2C6F1" w14:textId="77777777" w:rsidR="00E01B75" w:rsidRPr="008D3C26" w:rsidRDefault="0088110C" w:rsidP="007C3C33">
      <w:pPr>
        <w:rPr>
          <w:rFonts w:ascii="Times New Roman" w:hAnsi="Times New Roman" w:cs="Times New Roman"/>
          <w:sz w:val="24"/>
          <w:szCs w:val="24"/>
        </w:rPr>
      </w:pPr>
      <w:r w:rsidRPr="008D3C26">
        <w:rPr>
          <w:rFonts w:ascii="Times New Roman" w:hAnsi="Times New Roman" w:cs="Times New Roman"/>
          <w:color w:val="000000"/>
          <w:sz w:val="24"/>
          <w:szCs w:val="24"/>
        </w:rPr>
        <w:t xml:space="preserve">The programme had five system targets related to the </w:t>
      </w:r>
      <w:r w:rsidRPr="008D3C26">
        <w:rPr>
          <w:rFonts w:ascii="Times New Roman" w:hAnsi="Times New Roman" w:cs="Times New Roman"/>
          <w:sz w:val="24"/>
          <w:szCs w:val="24"/>
        </w:rPr>
        <w:t xml:space="preserve">2014 – 2019 MTSF set </w:t>
      </w:r>
      <w:r w:rsidR="007C67AA" w:rsidRPr="008D3C26">
        <w:rPr>
          <w:rFonts w:ascii="Times New Roman" w:hAnsi="Times New Roman" w:cs="Times New Roman"/>
          <w:sz w:val="24"/>
          <w:szCs w:val="24"/>
        </w:rPr>
        <w:t xml:space="preserve">for </w:t>
      </w:r>
      <w:r w:rsidRPr="008D3C26">
        <w:rPr>
          <w:rFonts w:ascii="Times New Roman" w:hAnsi="Times New Roman" w:cs="Times New Roman"/>
          <w:sz w:val="24"/>
          <w:szCs w:val="24"/>
        </w:rPr>
        <w:t xml:space="preserve">the Skills Development </w:t>
      </w:r>
      <w:r w:rsidR="007945F2" w:rsidRPr="008D3C26">
        <w:rPr>
          <w:rFonts w:ascii="Times New Roman" w:hAnsi="Times New Roman" w:cs="Times New Roman"/>
          <w:sz w:val="24"/>
          <w:szCs w:val="24"/>
        </w:rPr>
        <w:t>s</w:t>
      </w:r>
      <w:r w:rsidRPr="008D3C26">
        <w:rPr>
          <w:rFonts w:ascii="Times New Roman" w:hAnsi="Times New Roman" w:cs="Times New Roman"/>
          <w:sz w:val="24"/>
          <w:szCs w:val="24"/>
        </w:rPr>
        <w:t>ector, and were achieved as follows:</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120 000 work-based learning opportunities</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achievement 148</w:t>
      </w:r>
      <w:r w:rsidR="009C471E" w:rsidRPr="008D3C26">
        <w:rPr>
          <w:rFonts w:ascii="Times New Roman" w:hAnsi="Times New Roman" w:cs="Times New Roman"/>
          <w:sz w:val="24"/>
          <w:szCs w:val="24"/>
        </w:rPr>
        <w:t> </w:t>
      </w:r>
      <w:r w:rsidRPr="008D3C26">
        <w:rPr>
          <w:rFonts w:ascii="Times New Roman" w:hAnsi="Times New Roman" w:cs="Times New Roman"/>
          <w:sz w:val="24"/>
          <w:szCs w:val="24"/>
        </w:rPr>
        <w:t>517</w:t>
      </w:r>
      <w:r w:rsidR="009C471E" w:rsidRPr="008D3C26">
        <w:rPr>
          <w:rFonts w:ascii="Times New Roman" w:hAnsi="Times New Roman" w:cs="Times New Roman"/>
          <w:sz w:val="24"/>
          <w:szCs w:val="24"/>
        </w:rPr>
        <w:t>)</w:t>
      </w:r>
      <w:r w:rsidRPr="008D3C26">
        <w:rPr>
          <w:rFonts w:ascii="Times New Roman" w:hAnsi="Times New Roman" w:cs="Times New Roman"/>
          <w:sz w:val="24"/>
          <w:szCs w:val="24"/>
        </w:rPr>
        <w:t>. The Auditor-General has noted that the reported achievement for the target relating to this target was misstated as the evidence provided indicated 231 206 and not 148 517 as reported</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21 110 new artisans qualified per annum</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achievement 21</w:t>
      </w:r>
      <w:r w:rsidR="009C471E" w:rsidRPr="008D3C26">
        <w:rPr>
          <w:rFonts w:ascii="Times New Roman" w:hAnsi="Times New Roman" w:cs="Times New Roman"/>
          <w:sz w:val="24"/>
          <w:szCs w:val="24"/>
        </w:rPr>
        <w:t> </w:t>
      </w:r>
      <w:r w:rsidRPr="008D3C26">
        <w:rPr>
          <w:rFonts w:ascii="Times New Roman" w:hAnsi="Times New Roman" w:cs="Times New Roman"/>
          <w:sz w:val="24"/>
          <w:szCs w:val="24"/>
        </w:rPr>
        <w:t>188</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30 750 new artisan learners registered nationally per annum</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achie</w:t>
      </w:r>
      <w:r w:rsidR="009C471E" w:rsidRPr="008D3C26">
        <w:rPr>
          <w:rFonts w:ascii="Times New Roman" w:hAnsi="Times New Roman" w:cs="Times New Roman"/>
          <w:sz w:val="24"/>
          <w:szCs w:val="24"/>
        </w:rPr>
        <w:t xml:space="preserve">vement </w:t>
      </w:r>
      <w:r w:rsidRPr="008D3C26">
        <w:rPr>
          <w:rFonts w:ascii="Times New Roman" w:hAnsi="Times New Roman" w:cs="Times New Roman"/>
          <w:sz w:val="24"/>
          <w:szCs w:val="24"/>
        </w:rPr>
        <w:t>30</w:t>
      </w:r>
      <w:r w:rsidR="009C471E" w:rsidRPr="008D3C26">
        <w:rPr>
          <w:rFonts w:ascii="Times New Roman" w:hAnsi="Times New Roman" w:cs="Times New Roman"/>
          <w:sz w:val="24"/>
          <w:szCs w:val="24"/>
        </w:rPr>
        <w:t> </w:t>
      </w:r>
      <w:r w:rsidRPr="008D3C26">
        <w:rPr>
          <w:rFonts w:ascii="Times New Roman" w:hAnsi="Times New Roman" w:cs="Times New Roman"/>
          <w:sz w:val="24"/>
          <w:szCs w:val="24"/>
        </w:rPr>
        <w:t>814</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67 per cent national artisan learners employed or self-employed </w:t>
      </w:r>
      <w:r w:rsidR="009C471E" w:rsidRPr="008D3C26">
        <w:rPr>
          <w:rFonts w:ascii="Times New Roman" w:hAnsi="Times New Roman" w:cs="Times New Roman"/>
          <w:sz w:val="24"/>
          <w:szCs w:val="24"/>
        </w:rPr>
        <w:t>(</w:t>
      </w:r>
      <w:r w:rsidRPr="008D3C26">
        <w:rPr>
          <w:rFonts w:ascii="Times New Roman" w:hAnsi="Times New Roman" w:cs="Times New Roman"/>
          <w:sz w:val="24"/>
          <w:szCs w:val="24"/>
        </w:rPr>
        <w:t>achievement 79 per cent</w:t>
      </w:r>
      <w:r w:rsidR="009C471E" w:rsidRPr="008D3C26">
        <w:rPr>
          <w:rFonts w:ascii="Times New Roman" w:hAnsi="Times New Roman" w:cs="Times New Roman"/>
          <w:sz w:val="24"/>
          <w:szCs w:val="24"/>
        </w:rPr>
        <w:t xml:space="preserve">); </w:t>
      </w:r>
      <w:r w:rsidR="00F32746" w:rsidRPr="008D3C26">
        <w:rPr>
          <w:rFonts w:ascii="Times New Roman" w:hAnsi="Times New Roman" w:cs="Times New Roman"/>
          <w:sz w:val="24"/>
          <w:szCs w:val="24"/>
        </w:rPr>
        <w:t xml:space="preserve">and </w:t>
      </w:r>
      <w:r w:rsidRPr="008D3C26">
        <w:rPr>
          <w:rFonts w:ascii="Times New Roman" w:hAnsi="Times New Roman" w:cs="Times New Roman"/>
          <w:sz w:val="24"/>
          <w:szCs w:val="24"/>
        </w:rPr>
        <w:t>100 per cent of SETAs meeting standards of good governance</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achievement 71 per cent</w:t>
      </w:r>
      <w:r w:rsidR="009C471E"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The Department reported during consideration of the fourth quarter 2016/17 that six SETAs did not meet the good governance because of non-submission of portfolio of evidence required by the Department due to confidentiality concerns.  </w:t>
      </w:r>
    </w:p>
    <w:p w14:paraId="70C6CF22" w14:textId="77777777" w:rsidR="00767186" w:rsidRPr="008D3C26" w:rsidRDefault="00767186" w:rsidP="0088110C">
      <w:pPr>
        <w:spacing w:after="0"/>
        <w:rPr>
          <w:rFonts w:ascii="Times New Roman" w:hAnsi="Times New Roman" w:cs="Times New Roman"/>
          <w:b/>
          <w:sz w:val="24"/>
          <w:szCs w:val="24"/>
        </w:rPr>
      </w:pPr>
    </w:p>
    <w:p w14:paraId="1605456A" w14:textId="77777777" w:rsidR="00767186" w:rsidRPr="008D3C26" w:rsidRDefault="00767186" w:rsidP="0088110C">
      <w:pPr>
        <w:spacing w:after="0"/>
        <w:rPr>
          <w:rFonts w:ascii="Times New Roman" w:hAnsi="Times New Roman" w:cs="Times New Roman"/>
          <w:b/>
          <w:sz w:val="24"/>
          <w:szCs w:val="24"/>
        </w:rPr>
      </w:pPr>
    </w:p>
    <w:p w14:paraId="6344A2F0" w14:textId="77777777" w:rsidR="00767186" w:rsidRPr="008D3C26" w:rsidRDefault="00767186" w:rsidP="0088110C">
      <w:pPr>
        <w:spacing w:after="0"/>
        <w:rPr>
          <w:rFonts w:ascii="Times New Roman" w:hAnsi="Times New Roman" w:cs="Times New Roman"/>
          <w:b/>
          <w:sz w:val="24"/>
          <w:szCs w:val="24"/>
        </w:rPr>
      </w:pPr>
    </w:p>
    <w:p w14:paraId="5B2BAA33" w14:textId="77777777" w:rsidR="00590DE5" w:rsidRPr="008D3C26" w:rsidRDefault="001129A1" w:rsidP="0088110C">
      <w:pPr>
        <w:spacing w:after="0"/>
        <w:rPr>
          <w:rFonts w:ascii="Times New Roman" w:hAnsi="Times New Roman" w:cs="Times New Roman"/>
          <w:b/>
          <w:sz w:val="24"/>
          <w:szCs w:val="24"/>
        </w:rPr>
      </w:pPr>
      <w:r w:rsidRPr="008D3C26">
        <w:rPr>
          <w:rFonts w:ascii="Times New Roman" w:hAnsi="Times New Roman" w:cs="Times New Roman"/>
          <w:b/>
          <w:sz w:val="24"/>
          <w:szCs w:val="24"/>
        </w:rPr>
        <w:t>5.</w:t>
      </w:r>
      <w:r w:rsidR="008811BF" w:rsidRPr="008D3C26">
        <w:rPr>
          <w:rFonts w:ascii="Times New Roman" w:hAnsi="Times New Roman" w:cs="Times New Roman"/>
          <w:b/>
          <w:sz w:val="24"/>
          <w:szCs w:val="24"/>
        </w:rPr>
        <w:t>2</w:t>
      </w:r>
      <w:r w:rsidR="00E01B75" w:rsidRPr="008D3C26">
        <w:rPr>
          <w:rFonts w:ascii="Times New Roman" w:hAnsi="Times New Roman" w:cs="Times New Roman"/>
          <w:b/>
          <w:sz w:val="24"/>
          <w:szCs w:val="24"/>
        </w:rPr>
        <w:t>.6. Programme 6: Community Education and Training</w:t>
      </w:r>
    </w:p>
    <w:p w14:paraId="352D5EA3" w14:textId="77777777" w:rsidR="0088110C" w:rsidRPr="008D3C26" w:rsidRDefault="0088110C" w:rsidP="0088110C">
      <w:pPr>
        <w:rPr>
          <w:rFonts w:ascii="Times New Roman" w:hAnsi="Times New Roman" w:cs="Times New Roman"/>
          <w:sz w:val="24"/>
          <w:szCs w:val="24"/>
        </w:rPr>
      </w:pPr>
      <w:r w:rsidRPr="008D3C26">
        <w:rPr>
          <w:rFonts w:ascii="Times New Roman" w:hAnsi="Times New Roman" w:cs="Times New Roman"/>
          <w:sz w:val="24"/>
          <w:szCs w:val="24"/>
        </w:rPr>
        <w:t xml:space="preserve">The purpose of this programme is to plan, develop, implement, monitor, maintain and evaluate national policy, programme assessment practices and systems for community education and training. </w:t>
      </w:r>
    </w:p>
    <w:p w14:paraId="28947393" w14:textId="77777777" w:rsidR="0088110C" w:rsidRPr="008D3C26" w:rsidRDefault="0088110C" w:rsidP="0088110C">
      <w:pPr>
        <w:rPr>
          <w:rFonts w:ascii="Times New Roman" w:hAnsi="Times New Roman" w:cs="Times New Roman"/>
          <w:sz w:val="24"/>
          <w:szCs w:val="24"/>
        </w:rPr>
      </w:pPr>
      <w:r w:rsidRPr="008D3C26">
        <w:rPr>
          <w:rFonts w:ascii="Times New Roman" w:hAnsi="Times New Roman" w:cs="Times New Roman"/>
          <w:bCs/>
          <w:sz w:val="24"/>
          <w:szCs w:val="24"/>
        </w:rPr>
        <w:t>The programme had four strategic objectives: t</w:t>
      </w:r>
      <w:r w:rsidRPr="008D3C26">
        <w:rPr>
          <w:rFonts w:ascii="Times New Roman" w:hAnsi="Times New Roman" w:cs="Times New Roman"/>
          <w:sz w:val="24"/>
          <w:szCs w:val="24"/>
        </w:rPr>
        <w:t xml:space="preserve">o develop eight (8) and revise 1 legislative and guiding framework aimed at steering CET system by 31 March 2020, to develop and implement one (1) teaching and learning support plan for CET colleges by 31 March 2020, to ensure geographic spread and maintenance of </w:t>
      </w:r>
      <w:r w:rsidR="007945F2" w:rsidRPr="008D3C26">
        <w:rPr>
          <w:rFonts w:ascii="Times New Roman" w:hAnsi="Times New Roman" w:cs="Times New Roman"/>
          <w:sz w:val="24"/>
          <w:szCs w:val="24"/>
        </w:rPr>
        <w:t>nine</w:t>
      </w:r>
      <w:r w:rsidRPr="008D3C26">
        <w:rPr>
          <w:rFonts w:ascii="Times New Roman" w:hAnsi="Times New Roman" w:cs="Times New Roman"/>
          <w:sz w:val="24"/>
          <w:szCs w:val="24"/>
        </w:rPr>
        <w:t xml:space="preserve"> CET colleges by 31 March 2020, and to forge links with strategic partners and stakeholders in the community education and training sector by developing and approving a strategy on strategic partnerships with key strategic partners by 31 March 2020.</w:t>
      </w:r>
    </w:p>
    <w:p w14:paraId="62229881" w14:textId="77777777" w:rsidR="0088110C" w:rsidRPr="008D3C26" w:rsidRDefault="0088110C" w:rsidP="0088110C">
      <w:pPr>
        <w:rPr>
          <w:rFonts w:ascii="Times New Roman" w:hAnsi="Times New Roman" w:cs="Times New Roman"/>
          <w:bCs/>
          <w:sz w:val="24"/>
          <w:szCs w:val="24"/>
        </w:rPr>
      </w:pPr>
      <w:r w:rsidRPr="008D3C26">
        <w:rPr>
          <w:rFonts w:ascii="Times New Roman" w:hAnsi="Times New Roman" w:cs="Times New Roman"/>
          <w:sz w:val="24"/>
          <w:szCs w:val="24"/>
        </w:rPr>
        <w:t xml:space="preserve">The programme had </w:t>
      </w:r>
      <w:r w:rsidRPr="008D3C26">
        <w:rPr>
          <w:rFonts w:ascii="Times New Roman" w:hAnsi="Times New Roman" w:cs="Times New Roman"/>
          <w:bCs/>
          <w:sz w:val="24"/>
          <w:szCs w:val="24"/>
        </w:rPr>
        <w:t>seven (7) targets (</w:t>
      </w:r>
      <w:r w:rsidR="00CE064E" w:rsidRPr="008D3C26">
        <w:rPr>
          <w:rFonts w:ascii="Times New Roman" w:hAnsi="Times New Roman" w:cs="Times New Roman"/>
          <w:bCs/>
          <w:sz w:val="24"/>
          <w:szCs w:val="24"/>
        </w:rPr>
        <w:t>Departmental targets</w:t>
      </w:r>
      <w:r w:rsidRPr="008D3C26">
        <w:rPr>
          <w:rFonts w:ascii="Times New Roman" w:hAnsi="Times New Roman" w:cs="Times New Roman"/>
          <w:bCs/>
          <w:sz w:val="24"/>
          <w:szCs w:val="24"/>
        </w:rPr>
        <w:t xml:space="preserve">) and two system targets planned for the year under review, which five (71.4 percent) were achieved </w:t>
      </w:r>
      <w:r w:rsidR="007945F2" w:rsidRPr="008D3C26">
        <w:rPr>
          <w:rFonts w:ascii="Times New Roman" w:hAnsi="Times New Roman" w:cs="Times New Roman"/>
          <w:bCs/>
          <w:sz w:val="24"/>
          <w:szCs w:val="24"/>
        </w:rPr>
        <w:t xml:space="preserve">as planned </w:t>
      </w:r>
      <w:r w:rsidRPr="008D3C26">
        <w:rPr>
          <w:rFonts w:ascii="Times New Roman" w:hAnsi="Times New Roman" w:cs="Times New Roman"/>
          <w:bCs/>
          <w:sz w:val="24"/>
          <w:szCs w:val="24"/>
        </w:rPr>
        <w:t xml:space="preserve">and two (28.5 per cent) were not achieved. The achieved targets included </w:t>
      </w:r>
      <w:r w:rsidR="002D613F" w:rsidRPr="008D3C26">
        <w:rPr>
          <w:rFonts w:ascii="Times New Roman" w:hAnsi="Times New Roman" w:cs="Times New Roman"/>
          <w:bCs/>
          <w:sz w:val="24"/>
          <w:szCs w:val="24"/>
        </w:rPr>
        <w:t xml:space="preserve">an </w:t>
      </w:r>
      <w:r w:rsidRPr="008D3C26">
        <w:rPr>
          <w:rFonts w:ascii="Times New Roman" w:hAnsi="Times New Roman" w:cs="Times New Roman"/>
          <w:bCs/>
          <w:sz w:val="24"/>
          <w:szCs w:val="24"/>
        </w:rPr>
        <w:t xml:space="preserve">approved </w:t>
      </w:r>
      <w:r w:rsidR="007945F2" w:rsidRPr="008D3C26">
        <w:rPr>
          <w:rFonts w:ascii="Times New Roman" w:hAnsi="Times New Roman" w:cs="Times New Roman"/>
          <w:bCs/>
          <w:sz w:val="24"/>
          <w:szCs w:val="24"/>
        </w:rPr>
        <w:t>m</w:t>
      </w:r>
      <w:r w:rsidRPr="008D3C26">
        <w:rPr>
          <w:rFonts w:ascii="Times New Roman" w:hAnsi="Times New Roman" w:cs="Times New Roman"/>
          <w:bCs/>
          <w:sz w:val="24"/>
          <w:szCs w:val="24"/>
        </w:rPr>
        <w:t xml:space="preserve">onitoring and </w:t>
      </w:r>
      <w:r w:rsidR="007945F2" w:rsidRPr="008D3C26">
        <w:rPr>
          <w:rFonts w:ascii="Times New Roman" w:hAnsi="Times New Roman" w:cs="Times New Roman"/>
          <w:bCs/>
          <w:sz w:val="24"/>
          <w:szCs w:val="24"/>
        </w:rPr>
        <w:t>e</w:t>
      </w:r>
      <w:r w:rsidRPr="008D3C26">
        <w:rPr>
          <w:rFonts w:ascii="Times New Roman" w:hAnsi="Times New Roman" w:cs="Times New Roman"/>
          <w:bCs/>
          <w:sz w:val="24"/>
          <w:szCs w:val="24"/>
        </w:rPr>
        <w:t xml:space="preserve">valuation policy for Community Colleges, </w:t>
      </w:r>
      <w:r w:rsidR="007945F2" w:rsidRPr="008D3C26">
        <w:rPr>
          <w:rFonts w:ascii="Times New Roman" w:hAnsi="Times New Roman" w:cs="Times New Roman"/>
          <w:bCs/>
          <w:sz w:val="24"/>
          <w:szCs w:val="24"/>
        </w:rPr>
        <w:t xml:space="preserve">a </w:t>
      </w:r>
      <w:r w:rsidRPr="008D3C26">
        <w:rPr>
          <w:rFonts w:ascii="Times New Roman" w:hAnsi="Times New Roman" w:cs="Times New Roman"/>
          <w:bCs/>
          <w:sz w:val="24"/>
          <w:szCs w:val="24"/>
        </w:rPr>
        <w:t xml:space="preserve">Conduct </w:t>
      </w:r>
      <w:r w:rsidR="00C07591" w:rsidRPr="008D3C26">
        <w:rPr>
          <w:rFonts w:ascii="Times New Roman" w:hAnsi="Times New Roman" w:cs="Times New Roman"/>
          <w:bCs/>
          <w:sz w:val="24"/>
          <w:szCs w:val="24"/>
        </w:rPr>
        <w:t>P</w:t>
      </w:r>
      <w:r w:rsidRPr="008D3C26">
        <w:rPr>
          <w:rFonts w:ascii="Times New Roman" w:hAnsi="Times New Roman" w:cs="Times New Roman"/>
          <w:bCs/>
          <w:sz w:val="24"/>
          <w:szCs w:val="24"/>
        </w:rPr>
        <w:t xml:space="preserve">olicy for General Education and Training Certificates for Adults, </w:t>
      </w:r>
      <w:r w:rsidR="00C07591" w:rsidRPr="008D3C26">
        <w:rPr>
          <w:rFonts w:ascii="Times New Roman" w:hAnsi="Times New Roman" w:cs="Times New Roman"/>
          <w:bCs/>
          <w:sz w:val="24"/>
          <w:szCs w:val="24"/>
        </w:rPr>
        <w:t>an a</w:t>
      </w:r>
      <w:r w:rsidRPr="008D3C26">
        <w:rPr>
          <w:rFonts w:ascii="Times New Roman" w:hAnsi="Times New Roman" w:cs="Times New Roman"/>
          <w:bCs/>
          <w:sz w:val="24"/>
          <w:szCs w:val="24"/>
        </w:rPr>
        <w:t xml:space="preserve">nnual </w:t>
      </w:r>
      <w:r w:rsidR="00C07591" w:rsidRPr="008D3C26">
        <w:rPr>
          <w:rFonts w:ascii="Times New Roman" w:hAnsi="Times New Roman" w:cs="Times New Roman"/>
          <w:bCs/>
          <w:sz w:val="24"/>
          <w:szCs w:val="24"/>
        </w:rPr>
        <w:t>p</w:t>
      </w:r>
      <w:r w:rsidRPr="008D3C26">
        <w:rPr>
          <w:rFonts w:ascii="Times New Roman" w:hAnsi="Times New Roman" w:cs="Times New Roman"/>
          <w:bCs/>
          <w:sz w:val="24"/>
          <w:szCs w:val="24"/>
        </w:rPr>
        <w:t xml:space="preserve">lan and education, training and development improvement plan for CET Colleges, a CET College sites/facilities maintenance report, and a strategy on strategic partnerships. </w:t>
      </w:r>
    </w:p>
    <w:p w14:paraId="64417F5A" w14:textId="77777777" w:rsidR="0088110C" w:rsidRPr="008D3C26" w:rsidRDefault="0088110C" w:rsidP="0088110C">
      <w:pPr>
        <w:rPr>
          <w:rFonts w:ascii="Times New Roman" w:hAnsi="Times New Roman" w:cs="Times New Roman"/>
          <w:color w:val="000000"/>
          <w:sz w:val="24"/>
          <w:szCs w:val="24"/>
        </w:rPr>
      </w:pPr>
      <w:r w:rsidRPr="008D3C26">
        <w:rPr>
          <w:rFonts w:ascii="Times New Roman" w:hAnsi="Times New Roman" w:cs="Times New Roman"/>
          <w:bCs/>
          <w:sz w:val="24"/>
          <w:szCs w:val="24"/>
        </w:rPr>
        <w:t xml:space="preserve">The two targets that were not achieved </w:t>
      </w:r>
      <w:r w:rsidR="00C07591" w:rsidRPr="008D3C26">
        <w:rPr>
          <w:rFonts w:ascii="Times New Roman" w:hAnsi="Times New Roman" w:cs="Times New Roman"/>
          <w:bCs/>
          <w:sz w:val="24"/>
          <w:szCs w:val="24"/>
        </w:rPr>
        <w:t xml:space="preserve">as planned </w:t>
      </w:r>
      <w:r w:rsidRPr="008D3C26">
        <w:rPr>
          <w:rFonts w:ascii="Times New Roman" w:hAnsi="Times New Roman" w:cs="Times New Roman"/>
          <w:bCs/>
          <w:sz w:val="24"/>
          <w:szCs w:val="24"/>
        </w:rPr>
        <w:t xml:space="preserve">were </w:t>
      </w:r>
      <w:r w:rsidR="00C07591" w:rsidRPr="008D3C26">
        <w:rPr>
          <w:rFonts w:ascii="Times New Roman" w:hAnsi="Times New Roman" w:cs="Times New Roman"/>
          <w:bCs/>
          <w:sz w:val="24"/>
          <w:szCs w:val="24"/>
        </w:rPr>
        <w:t xml:space="preserve">the </w:t>
      </w:r>
      <w:r w:rsidRPr="008D3C26">
        <w:rPr>
          <w:rFonts w:ascii="Times New Roman" w:hAnsi="Times New Roman" w:cs="Times New Roman"/>
          <w:bCs/>
          <w:sz w:val="24"/>
          <w:szCs w:val="24"/>
        </w:rPr>
        <w:t xml:space="preserve">regulations for the establishment of the satellite Community Learning Centres (CLCs) which were not approved ned. This was due to a legal advice which advised that </w:t>
      </w:r>
      <w:r w:rsidR="00C07591" w:rsidRPr="008D3C26">
        <w:rPr>
          <w:rFonts w:ascii="Times New Roman" w:hAnsi="Times New Roman" w:cs="Times New Roman"/>
          <w:bCs/>
          <w:sz w:val="24"/>
          <w:szCs w:val="24"/>
        </w:rPr>
        <w:t xml:space="preserve">the </w:t>
      </w:r>
      <w:r w:rsidRPr="008D3C26">
        <w:rPr>
          <w:rFonts w:ascii="Times New Roman" w:hAnsi="Times New Roman" w:cs="Times New Roman"/>
          <w:color w:val="000000"/>
          <w:sz w:val="24"/>
          <w:szCs w:val="24"/>
        </w:rPr>
        <w:t>policy was not complian</w:t>
      </w:r>
      <w:r w:rsidR="00C07591" w:rsidRPr="008D3C26">
        <w:rPr>
          <w:rFonts w:ascii="Times New Roman" w:hAnsi="Times New Roman" w:cs="Times New Roman"/>
          <w:color w:val="000000"/>
          <w:sz w:val="24"/>
          <w:szCs w:val="24"/>
        </w:rPr>
        <w:t>t</w:t>
      </w:r>
      <w:r w:rsidRPr="008D3C26">
        <w:rPr>
          <w:rFonts w:ascii="Times New Roman" w:hAnsi="Times New Roman" w:cs="Times New Roman"/>
          <w:color w:val="000000"/>
          <w:sz w:val="24"/>
          <w:szCs w:val="24"/>
        </w:rPr>
        <w:t xml:space="preserve"> with the Community Education and Training Act</w:t>
      </w:r>
      <w:r w:rsidR="00C07591" w:rsidRPr="008D3C26">
        <w:rPr>
          <w:rFonts w:ascii="Times New Roman" w:hAnsi="Times New Roman" w:cs="Times New Roman"/>
          <w:color w:val="000000"/>
          <w:sz w:val="24"/>
          <w:szCs w:val="24"/>
        </w:rPr>
        <w:t>, 2006 (A</w:t>
      </w:r>
      <w:r w:rsidR="00E868FA" w:rsidRPr="008D3C26">
        <w:rPr>
          <w:rFonts w:ascii="Times New Roman" w:hAnsi="Times New Roman" w:cs="Times New Roman"/>
          <w:color w:val="000000"/>
          <w:sz w:val="24"/>
          <w:szCs w:val="24"/>
        </w:rPr>
        <w:t>ct</w:t>
      </w:r>
      <w:r w:rsidR="00C07591" w:rsidRPr="008D3C26">
        <w:rPr>
          <w:rFonts w:ascii="Times New Roman" w:hAnsi="Times New Roman" w:cs="Times New Roman"/>
          <w:color w:val="000000"/>
          <w:sz w:val="24"/>
          <w:szCs w:val="24"/>
        </w:rPr>
        <w:t xml:space="preserve"> No.16 of 2006)</w:t>
      </w:r>
      <w:r w:rsidRPr="008D3C26">
        <w:rPr>
          <w:rFonts w:ascii="Times New Roman" w:hAnsi="Times New Roman" w:cs="Times New Roman"/>
          <w:color w:val="000000"/>
          <w:sz w:val="24"/>
          <w:szCs w:val="24"/>
        </w:rPr>
        <w:t xml:space="preserve"> and stated that only Councils c</w:t>
      </w:r>
      <w:r w:rsidR="00C07591" w:rsidRPr="008D3C26">
        <w:rPr>
          <w:rFonts w:ascii="Times New Roman" w:hAnsi="Times New Roman" w:cs="Times New Roman"/>
          <w:color w:val="000000"/>
          <w:sz w:val="24"/>
          <w:szCs w:val="24"/>
        </w:rPr>
        <w:t>ould</w:t>
      </w:r>
      <w:r w:rsidRPr="008D3C26">
        <w:rPr>
          <w:rFonts w:ascii="Times New Roman" w:hAnsi="Times New Roman" w:cs="Times New Roman"/>
          <w:color w:val="000000"/>
          <w:sz w:val="24"/>
          <w:szCs w:val="24"/>
        </w:rPr>
        <w:t xml:space="preserve"> establish CLCs and the Minister was limited to the establishment of Centres. The Department noted that a new policy and procedures for regulating the opening, merging and closing of CET learning sites was developed and approved by the Minister. The Committee </w:t>
      </w:r>
      <w:r w:rsidR="00C07591" w:rsidRPr="008D3C26">
        <w:rPr>
          <w:rFonts w:ascii="Times New Roman" w:hAnsi="Times New Roman" w:cs="Times New Roman"/>
          <w:color w:val="000000"/>
          <w:sz w:val="24"/>
          <w:szCs w:val="24"/>
        </w:rPr>
        <w:t>expressed a</w:t>
      </w:r>
      <w:r w:rsidRPr="008D3C26">
        <w:rPr>
          <w:rFonts w:ascii="Times New Roman" w:hAnsi="Times New Roman" w:cs="Times New Roman"/>
          <w:color w:val="000000"/>
          <w:sz w:val="24"/>
          <w:szCs w:val="24"/>
        </w:rPr>
        <w:t xml:space="preserve"> concern during the third quarter of 2016/17 consideration that the Department did not </w:t>
      </w:r>
      <w:r w:rsidR="00A95BB1" w:rsidRPr="008D3C26">
        <w:rPr>
          <w:rFonts w:ascii="Times New Roman" w:hAnsi="Times New Roman" w:cs="Times New Roman"/>
          <w:color w:val="000000"/>
          <w:sz w:val="24"/>
          <w:szCs w:val="24"/>
        </w:rPr>
        <w:t>obtain</w:t>
      </w:r>
      <w:r w:rsidRPr="008D3C26">
        <w:rPr>
          <w:rFonts w:ascii="Times New Roman" w:hAnsi="Times New Roman" w:cs="Times New Roman"/>
          <w:color w:val="000000"/>
          <w:sz w:val="24"/>
          <w:szCs w:val="24"/>
        </w:rPr>
        <w:t xml:space="preserve"> legal advice before setting the target to develop regulations for the establishment of the satellite CET Learning Centres. The target to have a National Curriculum Policy for Community College developed and approved by the Minister was not achieved due to </w:t>
      </w:r>
      <w:r w:rsidR="00C07591" w:rsidRPr="008D3C26">
        <w:rPr>
          <w:rFonts w:ascii="Times New Roman" w:hAnsi="Times New Roman" w:cs="Times New Roman"/>
          <w:color w:val="000000"/>
          <w:sz w:val="24"/>
          <w:szCs w:val="24"/>
        </w:rPr>
        <w:t xml:space="preserve">the </w:t>
      </w:r>
      <w:r w:rsidRPr="008D3C26">
        <w:rPr>
          <w:rFonts w:ascii="Times New Roman" w:hAnsi="Times New Roman" w:cs="Times New Roman"/>
          <w:color w:val="000000"/>
          <w:sz w:val="24"/>
          <w:szCs w:val="24"/>
        </w:rPr>
        <w:t>delay</w:t>
      </w:r>
      <w:r w:rsidR="00C07591" w:rsidRPr="008D3C26">
        <w:rPr>
          <w:rFonts w:ascii="Times New Roman" w:hAnsi="Times New Roman" w:cs="Times New Roman"/>
          <w:color w:val="000000"/>
          <w:sz w:val="24"/>
          <w:szCs w:val="24"/>
        </w:rPr>
        <w:t>s</w:t>
      </w:r>
      <w:r w:rsidRPr="008D3C26">
        <w:rPr>
          <w:rFonts w:ascii="Times New Roman" w:hAnsi="Times New Roman" w:cs="Times New Roman"/>
          <w:color w:val="000000"/>
          <w:sz w:val="24"/>
          <w:szCs w:val="24"/>
        </w:rPr>
        <w:t xml:space="preserve"> in the approval process. </w:t>
      </w:r>
    </w:p>
    <w:p w14:paraId="3FBF8E84" w14:textId="77777777" w:rsidR="003C07DB" w:rsidRPr="008D3C26" w:rsidRDefault="0088110C" w:rsidP="009724AD">
      <w:pPr>
        <w:rPr>
          <w:rFonts w:ascii="Times New Roman" w:hAnsi="Times New Roman" w:cs="Times New Roman"/>
          <w:sz w:val="24"/>
          <w:szCs w:val="24"/>
        </w:rPr>
      </w:pPr>
      <w:r w:rsidRPr="008D3C26">
        <w:rPr>
          <w:rFonts w:ascii="Times New Roman" w:hAnsi="Times New Roman" w:cs="Times New Roman"/>
          <w:sz w:val="24"/>
          <w:szCs w:val="24"/>
        </w:rPr>
        <w:t xml:space="preserve">The NDP committed government to increase youth and adult participation in CET sector to 1 million by 2030. This is </w:t>
      </w:r>
      <w:r w:rsidR="00C07591" w:rsidRPr="008D3C26">
        <w:rPr>
          <w:rFonts w:ascii="Times New Roman" w:hAnsi="Times New Roman" w:cs="Times New Roman"/>
          <w:sz w:val="24"/>
          <w:szCs w:val="24"/>
        </w:rPr>
        <w:t xml:space="preserve">aimed </w:t>
      </w:r>
      <w:r w:rsidRPr="008D3C26">
        <w:rPr>
          <w:rFonts w:ascii="Times New Roman" w:hAnsi="Times New Roman" w:cs="Times New Roman"/>
          <w:sz w:val="24"/>
          <w:szCs w:val="24"/>
        </w:rPr>
        <w:t xml:space="preserve">to expand access to and </w:t>
      </w:r>
      <w:r w:rsidR="00A95BB1" w:rsidRPr="008D3C26">
        <w:rPr>
          <w:rFonts w:ascii="Times New Roman" w:hAnsi="Times New Roman" w:cs="Times New Roman"/>
          <w:sz w:val="24"/>
          <w:szCs w:val="24"/>
        </w:rPr>
        <w:t xml:space="preserve">improve </w:t>
      </w:r>
      <w:r w:rsidRPr="008D3C26">
        <w:rPr>
          <w:rFonts w:ascii="Times New Roman" w:hAnsi="Times New Roman" w:cs="Times New Roman"/>
          <w:sz w:val="24"/>
          <w:szCs w:val="24"/>
        </w:rPr>
        <w:t xml:space="preserve">success for post-school youth and adults who wish to raise the bar for further learning, improve skills to bolster employability and/or facilitate progression to opportunities in the TVET College and university education sectors. In working towards realising the NDP, the Department set targets to have 310 000 headcount enrolment in all CET Colleges and 35 per cent certification rates in formal CET qualifications performance. However, performance on these targets was </w:t>
      </w:r>
      <w:r w:rsidR="00C07591" w:rsidRPr="008D3C26">
        <w:rPr>
          <w:rFonts w:ascii="Times New Roman" w:hAnsi="Times New Roman" w:cs="Times New Roman"/>
          <w:sz w:val="24"/>
          <w:szCs w:val="24"/>
        </w:rPr>
        <w:t xml:space="preserve">not </w:t>
      </w:r>
      <w:r w:rsidRPr="008D3C26">
        <w:rPr>
          <w:rFonts w:ascii="Times New Roman" w:hAnsi="Times New Roman" w:cs="Times New Roman"/>
          <w:sz w:val="24"/>
          <w:szCs w:val="24"/>
        </w:rPr>
        <w:t xml:space="preserve">reported due to unavailability of data.  </w:t>
      </w:r>
    </w:p>
    <w:p w14:paraId="32CB2A3B" w14:textId="77777777" w:rsidR="00506BA1" w:rsidRPr="008D3C26" w:rsidRDefault="0037544D" w:rsidP="009724AD">
      <w:pPr>
        <w:rPr>
          <w:rFonts w:ascii="Times New Roman" w:hAnsi="Times New Roman" w:cs="Times New Roman"/>
          <w:b/>
          <w:sz w:val="24"/>
          <w:szCs w:val="24"/>
        </w:rPr>
      </w:pPr>
      <w:r w:rsidRPr="008D3C26">
        <w:rPr>
          <w:rFonts w:ascii="Times New Roman" w:hAnsi="Times New Roman" w:cs="Times New Roman"/>
          <w:b/>
          <w:sz w:val="24"/>
          <w:szCs w:val="24"/>
        </w:rPr>
        <w:t>5.</w:t>
      </w:r>
      <w:r w:rsidR="00112D64" w:rsidRPr="008D3C26">
        <w:rPr>
          <w:rFonts w:ascii="Times New Roman" w:hAnsi="Times New Roman" w:cs="Times New Roman"/>
          <w:b/>
          <w:sz w:val="24"/>
          <w:szCs w:val="24"/>
        </w:rPr>
        <w:t>3</w:t>
      </w:r>
      <w:r w:rsidRPr="008D3C26">
        <w:rPr>
          <w:rFonts w:ascii="Times New Roman" w:hAnsi="Times New Roman" w:cs="Times New Roman"/>
          <w:b/>
          <w:sz w:val="24"/>
          <w:szCs w:val="24"/>
        </w:rPr>
        <w:t xml:space="preserve">. </w:t>
      </w:r>
      <w:r w:rsidR="001129A1" w:rsidRPr="008D3C26">
        <w:rPr>
          <w:rFonts w:ascii="Times New Roman" w:hAnsi="Times New Roman" w:cs="Times New Roman"/>
          <w:b/>
          <w:sz w:val="24"/>
          <w:szCs w:val="24"/>
        </w:rPr>
        <w:t>External</w:t>
      </w:r>
      <w:r w:rsidR="00DC0553" w:rsidRPr="008D3C26">
        <w:rPr>
          <w:rFonts w:ascii="Times New Roman" w:hAnsi="Times New Roman" w:cs="Times New Roman"/>
          <w:b/>
          <w:sz w:val="24"/>
          <w:szCs w:val="24"/>
        </w:rPr>
        <w:t xml:space="preserve"> </w:t>
      </w:r>
      <w:r w:rsidR="00506BA1" w:rsidRPr="008D3C26">
        <w:rPr>
          <w:rFonts w:ascii="Times New Roman" w:hAnsi="Times New Roman" w:cs="Times New Roman"/>
          <w:b/>
          <w:sz w:val="24"/>
          <w:szCs w:val="24"/>
        </w:rPr>
        <w:t>assess</w:t>
      </w:r>
      <w:r w:rsidR="00DC0553" w:rsidRPr="008D3C26">
        <w:rPr>
          <w:rFonts w:ascii="Times New Roman" w:hAnsi="Times New Roman" w:cs="Times New Roman"/>
          <w:b/>
          <w:sz w:val="24"/>
          <w:szCs w:val="24"/>
        </w:rPr>
        <w:t xml:space="preserve">ment of </w:t>
      </w:r>
      <w:r w:rsidR="001129A1" w:rsidRPr="008D3C26">
        <w:rPr>
          <w:rFonts w:ascii="Times New Roman" w:hAnsi="Times New Roman" w:cs="Times New Roman"/>
          <w:b/>
          <w:sz w:val="24"/>
          <w:szCs w:val="24"/>
        </w:rPr>
        <w:t xml:space="preserve">2016/17 financial and </w:t>
      </w:r>
      <w:r w:rsidR="00DC0553" w:rsidRPr="008D3C26">
        <w:rPr>
          <w:rFonts w:ascii="Times New Roman" w:hAnsi="Times New Roman" w:cs="Times New Roman"/>
          <w:b/>
          <w:sz w:val="24"/>
          <w:szCs w:val="24"/>
        </w:rPr>
        <w:t xml:space="preserve">service delivery </w:t>
      </w:r>
      <w:r w:rsidR="00506BA1" w:rsidRPr="008D3C26">
        <w:rPr>
          <w:rFonts w:ascii="Times New Roman" w:hAnsi="Times New Roman" w:cs="Times New Roman"/>
          <w:b/>
          <w:sz w:val="24"/>
          <w:szCs w:val="24"/>
        </w:rPr>
        <w:t xml:space="preserve">performance of the </w:t>
      </w:r>
      <w:r w:rsidR="00EA04F4" w:rsidRPr="008D3C26">
        <w:rPr>
          <w:rFonts w:ascii="Times New Roman" w:hAnsi="Times New Roman" w:cs="Times New Roman"/>
          <w:b/>
          <w:sz w:val="24"/>
          <w:szCs w:val="24"/>
        </w:rPr>
        <w:t>D</w:t>
      </w:r>
      <w:r w:rsidR="00506BA1" w:rsidRPr="008D3C26">
        <w:rPr>
          <w:rFonts w:ascii="Times New Roman" w:hAnsi="Times New Roman" w:cs="Times New Roman"/>
          <w:b/>
          <w:sz w:val="24"/>
          <w:szCs w:val="24"/>
        </w:rPr>
        <w:t>epartment</w:t>
      </w:r>
    </w:p>
    <w:p w14:paraId="371FEFD4" w14:textId="77777777" w:rsidR="00EC6B59" w:rsidRPr="008D3C26" w:rsidRDefault="00506BA1" w:rsidP="009724AD">
      <w:pPr>
        <w:rPr>
          <w:rFonts w:ascii="Times New Roman" w:hAnsi="Times New Roman" w:cs="Times New Roman"/>
          <w:sz w:val="24"/>
          <w:szCs w:val="24"/>
        </w:rPr>
      </w:pPr>
      <w:r w:rsidRPr="008D3C26">
        <w:rPr>
          <w:rFonts w:ascii="Times New Roman" w:hAnsi="Times New Roman" w:cs="Times New Roman"/>
          <w:sz w:val="24"/>
          <w:szCs w:val="24"/>
        </w:rPr>
        <w:t xml:space="preserve">This section presents a summary of the </w:t>
      </w:r>
      <w:r w:rsidR="00A90A92" w:rsidRPr="008D3C26">
        <w:rPr>
          <w:rFonts w:ascii="Times New Roman" w:hAnsi="Times New Roman" w:cs="Times New Roman"/>
          <w:sz w:val="24"/>
          <w:szCs w:val="24"/>
        </w:rPr>
        <w:t>input</w:t>
      </w:r>
      <w:r w:rsidRPr="008D3C26">
        <w:rPr>
          <w:rFonts w:ascii="Times New Roman" w:hAnsi="Times New Roman" w:cs="Times New Roman"/>
          <w:sz w:val="24"/>
          <w:szCs w:val="24"/>
        </w:rPr>
        <w:t>s of the Department of Plan</w:t>
      </w:r>
      <w:r w:rsidR="00A90A92" w:rsidRPr="008D3C26">
        <w:rPr>
          <w:rFonts w:ascii="Times New Roman" w:hAnsi="Times New Roman" w:cs="Times New Roman"/>
          <w:sz w:val="24"/>
          <w:szCs w:val="24"/>
        </w:rPr>
        <w:t>ning, Monitoring and Evaluation, TVETCGC and Parliamentary Budget Office on their</w:t>
      </w:r>
      <w:r w:rsidRPr="008D3C26">
        <w:rPr>
          <w:rFonts w:ascii="Times New Roman" w:hAnsi="Times New Roman" w:cs="Times New Roman"/>
          <w:sz w:val="24"/>
          <w:szCs w:val="24"/>
        </w:rPr>
        <w:t xml:space="preserve"> </w:t>
      </w:r>
      <w:r w:rsidR="00A90A92" w:rsidRPr="008D3C26">
        <w:rPr>
          <w:rFonts w:ascii="Times New Roman" w:hAnsi="Times New Roman" w:cs="Times New Roman"/>
          <w:sz w:val="24"/>
          <w:szCs w:val="24"/>
        </w:rPr>
        <w:t>assessment of</w:t>
      </w:r>
      <w:r w:rsidRPr="008D3C26">
        <w:rPr>
          <w:rFonts w:ascii="Times New Roman" w:hAnsi="Times New Roman" w:cs="Times New Roman"/>
          <w:sz w:val="24"/>
          <w:szCs w:val="24"/>
        </w:rPr>
        <w:t xml:space="preserve"> the performance of the </w:t>
      </w:r>
      <w:r w:rsidR="00DC0553" w:rsidRPr="008D3C26">
        <w:rPr>
          <w:rFonts w:ascii="Times New Roman" w:hAnsi="Times New Roman" w:cs="Times New Roman"/>
          <w:sz w:val="24"/>
          <w:szCs w:val="24"/>
        </w:rPr>
        <w:t>D</w:t>
      </w:r>
      <w:r w:rsidRPr="008D3C26">
        <w:rPr>
          <w:rFonts w:ascii="Times New Roman" w:hAnsi="Times New Roman" w:cs="Times New Roman"/>
          <w:sz w:val="24"/>
          <w:szCs w:val="24"/>
        </w:rPr>
        <w:t>epartment for 201</w:t>
      </w:r>
      <w:r w:rsidR="00DC0553" w:rsidRPr="008D3C26">
        <w:rPr>
          <w:rFonts w:ascii="Times New Roman" w:hAnsi="Times New Roman" w:cs="Times New Roman"/>
          <w:sz w:val="24"/>
          <w:szCs w:val="24"/>
        </w:rPr>
        <w:t>6</w:t>
      </w:r>
      <w:r w:rsidRPr="008D3C26">
        <w:rPr>
          <w:rFonts w:ascii="Times New Roman" w:hAnsi="Times New Roman" w:cs="Times New Roman"/>
          <w:sz w:val="24"/>
          <w:szCs w:val="24"/>
        </w:rPr>
        <w:t>/1</w:t>
      </w:r>
      <w:r w:rsidR="00DC0553" w:rsidRPr="008D3C26">
        <w:rPr>
          <w:rFonts w:ascii="Times New Roman" w:hAnsi="Times New Roman" w:cs="Times New Roman"/>
          <w:sz w:val="24"/>
          <w:szCs w:val="24"/>
        </w:rPr>
        <w:t>7</w:t>
      </w:r>
      <w:r w:rsidRPr="008D3C26">
        <w:rPr>
          <w:rFonts w:ascii="Times New Roman" w:hAnsi="Times New Roman" w:cs="Times New Roman"/>
          <w:sz w:val="24"/>
          <w:szCs w:val="24"/>
        </w:rPr>
        <w:t xml:space="preserve"> financial year</w:t>
      </w:r>
      <w:r w:rsidR="00B8472D" w:rsidRPr="008D3C26">
        <w:rPr>
          <w:rFonts w:ascii="Times New Roman" w:hAnsi="Times New Roman" w:cs="Times New Roman"/>
          <w:sz w:val="24"/>
          <w:szCs w:val="24"/>
        </w:rPr>
        <w:t xml:space="preserve">. </w:t>
      </w:r>
    </w:p>
    <w:p w14:paraId="5F405C0D" w14:textId="77777777" w:rsidR="001129A1" w:rsidRPr="008D3C26" w:rsidRDefault="001129A1" w:rsidP="001129A1">
      <w:pPr>
        <w:rPr>
          <w:rFonts w:ascii="Times New Roman" w:hAnsi="Times New Roman" w:cs="Times New Roman"/>
          <w:b/>
          <w:sz w:val="24"/>
          <w:szCs w:val="24"/>
        </w:rPr>
      </w:pPr>
      <w:r w:rsidRPr="008D3C26">
        <w:rPr>
          <w:rFonts w:ascii="Times New Roman" w:hAnsi="Times New Roman" w:cs="Times New Roman"/>
          <w:b/>
          <w:sz w:val="24"/>
          <w:szCs w:val="24"/>
        </w:rPr>
        <w:t>5.</w:t>
      </w:r>
      <w:r w:rsidR="00112D64" w:rsidRPr="008D3C26">
        <w:rPr>
          <w:rFonts w:ascii="Times New Roman" w:hAnsi="Times New Roman" w:cs="Times New Roman"/>
          <w:b/>
          <w:sz w:val="24"/>
          <w:szCs w:val="24"/>
        </w:rPr>
        <w:t>3</w:t>
      </w:r>
      <w:r w:rsidRPr="008D3C26">
        <w:rPr>
          <w:rFonts w:ascii="Times New Roman" w:hAnsi="Times New Roman" w:cs="Times New Roman"/>
          <w:b/>
          <w:sz w:val="24"/>
          <w:szCs w:val="24"/>
        </w:rPr>
        <w:t xml:space="preserve">.1. Department of </w:t>
      </w:r>
      <w:r w:rsidR="00352AC8" w:rsidRPr="008D3C26">
        <w:rPr>
          <w:rFonts w:ascii="Times New Roman" w:hAnsi="Times New Roman" w:cs="Times New Roman"/>
          <w:b/>
          <w:sz w:val="24"/>
          <w:szCs w:val="24"/>
        </w:rPr>
        <w:t>Planning</w:t>
      </w:r>
      <w:r w:rsidRPr="008D3C26">
        <w:rPr>
          <w:rFonts w:ascii="Times New Roman" w:hAnsi="Times New Roman" w:cs="Times New Roman"/>
          <w:b/>
          <w:sz w:val="24"/>
          <w:szCs w:val="24"/>
        </w:rPr>
        <w:t>, Monitoring and Evaluation (DPME)</w:t>
      </w:r>
    </w:p>
    <w:p w14:paraId="431835DD" w14:textId="77777777" w:rsidR="00FE01CF" w:rsidRPr="008D3C26" w:rsidRDefault="00FE01CF" w:rsidP="00FE01CF">
      <w:pPr>
        <w:rPr>
          <w:rFonts w:ascii="Times New Roman" w:hAnsi="Times New Roman" w:cs="Times New Roman"/>
          <w:sz w:val="24"/>
          <w:szCs w:val="24"/>
        </w:rPr>
      </w:pPr>
      <w:r w:rsidRPr="008D3C26">
        <w:rPr>
          <w:rFonts w:ascii="Times New Roman" w:hAnsi="Times New Roman" w:cs="Times New Roman"/>
          <w:sz w:val="24"/>
          <w:szCs w:val="24"/>
        </w:rPr>
        <w:t>The DPME noted that the NDP 2030 was being implemented through five (5) year plans known as the MTSF which also entailed all 14 priority outcomes of government. The post-school education and training (PSET) system was central in sustaining the economy. However, the skills training in the country was insufficient. The size and shape of the PSET system was undesirable for a country faced with challenges of youth unemployment and skills shortages. The country was also not producing enough skilled graduates to sustain the economy. Out of the 1.2 million learners who started Grade 1, only 121 000 achieved bachelor passes. The country produced 160 000 graduates and 2 530 doctoral graduates per year from public universities.</w:t>
      </w:r>
    </w:p>
    <w:p w14:paraId="12D742A5" w14:textId="77777777" w:rsidR="00FE01CF" w:rsidRPr="008D3C26" w:rsidRDefault="00FE01CF" w:rsidP="00FE01CF">
      <w:pPr>
        <w:rPr>
          <w:rFonts w:ascii="Times New Roman" w:hAnsi="Times New Roman" w:cs="Times New Roman"/>
          <w:sz w:val="24"/>
          <w:szCs w:val="24"/>
        </w:rPr>
      </w:pPr>
      <w:r w:rsidRPr="008D3C26">
        <w:rPr>
          <w:rFonts w:ascii="Times New Roman" w:hAnsi="Times New Roman" w:cs="Times New Roman"/>
          <w:sz w:val="24"/>
          <w:szCs w:val="24"/>
        </w:rPr>
        <w:t>In relation to the mid-term progress 2014 – 2016, the DHET was able to: meet the target of funding 205 000 university students through NSFAS in the 2016 academic year (255 213 actual achievement); increase university graduates in engineering from 12 058 in 2015 to 12 470, teacher education from 12 124 in 2014 to 21 148 in 2015 and increase awarding of bursaries to PhD students from 2 845 in 2014 to 3 454 in 2016.</w:t>
      </w:r>
    </w:p>
    <w:p w14:paraId="672461DF" w14:textId="77777777" w:rsidR="00FE01CF" w:rsidRPr="008D3C26" w:rsidRDefault="00FE01CF" w:rsidP="00FE01CF">
      <w:pPr>
        <w:rPr>
          <w:rFonts w:ascii="Times New Roman" w:hAnsi="Times New Roman" w:cs="Times New Roman"/>
          <w:sz w:val="24"/>
          <w:szCs w:val="24"/>
        </w:rPr>
      </w:pPr>
      <w:r w:rsidRPr="008D3C26">
        <w:rPr>
          <w:rFonts w:ascii="Times New Roman" w:hAnsi="Times New Roman" w:cs="Times New Roman"/>
          <w:sz w:val="24"/>
          <w:szCs w:val="24"/>
        </w:rPr>
        <w:t>The challenges of the DHET included: financial constraints in the TVET system which hampered critical areas such as increasing enrolment, development and implementation of foundation programmes; building and operationalisation of the remaining six (6) new TVET colleges campuses remained a challenge; weak data system in the TVET sector, which made it impossible to calculate the efficiency of the system which further weakens planning; the policy on community service for graduates, which was unlikely to be met and the recouping of outstanding NSFAS loans which needed to be accelerated, especially among public sector debtors.</w:t>
      </w:r>
    </w:p>
    <w:p w14:paraId="79CB8F1C" w14:textId="77777777" w:rsidR="00FE01CF" w:rsidRPr="008D3C26" w:rsidRDefault="00FE01CF" w:rsidP="00FE01CF">
      <w:pPr>
        <w:rPr>
          <w:rFonts w:ascii="Times New Roman" w:hAnsi="Times New Roman" w:cs="Times New Roman"/>
          <w:sz w:val="24"/>
          <w:szCs w:val="24"/>
        </w:rPr>
      </w:pPr>
      <w:r w:rsidRPr="008D3C26">
        <w:rPr>
          <w:rFonts w:ascii="Times New Roman" w:hAnsi="Times New Roman" w:cs="Times New Roman"/>
          <w:sz w:val="24"/>
          <w:szCs w:val="24"/>
        </w:rPr>
        <w:t>With regard to what needs to be done to improve the performance of the PSET system, the DHET should: strengthen the articulation process from basic education to post-school through interventions such as foundation programmes; secure funding for sustaining the operational budget of new TVET college campuses; develop and strengthen the partnerships between colleges and industry to have suitable and relevant curriculum and workplace opportunities for the youth and establish a roadmap of strengthening relationship between PSET institutions and industry.</w:t>
      </w:r>
    </w:p>
    <w:p w14:paraId="113E22FB" w14:textId="77777777" w:rsidR="001129A1" w:rsidRPr="008D3C26" w:rsidRDefault="001129A1" w:rsidP="001129A1">
      <w:pPr>
        <w:rPr>
          <w:rFonts w:ascii="Times New Roman" w:hAnsi="Times New Roman" w:cs="Times New Roman"/>
          <w:b/>
          <w:sz w:val="24"/>
          <w:szCs w:val="24"/>
        </w:rPr>
      </w:pPr>
      <w:r w:rsidRPr="008D3C26">
        <w:rPr>
          <w:rFonts w:ascii="Times New Roman" w:hAnsi="Times New Roman" w:cs="Times New Roman"/>
          <w:b/>
          <w:sz w:val="24"/>
          <w:szCs w:val="24"/>
        </w:rPr>
        <w:t>5.</w:t>
      </w:r>
      <w:r w:rsidR="00112D64" w:rsidRPr="008D3C26">
        <w:rPr>
          <w:rFonts w:ascii="Times New Roman" w:hAnsi="Times New Roman" w:cs="Times New Roman"/>
          <w:b/>
          <w:sz w:val="24"/>
          <w:szCs w:val="24"/>
        </w:rPr>
        <w:t>3</w:t>
      </w:r>
      <w:r w:rsidRPr="008D3C26">
        <w:rPr>
          <w:rFonts w:ascii="Times New Roman" w:hAnsi="Times New Roman" w:cs="Times New Roman"/>
          <w:b/>
          <w:sz w:val="24"/>
          <w:szCs w:val="24"/>
        </w:rPr>
        <w:t>.2. Technical and Vocational Education and Training Colleges Governors Council (TVET CGC)</w:t>
      </w:r>
    </w:p>
    <w:p w14:paraId="17D0A9C3" w14:textId="77777777" w:rsidR="00FE01CF" w:rsidRPr="008D3C26" w:rsidRDefault="00FE01CF" w:rsidP="00FE01CF">
      <w:pPr>
        <w:tabs>
          <w:tab w:val="left" w:pos="990"/>
        </w:tabs>
        <w:spacing w:after="200"/>
        <w:rPr>
          <w:rFonts w:ascii="Times New Roman" w:hAnsi="Times New Roman" w:cs="Times New Roman"/>
          <w:sz w:val="24"/>
          <w:szCs w:val="24"/>
        </w:rPr>
      </w:pPr>
      <w:r w:rsidRPr="008D3C26">
        <w:rPr>
          <w:rFonts w:ascii="Times New Roman" w:hAnsi="Times New Roman" w:cs="Times New Roman"/>
          <w:sz w:val="24"/>
          <w:szCs w:val="24"/>
        </w:rPr>
        <w:t xml:space="preserve">The Committee invited the TVETCGC to </w:t>
      </w:r>
      <w:r w:rsidR="00A95BB1" w:rsidRPr="008D3C26">
        <w:rPr>
          <w:rFonts w:ascii="Times New Roman" w:hAnsi="Times New Roman" w:cs="Times New Roman"/>
          <w:sz w:val="24"/>
          <w:szCs w:val="24"/>
        </w:rPr>
        <w:t>provide</w:t>
      </w:r>
      <w:r w:rsidRPr="008D3C26">
        <w:rPr>
          <w:rFonts w:ascii="Times New Roman" w:hAnsi="Times New Roman" w:cs="Times New Roman"/>
          <w:sz w:val="24"/>
          <w:szCs w:val="24"/>
        </w:rPr>
        <w:t xml:space="preserve"> input on progress on their oversight in monitoring the implementation of actions plans to address the prior year audit findings and the development of action plans to address the 2016/17 audit findings, as well as their engagements with the Auditor-General to address the challenging areas. </w:t>
      </w:r>
    </w:p>
    <w:p w14:paraId="3B0D689E" w14:textId="77777777" w:rsidR="00A90A92" w:rsidRPr="008D3C26" w:rsidRDefault="00FE01CF" w:rsidP="00A90A92">
      <w:pPr>
        <w:rPr>
          <w:rFonts w:ascii="Times New Roman" w:hAnsi="Times New Roman" w:cs="Times New Roman"/>
          <w:sz w:val="24"/>
          <w:szCs w:val="24"/>
        </w:rPr>
      </w:pPr>
      <w:r w:rsidRPr="008D3C26">
        <w:rPr>
          <w:rFonts w:ascii="Times New Roman" w:hAnsi="Times New Roman" w:cs="Times New Roman"/>
          <w:sz w:val="24"/>
          <w:szCs w:val="24"/>
        </w:rPr>
        <w:t xml:space="preserve">The Council noted that in </w:t>
      </w:r>
      <w:r w:rsidR="00A90A92" w:rsidRPr="008D3C26">
        <w:rPr>
          <w:rFonts w:ascii="Times New Roman" w:hAnsi="Times New Roman" w:cs="Times New Roman"/>
          <w:sz w:val="24"/>
          <w:szCs w:val="24"/>
        </w:rPr>
        <w:t>2015, the</w:t>
      </w:r>
      <w:r w:rsidRPr="008D3C26">
        <w:rPr>
          <w:rFonts w:ascii="Times New Roman" w:hAnsi="Times New Roman" w:cs="Times New Roman"/>
          <w:sz w:val="24"/>
          <w:szCs w:val="24"/>
        </w:rPr>
        <w:t xml:space="preserve"> TVETCGC </w:t>
      </w:r>
      <w:r w:rsidR="00A90A92" w:rsidRPr="008D3C26">
        <w:rPr>
          <w:rFonts w:ascii="Times New Roman" w:hAnsi="Times New Roman" w:cs="Times New Roman"/>
          <w:sz w:val="24"/>
          <w:szCs w:val="24"/>
        </w:rPr>
        <w:t>annual general meeting (AGM) resolved to pay attention and support colleges in dealing with issues of audit outcomes result</w:t>
      </w:r>
      <w:r w:rsidRPr="008D3C26">
        <w:rPr>
          <w:rFonts w:ascii="Times New Roman" w:hAnsi="Times New Roman" w:cs="Times New Roman"/>
          <w:sz w:val="24"/>
          <w:szCs w:val="24"/>
        </w:rPr>
        <w:t>ing from</w:t>
      </w:r>
      <w:r w:rsidR="00A90A92" w:rsidRPr="008D3C26">
        <w:rPr>
          <w:rFonts w:ascii="Times New Roman" w:hAnsi="Times New Roman" w:cs="Times New Roman"/>
          <w:sz w:val="24"/>
          <w:szCs w:val="24"/>
        </w:rPr>
        <w:t xml:space="preserve"> poor audit outcomes from prior years. </w:t>
      </w:r>
      <w:r w:rsidRPr="008D3C26">
        <w:rPr>
          <w:rFonts w:ascii="Times New Roman" w:hAnsi="Times New Roman" w:cs="Times New Roman"/>
          <w:sz w:val="24"/>
          <w:szCs w:val="24"/>
        </w:rPr>
        <w:t xml:space="preserve">Of concern was to note that the </w:t>
      </w:r>
      <w:r w:rsidR="00A90A92" w:rsidRPr="008D3C26">
        <w:rPr>
          <w:rFonts w:ascii="Times New Roman" w:hAnsi="Times New Roman" w:cs="Times New Roman"/>
          <w:sz w:val="24"/>
          <w:szCs w:val="24"/>
        </w:rPr>
        <w:t>poor audits existed even though colleges were supported by the South African Institute of Chartered Accountants (SAICA) Chief Financial Officer (CFO) project. The TVETCGC engaged the AGSA to establish the in-depth and causes of poor audit outcomes at colleges, and the meeting resolved that the AGSA would support the TVETCGC in raising awareness through national and provincial workshops regarding audit outcomes.</w:t>
      </w:r>
    </w:p>
    <w:p w14:paraId="0C7359E1" w14:textId="77777777" w:rsidR="00A90A92" w:rsidRPr="008D3C26" w:rsidRDefault="00A90A92" w:rsidP="00A90A92">
      <w:pPr>
        <w:rPr>
          <w:rFonts w:ascii="Times New Roman" w:hAnsi="Times New Roman" w:cs="Times New Roman"/>
          <w:sz w:val="24"/>
          <w:szCs w:val="24"/>
        </w:rPr>
      </w:pPr>
      <w:r w:rsidRPr="008D3C26">
        <w:rPr>
          <w:rFonts w:ascii="Times New Roman" w:hAnsi="Times New Roman" w:cs="Times New Roman"/>
          <w:sz w:val="24"/>
          <w:szCs w:val="24"/>
        </w:rPr>
        <w:t xml:space="preserve">The purpose of the workshops with the AGSA </w:t>
      </w:r>
      <w:r w:rsidR="00FE01CF" w:rsidRPr="008D3C26">
        <w:rPr>
          <w:rFonts w:ascii="Times New Roman" w:hAnsi="Times New Roman" w:cs="Times New Roman"/>
          <w:sz w:val="24"/>
          <w:szCs w:val="24"/>
        </w:rPr>
        <w:t>was</w:t>
      </w:r>
      <w:r w:rsidRPr="008D3C26">
        <w:rPr>
          <w:rFonts w:ascii="Times New Roman" w:hAnsi="Times New Roman" w:cs="Times New Roman"/>
          <w:sz w:val="24"/>
          <w:szCs w:val="24"/>
        </w:rPr>
        <w:t xml:space="preserve"> mainly to: present common trends and challenges of colleges; present best practices for colleges to learn from each other; assist TVETCGC to produce a consolidated audit action plans and strategies to improve colleges audit outcomes; evaluate the support of SAICA to colleges and create awareness to councils on their oversight responsibility on the implementation of audit action plans.</w:t>
      </w:r>
    </w:p>
    <w:p w14:paraId="404BD678" w14:textId="77777777" w:rsidR="00A90A92" w:rsidRPr="008D3C26" w:rsidRDefault="00A90A92" w:rsidP="00A90A92">
      <w:pPr>
        <w:rPr>
          <w:rFonts w:ascii="Times New Roman" w:hAnsi="Times New Roman" w:cs="Times New Roman"/>
          <w:sz w:val="24"/>
          <w:szCs w:val="24"/>
        </w:rPr>
      </w:pPr>
      <w:r w:rsidRPr="008D3C26">
        <w:rPr>
          <w:rFonts w:ascii="Times New Roman" w:hAnsi="Times New Roman" w:cs="Times New Roman"/>
          <w:sz w:val="24"/>
          <w:szCs w:val="24"/>
        </w:rPr>
        <w:t>With regard to the TVETCGC’s engagements with the AGSA, the C</w:t>
      </w:r>
      <w:r w:rsidR="00FE01CF" w:rsidRPr="008D3C26">
        <w:rPr>
          <w:rFonts w:ascii="Times New Roman" w:hAnsi="Times New Roman" w:cs="Times New Roman"/>
          <w:sz w:val="24"/>
          <w:szCs w:val="24"/>
        </w:rPr>
        <w:t>ouncil</w:t>
      </w:r>
      <w:r w:rsidRPr="008D3C26">
        <w:rPr>
          <w:rFonts w:ascii="Times New Roman" w:hAnsi="Times New Roman" w:cs="Times New Roman"/>
          <w:sz w:val="24"/>
          <w:szCs w:val="24"/>
        </w:rPr>
        <w:t xml:space="preserve"> undertook to: continue to convene the AGSA workshops with stakeholders including the Institute of Internal Auditors (IIA) to be held annually </w:t>
      </w:r>
      <w:r w:rsidR="00FE01CF" w:rsidRPr="008D3C26">
        <w:rPr>
          <w:rFonts w:ascii="Times New Roman" w:hAnsi="Times New Roman" w:cs="Times New Roman"/>
          <w:sz w:val="24"/>
          <w:szCs w:val="24"/>
        </w:rPr>
        <w:t xml:space="preserve">at </w:t>
      </w:r>
      <w:r w:rsidRPr="008D3C26">
        <w:rPr>
          <w:rFonts w:ascii="Times New Roman" w:hAnsi="Times New Roman" w:cs="Times New Roman"/>
          <w:sz w:val="24"/>
          <w:szCs w:val="24"/>
        </w:rPr>
        <w:t>national and provincial</w:t>
      </w:r>
      <w:r w:rsidR="00FE01CF" w:rsidRPr="008D3C26">
        <w:rPr>
          <w:rFonts w:ascii="Times New Roman" w:hAnsi="Times New Roman" w:cs="Times New Roman"/>
          <w:sz w:val="24"/>
          <w:szCs w:val="24"/>
        </w:rPr>
        <w:t xml:space="preserve"> level</w:t>
      </w:r>
      <w:r w:rsidRPr="008D3C26">
        <w:rPr>
          <w:rFonts w:ascii="Times New Roman" w:hAnsi="Times New Roman" w:cs="Times New Roman"/>
          <w:sz w:val="24"/>
          <w:szCs w:val="24"/>
        </w:rPr>
        <w:t xml:space="preserve">; </w:t>
      </w:r>
      <w:r w:rsidR="00FE01CF" w:rsidRPr="008D3C26">
        <w:rPr>
          <w:rFonts w:ascii="Times New Roman" w:hAnsi="Times New Roman" w:cs="Times New Roman"/>
          <w:sz w:val="24"/>
          <w:szCs w:val="24"/>
        </w:rPr>
        <w:t xml:space="preserve">to </w:t>
      </w:r>
      <w:r w:rsidRPr="008D3C26">
        <w:rPr>
          <w:rFonts w:ascii="Times New Roman" w:hAnsi="Times New Roman" w:cs="Times New Roman"/>
          <w:sz w:val="24"/>
          <w:szCs w:val="24"/>
        </w:rPr>
        <w:t xml:space="preserve">conduct monitoring and evaluation of colleges audit action plans implementation quarterly; </w:t>
      </w:r>
      <w:r w:rsidR="00FE01CF" w:rsidRPr="008D3C26">
        <w:rPr>
          <w:rFonts w:ascii="Times New Roman" w:hAnsi="Times New Roman" w:cs="Times New Roman"/>
          <w:sz w:val="24"/>
          <w:szCs w:val="24"/>
        </w:rPr>
        <w:t xml:space="preserve">to </w:t>
      </w:r>
      <w:r w:rsidRPr="008D3C26">
        <w:rPr>
          <w:rFonts w:ascii="Times New Roman" w:hAnsi="Times New Roman" w:cs="Times New Roman"/>
          <w:sz w:val="24"/>
          <w:szCs w:val="24"/>
        </w:rPr>
        <w:t>request AGSA to conduct interim audits and convene meetings with SAICA and Internal Audits to evaluate the progress on the implementation of the audit action plans.</w:t>
      </w:r>
    </w:p>
    <w:p w14:paraId="386F893E" w14:textId="77777777" w:rsidR="00A90A92" w:rsidRPr="008D3C26" w:rsidRDefault="00A90A92" w:rsidP="001129A1">
      <w:pPr>
        <w:rPr>
          <w:rFonts w:ascii="Times New Roman" w:hAnsi="Times New Roman" w:cs="Times New Roman"/>
          <w:sz w:val="24"/>
          <w:szCs w:val="24"/>
        </w:rPr>
      </w:pPr>
      <w:r w:rsidRPr="008D3C26">
        <w:rPr>
          <w:rFonts w:ascii="Times New Roman" w:hAnsi="Times New Roman" w:cs="Times New Roman"/>
          <w:sz w:val="24"/>
          <w:szCs w:val="24"/>
        </w:rPr>
        <w:t xml:space="preserve">The challenges of the TVETCGC in monitoring and evaluation of colleges included: inadequate human resource capacity to carry out the mandate of TVETCGC; insufficient financial resources to properly execute effective monitoring of the audit action plans; lack of recognition of the TVETCGC as a statutory body resulting in limitation of authority and resources; TVET colleges underfunding and DHET’s failure to provide financial support for the implementation of monitoring </w:t>
      </w:r>
      <w:r w:rsidR="005E056F" w:rsidRPr="008D3C26">
        <w:rPr>
          <w:rFonts w:ascii="Times New Roman" w:hAnsi="Times New Roman" w:cs="Times New Roman"/>
          <w:sz w:val="24"/>
          <w:szCs w:val="24"/>
        </w:rPr>
        <w:t xml:space="preserve">and evaluation by the TVETCGC. </w:t>
      </w:r>
    </w:p>
    <w:p w14:paraId="29F0EC96" w14:textId="77777777" w:rsidR="001129A1" w:rsidRPr="008D3C26" w:rsidRDefault="00035EAC" w:rsidP="001129A1">
      <w:pPr>
        <w:rPr>
          <w:rFonts w:ascii="Times New Roman" w:hAnsi="Times New Roman" w:cs="Times New Roman"/>
          <w:b/>
          <w:sz w:val="24"/>
          <w:szCs w:val="24"/>
        </w:rPr>
      </w:pPr>
      <w:r w:rsidRPr="008D3C26">
        <w:rPr>
          <w:rFonts w:ascii="Times New Roman" w:hAnsi="Times New Roman" w:cs="Times New Roman"/>
          <w:b/>
          <w:sz w:val="24"/>
          <w:szCs w:val="24"/>
        </w:rPr>
        <w:t>5.</w:t>
      </w:r>
      <w:r w:rsidR="00112D64" w:rsidRPr="008D3C26">
        <w:rPr>
          <w:rFonts w:ascii="Times New Roman" w:hAnsi="Times New Roman" w:cs="Times New Roman"/>
          <w:b/>
          <w:sz w:val="24"/>
          <w:szCs w:val="24"/>
        </w:rPr>
        <w:t>3</w:t>
      </w:r>
      <w:r w:rsidRPr="008D3C26">
        <w:rPr>
          <w:rFonts w:ascii="Times New Roman" w:hAnsi="Times New Roman" w:cs="Times New Roman"/>
          <w:b/>
          <w:sz w:val="24"/>
          <w:szCs w:val="24"/>
        </w:rPr>
        <w:t xml:space="preserve">.3. </w:t>
      </w:r>
      <w:r w:rsidR="001129A1" w:rsidRPr="008D3C26">
        <w:rPr>
          <w:rFonts w:ascii="Times New Roman" w:hAnsi="Times New Roman" w:cs="Times New Roman"/>
          <w:b/>
          <w:sz w:val="24"/>
          <w:szCs w:val="24"/>
        </w:rPr>
        <w:t>Parliamentary Budget Office</w:t>
      </w:r>
      <w:r w:rsidR="00AA3D09" w:rsidRPr="008D3C26">
        <w:rPr>
          <w:rFonts w:ascii="Times New Roman" w:hAnsi="Times New Roman" w:cs="Times New Roman"/>
          <w:b/>
          <w:sz w:val="24"/>
          <w:szCs w:val="24"/>
        </w:rPr>
        <w:t xml:space="preserve"> (PBO)</w:t>
      </w:r>
    </w:p>
    <w:p w14:paraId="1AB100E6" w14:textId="77777777" w:rsidR="007C3C33" w:rsidRPr="008D3C26" w:rsidRDefault="00AA3D09" w:rsidP="001129A1">
      <w:pPr>
        <w:rPr>
          <w:rFonts w:ascii="Times New Roman" w:hAnsi="Times New Roman" w:cs="Times New Roman"/>
          <w:sz w:val="24"/>
          <w:szCs w:val="24"/>
        </w:rPr>
      </w:pPr>
      <w:r w:rsidRPr="008D3C26">
        <w:rPr>
          <w:rFonts w:ascii="Times New Roman" w:hAnsi="Times New Roman" w:cs="Times New Roman"/>
          <w:sz w:val="24"/>
          <w:szCs w:val="24"/>
        </w:rPr>
        <w:t xml:space="preserve">The Committee had engaged with the PBO during the Vote 15 budget review process in May 2017 to understand the funding challenges of the Department of Higher Education and Training, TVET and CET sectors in particular. The Committee also undertook to further engage with the PBO on the matter. The PBO has noted that the target set for the TVET and CET sectors in the White Paper for Post-School Education and Training (PSET) are not commensurate with the level of funding allocated in the MTEF. The PBO noted TVET and CET Colleges were grossly underfunded. However, cautioned that there were serious problems within the TVET sector, which could not be solved by the increasing of funds. The Office further noted that there is a </w:t>
      </w:r>
      <w:r w:rsidR="00242E35" w:rsidRPr="008D3C26">
        <w:rPr>
          <w:rFonts w:ascii="Times New Roman" w:hAnsi="Times New Roman" w:cs="Times New Roman"/>
          <w:sz w:val="24"/>
          <w:szCs w:val="24"/>
        </w:rPr>
        <w:t xml:space="preserve">challenge relating to the </w:t>
      </w:r>
      <w:r w:rsidRPr="008D3C26">
        <w:rPr>
          <w:rFonts w:ascii="Times New Roman" w:hAnsi="Times New Roman" w:cs="Times New Roman"/>
          <w:sz w:val="24"/>
          <w:szCs w:val="24"/>
        </w:rPr>
        <w:t xml:space="preserve"> schooling </w:t>
      </w:r>
      <w:r w:rsidR="00242E35" w:rsidRPr="008D3C26">
        <w:rPr>
          <w:rFonts w:ascii="Times New Roman" w:hAnsi="Times New Roman" w:cs="Times New Roman"/>
          <w:sz w:val="24"/>
          <w:szCs w:val="24"/>
        </w:rPr>
        <w:t xml:space="preserve">system </w:t>
      </w:r>
      <w:r w:rsidRPr="008D3C26">
        <w:rPr>
          <w:rFonts w:ascii="Times New Roman" w:hAnsi="Times New Roman" w:cs="Times New Roman"/>
          <w:sz w:val="24"/>
          <w:szCs w:val="24"/>
        </w:rPr>
        <w:t xml:space="preserve">and the level of preparedness of students when they arrive at the PSET institutions and the related highly inadequate levels of resources, including funding for bridging programmes. </w:t>
      </w:r>
    </w:p>
    <w:p w14:paraId="137C3932" w14:textId="77777777" w:rsidR="000D216E" w:rsidRPr="008D3C26" w:rsidRDefault="00917B76" w:rsidP="000D216E">
      <w:pPr>
        <w:rPr>
          <w:rFonts w:ascii="Times New Roman" w:hAnsi="Times New Roman" w:cs="Times New Roman"/>
          <w:sz w:val="24"/>
          <w:szCs w:val="24"/>
        </w:rPr>
      </w:pPr>
      <w:r w:rsidRPr="008D3C26">
        <w:rPr>
          <w:rFonts w:ascii="Times New Roman" w:hAnsi="Times New Roman" w:cs="Times New Roman"/>
          <w:sz w:val="24"/>
          <w:szCs w:val="24"/>
        </w:rPr>
        <w:t>The PBO noted a need to improve current management and financial systems within the TVET sector</w:t>
      </w:r>
      <w:r w:rsidR="000D216E" w:rsidRPr="008D3C26">
        <w:rPr>
          <w:rFonts w:ascii="Times New Roman" w:hAnsi="Times New Roman" w:cs="Times New Roman"/>
          <w:sz w:val="24"/>
          <w:szCs w:val="24"/>
        </w:rPr>
        <w:t>. Funding to ensure adequate management, staffing and teaching is required for the system to improve as a whole. In assessing the financial situation of the Department for 2017/18 financial year, the PBO total government funding allocated for higher education amounted to R68.9 billion in 2017/18. The Department of Higher Education received R52.3 billion or 75.9 per cent of which R41.9 billion or 60.8 per cent was allocated towards university and R7.4 billion or 10.7 per cent towards Technical and Vocational Education and Training (TVET). The Sector Education and Training Authorities received R13.3 billion or 19.3 per cent and the NSF received R3.3 billion or 4.8 per cent of the total expenditure estimates.</w:t>
      </w:r>
    </w:p>
    <w:p w14:paraId="1FAAEB23" w14:textId="77777777" w:rsidR="005A5FFA" w:rsidRPr="008D3C26" w:rsidRDefault="00684561" w:rsidP="005A5FFA">
      <w:pPr>
        <w:rPr>
          <w:rFonts w:ascii="Times New Roman" w:hAnsi="Times New Roman" w:cs="Times New Roman"/>
          <w:sz w:val="24"/>
          <w:szCs w:val="24"/>
        </w:rPr>
      </w:pPr>
      <w:r w:rsidRPr="008D3C26">
        <w:rPr>
          <w:rFonts w:ascii="Times New Roman" w:hAnsi="Times New Roman" w:cs="Times New Roman"/>
          <w:sz w:val="24"/>
          <w:szCs w:val="24"/>
        </w:rPr>
        <w:t>The PBO has further noted through analysis of expenditure per programme, growth in expenditure for Administration</w:t>
      </w:r>
      <w:r w:rsidR="002E121E" w:rsidRPr="008D3C26">
        <w:rPr>
          <w:rFonts w:ascii="Times New Roman" w:hAnsi="Times New Roman" w:cs="Times New Roman"/>
          <w:sz w:val="24"/>
          <w:szCs w:val="24"/>
        </w:rPr>
        <w:t xml:space="preserve"> from 0.5 per cent over the 2013 MTEF to 0.6 per cent over the 2016 MTEF</w:t>
      </w:r>
      <w:r w:rsidR="005A5FFA" w:rsidRPr="008D3C26">
        <w:rPr>
          <w:rFonts w:ascii="Times New Roman" w:hAnsi="Times New Roman" w:cs="Times New Roman"/>
          <w:sz w:val="24"/>
          <w:szCs w:val="24"/>
        </w:rPr>
        <w:t>. Similarly</w:t>
      </w:r>
      <w:r w:rsidR="00E91C02" w:rsidRPr="008D3C26">
        <w:rPr>
          <w:rFonts w:ascii="Times New Roman" w:hAnsi="Times New Roman" w:cs="Times New Roman"/>
          <w:sz w:val="24"/>
          <w:szCs w:val="24"/>
        </w:rPr>
        <w:t>,</w:t>
      </w:r>
      <w:r w:rsidR="005A5FFA" w:rsidRPr="008D3C26">
        <w:rPr>
          <w:rFonts w:ascii="Times New Roman" w:hAnsi="Times New Roman" w:cs="Times New Roman"/>
          <w:sz w:val="24"/>
          <w:szCs w:val="24"/>
        </w:rPr>
        <w:t xml:space="preserve"> spending for </w:t>
      </w:r>
      <w:r w:rsidR="00E91C02" w:rsidRPr="008D3C26">
        <w:rPr>
          <w:rFonts w:ascii="Times New Roman" w:hAnsi="Times New Roman" w:cs="Times New Roman"/>
          <w:sz w:val="24"/>
          <w:szCs w:val="24"/>
        </w:rPr>
        <w:t xml:space="preserve">the </w:t>
      </w:r>
      <w:r w:rsidR="005A5FFA" w:rsidRPr="008D3C26">
        <w:rPr>
          <w:rFonts w:ascii="Times New Roman" w:hAnsi="Times New Roman" w:cs="Times New Roman"/>
          <w:sz w:val="24"/>
          <w:szCs w:val="24"/>
        </w:rPr>
        <w:t xml:space="preserve">University Education programme was expected to grow from 58.8 per cent over the 2013 MTEF to 61.9 per cent over the 2016 MTEF. The proportion of total expenditure on programme 4: Technical and Vocational Education and Training decrease from 11.5 per cent over the 2013 MTEF to an estimated 10.5 per cent over the 2016 MTEF. The proportion of total expenditure spent on Community Education and Training (CET) was estimated to decrease from 3.4 per cent over the 2013 MTEF to 3.1 per cent over the 2016 MTEF. Programmes 2 and 5 remains at 0.1 and 0.3 per cent respectively. Although the proportion of total expenditure on Programme 5: Skills Development remains at 0.3 per cent over the 2016 medium term, funds have been reprioritised to this programme. Spending was projected to increase from R181.4 million in 2016/17 to R284.3 million in 2019/20, at an average annual growth rate of 16.2 per cent. Programme 5 is mainly responsible for SETA coordination, improving, monitoring and evaluating artisan development. </w:t>
      </w:r>
      <w:r w:rsidR="00EC1D4E" w:rsidRPr="008D3C26">
        <w:rPr>
          <w:rFonts w:ascii="Times New Roman" w:hAnsi="Times New Roman" w:cs="Times New Roman"/>
          <w:sz w:val="24"/>
          <w:szCs w:val="24"/>
        </w:rPr>
        <w:t xml:space="preserve">The PBO noted </w:t>
      </w:r>
      <w:r w:rsidR="00E91C02" w:rsidRPr="008D3C26">
        <w:rPr>
          <w:rFonts w:ascii="Times New Roman" w:hAnsi="Times New Roman" w:cs="Times New Roman"/>
          <w:sz w:val="24"/>
          <w:szCs w:val="24"/>
        </w:rPr>
        <w:t xml:space="preserve">that </w:t>
      </w:r>
      <w:r w:rsidR="00EC1D4E" w:rsidRPr="008D3C26">
        <w:rPr>
          <w:rFonts w:ascii="Times New Roman" w:hAnsi="Times New Roman" w:cs="Times New Roman"/>
          <w:sz w:val="24"/>
          <w:szCs w:val="24"/>
        </w:rPr>
        <w:t>t</w:t>
      </w:r>
      <w:r w:rsidR="005A5FFA" w:rsidRPr="008D3C26">
        <w:rPr>
          <w:rFonts w:ascii="Times New Roman" w:hAnsi="Times New Roman" w:cs="Times New Roman"/>
          <w:sz w:val="24"/>
          <w:szCs w:val="24"/>
        </w:rPr>
        <w:t>hese functions are closely linked to the functions of programme 4 for technical and vocational education and training.</w:t>
      </w:r>
    </w:p>
    <w:p w14:paraId="7B0B6B7D" w14:textId="77777777" w:rsidR="005A5FFA" w:rsidRPr="008D3C26" w:rsidRDefault="00A76571" w:rsidP="001129A1">
      <w:pPr>
        <w:rPr>
          <w:rFonts w:ascii="Times New Roman" w:hAnsi="Times New Roman" w:cs="Times New Roman"/>
          <w:sz w:val="24"/>
          <w:szCs w:val="24"/>
        </w:rPr>
      </w:pPr>
      <w:r w:rsidRPr="008D3C26">
        <w:rPr>
          <w:rFonts w:ascii="Times New Roman" w:hAnsi="Times New Roman" w:cs="Times New Roman"/>
          <w:sz w:val="24"/>
          <w:szCs w:val="24"/>
        </w:rPr>
        <w:t xml:space="preserve">The PBO noted the planned growth in expenditure on the following goods and services line items, mainly in external audit costs, business and advisory consulting costs, legal services, operating leases, property payments, travel and subsistence and training and development. The PBO recommends consideration for further cost-containment or efficiency measures in these line items. The PBO has indicated that other functions </w:t>
      </w:r>
      <w:r w:rsidR="004207D0" w:rsidRPr="008D3C26">
        <w:rPr>
          <w:rFonts w:ascii="Times New Roman" w:hAnsi="Times New Roman" w:cs="Times New Roman"/>
          <w:sz w:val="24"/>
          <w:szCs w:val="24"/>
        </w:rPr>
        <w:t>such as monitoring and evaluation and financial systems are funded within individual programmes, whilst the coordination of monitoring and evaluation is done by programme 2: Planning, Policy and Strategy. A consideration to look into consolidating these functions under programme 2 should be explored.</w:t>
      </w:r>
    </w:p>
    <w:p w14:paraId="00278915" w14:textId="77777777" w:rsidR="000D7F30" w:rsidRPr="008D3C26" w:rsidRDefault="003F501D" w:rsidP="00035EAC">
      <w:pPr>
        <w:rPr>
          <w:rFonts w:ascii="Times New Roman" w:hAnsi="Times New Roman" w:cs="Times New Roman"/>
          <w:b/>
          <w:sz w:val="24"/>
          <w:szCs w:val="24"/>
        </w:rPr>
      </w:pPr>
      <w:r w:rsidRPr="008D3C26">
        <w:rPr>
          <w:rFonts w:ascii="Times New Roman" w:hAnsi="Times New Roman" w:cs="Times New Roman"/>
          <w:b/>
          <w:sz w:val="24"/>
          <w:szCs w:val="24"/>
        </w:rPr>
        <w:t>5.</w:t>
      </w:r>
      <w:r w:rsidR="009319A3" w:rsidRPr="008D3C26">
        <w:rPr>
          <w:rFonts w:ascii="Times New Roman" w:hAnsi="Times New Roman" w:cs="Times New Roman"/>
          <w:b/>
          <w:sz w:val="24"/>
          <w:szCs w:val="24"/>
        </w:rPr>
        <w:t>3.</w:t>
      </w:r>
      <w:r w:rsidR="00035EAC" w:rsidRPr="008D3C26">
        <w:rPr>
          <w:rFonts w:ascii="Times New Roman" w:hAnsi="Times New Roman" w:cs="Times New Roman"/>
          <w:b/>
          <w:sz w:val="24"/>
          <w:szCs w:val="24"/>
        </w:rPr>
        <w:t>4. Technical and Vocational Education and Training underfunding</w:t>
      </w:r>
    </w:p>
    <w:p w14:paraId="07C2A90C" w14:textId="77777777" w:rsidR="00DF404C" w:rsidRPr="008D3C26" w:rsidRDefault="00DF404C" w:rsidP="00DF404C">
      <w:pPr>
        <w:rPr>
          <w:rFonts w:ascii="Times New Roman" w:hAnsi="Times New Roman" w:cs="Times New Roman"/>
          <w:sz w:val="24"/>
          <w:szCs w:val="24"/>
        </w:rPr>
      </w:pPr>
      <w:r w:rsidRPr="008D3C26">
        <w:rPr>
          <w:rFonts w:ascii="Times New Roman" w:hAnsi="Times New Roman" w:cs="Times New Roman"/>
          <w:sz w:val="24"/>
          <w:szCs w:val="24"/>
        </w:rPr>
        <w:t xml:space="preserve">Government has reiterated in its policies and commitments the importance and the intrinsic value of higher education and training towards the socio-economic transformation of South Africans and the economy. These policy positions have been translated for implementation into government policies in the form of the White Paper on Post- School Education and Training, the National Development Plan 2030 and Outcomes 4 of the Medium Term Strategic Framework. These government policies are meant to be driven and implemented by the Department of Higher Education and Training through the budget allocated to it. </w:t>
      </w:r>
    </w:p>
    <w:p w14:paraId="51DBF099" w14:textId="77777777" w:rsidR="00DF404C" w:rsidRPr="008D3C26" w:rsidRDefault="00DF404C" w:rsidP="00DF404C">
      <w:pPr>
        <w:rPr>
          <w:rFonts w:ascii="Times New Roman" w:hAnsi="Times New Roman" w:cs="Times New Roman"/>
          <w:sz w:val="24"/>
          <w:szCs w:val="24"/>
        </w:rPr>
      </w:pPr>
      <w:r w:rsidRPr="008D3C26">
        <w:rPr>
          <w:rFonts w:ascii="Times New Roman" w:hAnsi="Times New Roman" w:cs="Times New Roman"/>
          <w:sz w:val="24"/>
          <w:szCs w:val="24"/>
        </w:rPr>
        <w:t xml:space="preserve">One of the programmes which the budget has affected implementation of policy positions is in fulfilling the White Paper vision of prioritising Technical Vocational Education and Training (TVET) colleges being institutions of choice and progressively ensuring that TVETs are the prioritised sector in the PSET. However, through engagements with the Department and through oversight there is an observation that policy targets aren’t met due to the budget being insufficient to carry out these policies. </w:t>
      </w:r>
    </w:p>
    <w:p w14:paraId="7DAA117C" w14:textId="77777777" w:rsidR="00DF404C" w:rsidRPr="008D3C26" w:rsidRDefault="00DF404C" w:rsidP="00DF404C">
      <w:pPr>
        <w:rPr>
          <w:rFonts w:ascii="Times New Roman" w:hAnsi="Times New Roman" w:cs="Times New Roman"/>
          <w:sz w:val="24"/>
          <w:szCs w:val="24"/>
        </w:rPr>
      </w:pPr>
      <w:r w:rsidRPr="008D3C26">
        <w:rPr>
          <w:rFonts w:ascii="Times New Roman" w:hAnsi="Times New Roman" w:cs="Times New Roman"/>
          <w:sz w:val="24"/>
          <w:szCs w:val="24"/>
        </w:rPr>
        <w:t xml:space="preserve">The table below demonstrates the impact of a shortage in funding in implementing policies over the last three Medium Term Expenditure Framework (MTEF). </w:t>
      </w:r>
    </w:p>
    <w:p w14:paraId="006DB2E5" w14:textId="77777777" w:rsidR="00DF404C" w:rsidRPr="008D3C26" w:rsidRDefault="00DF404C" w:rsidP="00DF404C">
      <w:pPr>
        <w:rPr>
          <w:rFonts w:ascii="Times New Roman" w:hAnsi="Times New Roman" w:cs="Times New Roman"/>
          <w:sz w:val="24"/>
          <w:szCs w:val="24"/>
        </w:rPr>
      </w:pPr>
      <w:r w:rsidRPr="008D3C26">
        <w:rPr>
          <w:rFonts w:ascii="Times New Roman" w:hAnsi="Times New Roman" w:cs="Times New Roman"/>
          <w:sz w:val="24"/>
          <w:szCs w:val="24"/>
        </w:rPr>
        <w:t>Oversight work has demonstrated that the manner in which the sector is currently funded (and how the funding has been used) has led to some of these commitments not being met. The argument has been that the sector is expanding without the requisite funding to finance this expansion and therefore implementation of commitments and resolutions of the ANC are being compromised. This is partly attributed to the White Paper has not been costed and that 2015 cabinet decision to reprioritise from within the Department’s budget (from the TVET sector and the National Skills Fund to University Education).</w:t>
      </w:r>
    </w:p>
    <w:p w14:paraId="0B749D96" w14:textId="77777777" w:rsidR="00DF404C" w:rsidRPr="008D3C26" w:rsidRDefault="00DF404C" w:rsidP="00DF404C">
      <w:pPr>
        <w:rPr>
          <w:rFonts w:ascii="Times New Roman" w:hAnsi="Times New Roman" w:cs="Times New Roman"/>
          <w:sz w:val="24"/>
          <w:szCs w:val="24"/>
        </w:rPr>
      </w:pPr>
      <w:r w:rsidRPr="008D3C26">
        <w:rPr>
          <w:rFonts w:ascii="Times New Roman" w:hAnsi="Times New Roman" w:cs="Times New Roman"/>
          <w:b/>
          <w:sz w:val="24"/>
          <w:szCs w:val="24"/>
        </w:rPr>
        <w:t>Table 6: Technical and Vocational and Training (TVET) priorities</w:t>
      </w:r>
    </w:p>
    <w:tbl>
      <w:tblPr>
        <w:tblStyle w:val="TableGrid"/>
        <w:tblW w:w="0" w:type="auto"/>
        <w:tblLook w:val="04A0" w:firstRow="1" w:lastRow="0" w:firstColumn="1" w:lastColumn="0" w:noHBand="0" w:noVBand="1"/>
      </w:tblPr>
      <w:tblGrid>
        <w:gridCol w:w="3823"/>
        <w:gridCol w:w="1003"/>
        <w:gridCol w:w="1003"/>
        <w:gridCol w:w="3261"/>
      </w:tblGrid>
      <w:tr w:rsidR="00DF404C" w:rsidRPr="008D3C26" w14:paraId="0B112DB5" w14:textId="77777777" w:rsidTr="008D4FE0">
        <w:tc>
          <w:tcPr>
            <w:tcW w:w="3823" w:type="dxa"/>
            <w:shd w:val="clear" w:color="auto" w:fill="F2F2F2" w:themeFill="background1" w:themeFillShade="F2"/>
          </w:tcPr>
          <w:p w14:paraId="13CE4549" w14:textId="77777777" w:rsidR="00DF404C" w:rsidRPr="008D3C26" w:rsidRDefault="00DF404C" w:rsidP="00DF404C">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Policy commitments (NDP, White Paper on the PSET and the MTSF)</w:t>
            </w:r>
          </w:p>
        </w:tc>
        <w:tc>
          <w:tcPr>
            <w:tcW w:w="850" w:type="dxa"/>
            <w:shd w:val="clear" w:color="auto" w:fill="F2F2F2" w:themeFill="background1" w:themeFillShade="F2"/>
          </w:tcPr>
          <w:p w14:paraId="6B44AC90" w14:textId="77777777" w:rsidR="00DF404C" w:rsidRPr="008D3C26" w:rsidRDefault="00DF404C" w:rsidP="00DF404C">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2014/15</w:t>
            </w:r>
          </w:p>
        </w:tc>
        <w:tc>
          <w:tcPr>
            <w:tcW w:w="992" w:type="dxa"/>
            <w:shd w:val="clear" w:color="auto" w:fill="F2F2F2" w:themeFill="background1" w:themeFillShade="F2"/>
          </w:tcPr>
          <w:p w14:paraId="449D0ADC" w14:textId="77777777" w:rsidR="00DF404C" w:rsidRPr="008D3C26" w:rsidRDefault="00DF404C" w:rsidP="00DF404C">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2015/16</w:t>
            </w:r>
          </w:p>
        </w:tc>
        <w:tc>
          <w:tcPr>
            <w:tcW w:w="3261" w:type="dxa"/>
            <w:shd w:val="clear" w:color="auto" w:fill="F2F2F2" w:themeFill="background1" w:themeFillShade="F2"/>
          </w:tcPr>
          <w:p w14:paraId="57B6636D" w14:textId="77777777" w:rsidR="00DF404C" w:rsidRPr="008D3C26" w:rsidRDefault="00DF404C" w:rsidP="00DF404C">
            <w:pPr>
              <w:spacing w:line="360" w:lineRule="auto"/>
              <w:rPr>
                <w:rFonts w:ascii="Times New Roman" w:hAnsi="Times New Roman" w:cs="Times New Roman"/>
                <w:b/>
                <w:sz w:val="24"/>
                <w:szCs w:val="24"/>
              </w:rPr>
            </w:pPr>
            <w:r w:rsidRPr="008D3C26">
              <w:rPr>
                <w:rFonts w:ascii="Times New Roman" w:hAnsi="Times New Roman" w:cs="Times New Roman"/>
                <w:b/>
                <w:sz w:val="24"/>
                <w:szCs w:val="24"/>
              </w:rPr>
              <w:t>2016/17</w:t>
            </w:r>
          </w:p>
        </w:tc>
      </w:tr>
      <w:tr w:rsidR="00DF404C" w:rsidRPr="008D3C26" w14:paraId="04658341" w14:textId="77777777" w:rsidTr="008D4FE0">
        <w:tc>
          <w:tcPr>
            <w:tcW w:w="3823" w:type="dxa"/>
          </w:tcPr>
          <w:p w14:paraId="2D133BD1"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NDP: </w:t>
            </w:r>
          </w:p>
          <w:p w14:paraId="55EA8A34"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Produce 30 000 artisans per year</w:t>
            </w:r>
          </w:p>
          <w:p w14:paraId="21C4DF75"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MTSF: </w:t>
            </w:r>
          </w:p>
          <w:p w14:paraId="18BD5AEE"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The number of artisans produced every year will increase from 18 110 in 2013 to 24 000 by 2019</w:t>
            </w:r>
          </w:p>
        </w:tc>
        <w:tc>
          <w:tcPr>
            <w:tcW w:w="850" w:type="dxa"/>
          </w:tcPr>
          <w:p w14:paraId="3356249E"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14 389</w:t>
            </w:r>
          </w:p>
        </w:tc>
        <w:tc>
          <w:tcPr>
            <w:tcW w:w="992" w:type="dxa"/>
          </w:tcPr>
          <w:p w14:paraId="0AC7982B"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16 114</w:t>
            </w:r>
          </w:p>
        </w:tc>
        <w:tc>
          <w:tcPr>
            <w:tcW w:w="3261" w:type="dxa"/>
          </w:tcPr>
          <w:p w14:paraId="26256A23"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21 1</w:t>
            </w:r>
            <w:r w:rsidR="00242E35" w:rsidRPr="008D3C26">
              <w:rPr>
                <w:rFonts w:ascii="Times New Roman" w:hAnsi="Times New Roman" w:cs="Times New Roman"/>
                <w:sz w:val="24"/>
                <w:szCs w:val="24"/>
              </w:rPr>
              <w:t>88</w:t>
            </w:r>
          </w:p>
        </w:tc>
      </w:tr>
      <w:tr w:rsidR="00DF404C" w:rsidRPr="008D3C26" w14:paraId="160AF390" w14:textId="77777777" w:rsidTr="008D4FE0">
        <w:tc>
          <w:tcPr>
            <w:tcW w:w="3823" w:type="dxa"/>
          </w:tcPr>
          <w:p w14:paraId="4569137A"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NDP: </w:t>
            </w:r>
          </w:p>
          <w:p w14:paraId="6B1D185E"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Increase participation rates in Further Education and Training colleges to 25 percent.</w:t>
            </w:r>
          </w:p>
          <w:p w14:paraId="563CC150"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MTSF:</w:t>
            </w:r>
          </w:p>
          <w:p w14:paraId="73D0FAF1"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the number enrolled in TVET colleges will increase from 670 455 in 2013 to 1.238 million in 2018</w:t>
            </w:r>
          </w:p>
        </w:tc>
        <w:tc>
          <w:tcPr>
            <w:tcW w:w="850" w:type="dxa"/>
          </w:tcPr>
          <w:p w14:paraId="3337EA6F"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709 535</w:t>
            </w:r>
          </w:p>
        </w:tc>
        <w:tc>
          <w:tcPr>
            <w:tcW w:w="992" w:type="dxa"/>
          </w:tcPr>
          <w:p w14:paraId="032979F9"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710 535</w:t>
            </w:r>
          </w:p>
        </w:tc>
        <w:tc>
          <w:tcPr>
            <w:tcW w:w="3261" w:type="dxa"/>
          </w:tcPr>
          <w:p w14:paraId="6938EA2B"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741 542</w:t>
            </w:r>
          </w:p>
          <w:p w14:paraId="477C73FA"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Note: </w:t>
            </w:r>
          </w:p>
          <w:p w14:paraId="0C7A0E12"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Without an increase in the baseline funding for enrolments, the Department will not achieve the targets as set in the NDP and would have to adjust its enrolment targets downwards from 2017 onwards in order to maintain and improve the provision of quality teaching and learning in colleges utilising limited allocated funds. </w:t>
            </w:r>
          </w:p>
          <w:p w14:paraId="417A909F" w14:textId="77777777" w:rsidR="00DF404C" w:rsidRPr="008D3C26" w:rsidRDefault="00DF404C" w:rsidP="00A84BE0">
            <w:pPr>
              <w:spacing w:line="360" w:lineRule="auto"/>
              <w:jc w:val="left"/>
              <w:rPr>
                <w:rFonts w:ascii="Times New Roman" w:hAnsi="Times New Roman" w:cs="Times New Roman"/>
                <w:sz w:val="24"/>
                <w:szCs w:val="24"/>
              </w:rPr>
            </w:pPr>
          </w:p>
        </w:tc>
      </w:tr>
      <w:tr w:rsidR="00DF404C" w:rsidRPr="008D3C26" w14:paraId="01EF1530" w14:textId="77777777" w:rsidTr="008D4FE0">
        <w:tc>
          <w:tcPr>
            <w:tcW w:w="3823" w:type="dxa"/>
          </w:tcPr>
          <w:p w14:paraId="3D2E9FF3"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MTSF:</w:t>
            </w:r>
          </w:p>
          <w:p w14:paraId="40BAEF70"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To ensure more students have access to post- school education and training, there is a need to provide more places, such as new TVET College campuses and student accommodation.</w:t>
            </w:r>
          </w:p>
          <w:p w14:paraId="5E808470"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Target is to build 3 colleges by 2018</w:t>
            </w:r>
          </w:p>
        </w:tc>
        <w:tc>
          <w:tcPr>
            <w:tcW w:w="850" w:type="dxa"/>
          </w:tcPr>
          <w:p w14:paraId="036593FC"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w:t>
            </w:r>
          </w:p>
        </w:tc>
        <w:tc>
          <w:tcPr>
            <w:tcW w:w="992" w:type="dxa"/>
          </w:tcPr>
          <w:p w14:paraId="6AEACF1C"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w:t>
            </w:r>
          </w:p>
        </w:tc>
        <w:tc>
          <w:tcPr>
            <w:tcW w:w="3261" w:type="dxa"/>
          </w:tcPr>
          <w:p w14:paraId="4D185796" w14:textId="77777777" w:rsidR="00DF404C" w:rsidRPr="008D3C26" w:rsidRDefault="00DF404C" w:rsidP="00A84BE0">
            <w:pPr>
              <w:spacing w:line="360" w:lineRule="auto"/>
              <w:jc w:val="left"/>
              <w:rPr>
                <w:rFonts w:ascii="Times New Roman" w:hAnsi="Times New Roman" w:cs="Times New Roman"/>
                <w:bCs/>
                <w:sz w:val="24"/>
                <w:szCs w:val="24"/>
              </w:rPr>
            </w:pPr>
            <w:r w:rsidRPr="008D3C26">
              <w:rPr>
                <w:rFonts w:ascii="Times New Roman" w:hAnsi="Times New Roman" w:cs="Times New Roman"/>
                <w:sz w:val="24"/>
                <w:szCs w:val="24"/>
              </w:rPr>
              <w:t xml:space="preserve"> Three College campuses; </w:t>
            </w:r>
            <w:r w:rsidR="00755B5D" w:rsidRPr="008D3C26">
              <w:rPr>
                <w:rFonts w:ascii="Times New Roman" w:hAnsi="Times New Roman" w:cs="Times New Roman"/>
                <w:sz w:val="24"/>
                <w:szCs w:val="24"/>
              </w:rPr>
              <w:t xml:space="preserve">1 completed: </w:t>
            </w:r>
            <w:r w:rsidRPr="008D3C26">
              <w:rPr>
                <w:rFonts w:ascii="Times New Roman" w:hAnsi="Times New Roman" w:cs="Times New Roman"/>
                <w:sz w:val="24"/>
                <w:szCs w:val="24"/>
              </w:rPr>
              <w:t>Thabazimbi</w:t>
            </w:r>
            <w:r w:rsidR="00755B5D" w:rsidRPr="008D3C26">
              <w:rPr>
                <w:rFonts w:ascii="Times New Roman" w:hAnsi="Times New Roman" w:cs="Times New Roman"/>
                <w:sz w:val="24"/>
                <w:szCs w:val="24"/>
              </w:rPr>
              <w:t xml:space="preserve"> and two: </w:t>
            </w:r>
            <w:r w:rsidRPr="008D3C26">
              <w:rPr>
                <w:rFonts w:ascii="Times New Roman" w:hAnsi="Times New Roman" w:cs="Times New Roman"/>
                <w:sz w:val="24"/>
                <w:szCs w:val="24"/>
              </w:rPr>
              <w:t xml:space="preserve">Bambanani and Nkandla A both at uMfolozi TVET College in KwaZulu-Natal were under construction from 2015/16. In terms of the progress, </w:t>
            </w:r>
            <w:r w:rsidRPr="008D3C26">
              <w:rPr>
                <w:rFonts w:ascii="Times New Roman" w:hAnsi="Times New Roman" w:cs="Times New Roman"/>
                <w:bCs/>
                <w:sz w:val="24"/>
                <w:szCs w:val="24"/>
              </w:rPr>
              <w:t xml:space="preserve">construction at the two sites; Bhambanani and Nkandla A </w:t>
            </w:r>
            <w:r w:rsidR="00755B5D" w:rsidRPr="008D3C26">
              <w:rPr>
                <w:rFonts w:ascii="Times New Roman" w:hAnsi="Times New Roman" w:cs="Times New Roman"/>
                <w:bCs/>
                <w:sz w:val="24"/>
                <w:szCs w:val="24"/>
              </w:rPr>
              <w:t>was</w:t>
            </w:r>
            <w:r w:rsidRPr="008D3C26">
              <w:rPr>
                <w:rFonts w:ascii="Times New Roman" w:hAnsi="Times New Roman" w:cs="Times New Roman"/>
                <w:bCs/>
                <w:sz w:val="24"/>
                <w:szCs w:val="24"/>
              </w:rPr>
              <w:t xml:space="preserve"> behind schedule, anticipated completion </w:t>
            </w:r>
            <w:r w:rsidR="00755B5D" w:rsidRPr="008D3C26">
              <w:rPr>
                <w:rFonts w:ascii="Times New Roman" w:hAnsi="Times New Roman" w:cs="Times New Roman"/>
                <w:bCs/>
                <w:sz w:val="24"/>
                <w:szCs w:val="24"/>
              </w:rPr>
              <w:t>was</w:t>
            </w:r>
            <w:r w:rsidRPr="008D3C26">
              <w:rPr>
                <w:rFonts w:ascii="Times New Roman" w:hAnsi="Times New Roman" w:cs="Times New Roman"/>
                <w:bCs/>
                <w:sz w:val="24"/>
                <w:szCs w:val="24"/>
              </w:rPr>
              <w:t xml:space="preserve"> 31 July 2017 and 29 July 2017 respectively.</w:t>
            </w:r>
          </w:p>
          <w:p w14:paraId="39E4FD6B" w14:textId="77777777" w:rsidR="00DF404C" w:rsidRPr="008D3C26" w:rsidRDefault="00DF404C" w:rsidP="00A84BE0">
            <w:pPr>
              <w:spacing w:line="360" w:lineRule="auto"/>
              <w:jc w:val="left"/>
              <w:rPr>
                <w:rFonts w:ascii="Times New Roman" w:hAnsi="Times New Roman" w:cs="Times New Roman"/>
                <w:sz w:val="24"/>
                <w:szCs w:val="24"/>
              </w:rPr>
            </w:pPr>
          </w:p>
          <w:p w14:paraId="20DAC93D"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Note:</w:t>
            </w:r>
          </w:p>
          <w:p w14:paraId="0466FB10"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Number of additional beds for student accommodation in public TVET colleges: The target was 1000. </w:t>
            </w:r>
          </w:p>
          <w:p w14:paraId="7DBA3660" w14:textId="77777777" w:rsidR="00DF404C" w:rsidRPr="008D3C26" w:rsidRDefault="00DF404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Due to inadequate funding this was unachieved. There is no funding for the target. </w:t>
            </w:r>
          </w:p>
          <w:p w14:paraId="6BC50F76" w14:textId="77777777" w:rsidR="00DF404C" w:rsidRPr="008D3C26" w:rsidRDefault="00DF404C" w:rsidP="00A84BE0">
            <w:pPr>
              <w:spacing w:line="360" w:lineRule="auto"/>
              <w:jc w:val="left"/>
              <w:rPr>
                <w:rFonts w:ascii="Times New Roman" w:hAnsi="Times New Roman" w:cs="Times New Roman"/>
                <w:sz w:val="24"/>
                <w:szCs w:val="24"/>
              </w:rPr>
            </w:pPr>
          </w:p>
        </w:tc>
      </w:tr>
      <w:tr w:rsidR="00755B5D" w:rsidRPr="008D3C26" w14:paraId="7B7EC622" w14:textId="77777777" w:rsidTr="008D4FE0">
        <w:tc>
          <w:tcPr>
            <w:tcW w:w="3823" w:type="dxa"/>
          </w:tcPr>
          <w:p w14:paraId="4C0C7488"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MTSF:</w:t>
            </w:r>
          </w:p>
          <w:p w14:paraId="14DF51B0"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Increase the number of students enrolled in foundation programmes which provide enrichment for students who are not adequately prepare for post- school training. </w:t>
            </w:r>
          </w:p>
          <w:p w14:paraId="564D93F8"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The target is 5000.</w:t>
            </w:r>
          </w:p>
        </w:tc>
        <w:tc>
          <w:tcPr>
            <w:tcW w:w="850" w:type="dxa"/>
          </w:tcPr>
          <w:p w14:paraId="7932726C"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w:t>
            </w:r>
          </w:p>
        </w:tc>
        <w:tc>
          <w:tcPr>
            <w:tcW w:w="992" w:type="dxa"/>
          </w:tcPr>
          <w:p w14:paraId="1F5C9791"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w:t>
            </w:r>
          </w:p>
        </w:tc>
        <w:tc>
          <w:tcPr>
            <w:tcW w:w="3261" w:type="dxa"/>
          </w:tcPr>
          <w:p w14:paraId="3E2F52BE"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w:t>
            </w:r>
          </w:p>
          <w:p w14:paraId="38861E49"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Note:</w:t>
            </w:r>
          </w:p>
          <w:p w14:paraId="0C44B981"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Due to non-availability of funds for Foundation Programmes, enrolments will depend on what colleges can afford through utilising their own funds.</w:t>
            </w:r>
          </w:p>
          <w:p w14:paraId="438D3B51"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However, the work on the development of the Foundation Programme is currently underway</w:t>
            </w:r>
          </w:p>
          <w:p w14:paraId="1C2967C6" w14:textId="77777777" w:rsidR="00755B5D" w:rsidRPr="008D3C26" w:rsidRDefault="00755B5D" w:rsidP="00A84BE0">
            <w:pPr>
              <w:spacing w:line="360" w:lineRule="auto"/>
              <w:jc w:val="left"/>
              <w:rPr>
                <w:rFonts w:ascii="Times New Roman" w:hAnsi="Times New Roman" w:cs="Times New Roman"/>
                <w:sz w:val="24"/>
                <w:szCs w:val="24"/>
              </w:rPr>
            </w:pPr>
          </w:p>
        </w:tc>
      </w:tr>
      <w:tr w:rsidR="00755B5D" w:rsidRPr="008D3C26" w14:paraId="66B35AF7" w14:textId="77777777" w:rsidTr="008D4FE0">
        <w:tc>
          <w:tcPr>
            <w:tcW w:w="3823" w:type="dxa"/>
          </w:tcPr>
          <w:p w14:paraId="4983F0D3"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MTSF:</w:t>
            </w:r>
          </w:p>
          <w:p w14:paraId="65BAACD6"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To support the quality of lecturing, 10 universities will offer TVET lecturing qualifications by 2017.</w:t>
            </w:r>
          </w:p>
        </w:tc>
        <w:tc>
          <w:tcPr>
            <w:tcW w:w="850" w:type="dxa"/>
          </w:tcPr>
          <w:p w14:paraId="458573F2"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w:t>
            </w:r>
          </w:p>
        </w:tc>
        <w:tc>
          <w:tcPr>
            <w:tcW w:w="992" w:type="dxa"/>
          </w:tcPr>
          <w:p w14:paraId="2BBDDB77"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w:t>
            </w:r>
          </w:p>
        </w:tc>
        <w:tc>
          <w:tcPr>
            <w:tcW w:w="3261" w:type="dxa"/>
          </w:tcPr>
          <w:p w14:paraId="2D9921D3"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Only 1 has been accredited.</w:t>
            </w:r>
          </w:p>
        </w:tc>
      </w:tr>
      <w:tr w:rsidR="00755B5D" w:rsidRPr="008D3C26" w14:paraId="42942ADF" w14:textId="77777777" w:rsidTr="008D4FE0">
        <w:tc>
          <w:tcPr>
            <w:tcW w:w="3823" w:type="dxa"/>
          </w:tcPr>
          <w:p w14:paraId="09B5A23B"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MTSF:</w:t>
            </w:r>
          </w:p>
          <w:p w14:paraId="181D6583"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The interface (between SETAs, workplaces and education and training institutions) will support greater opportunities for work-based training and experience, with 140 000 work based learning opportunities planned for 2019</w:t>
            </w:r>
          </w:p>
        </w:tc>
        <w:tc>
          <w:tcPr>
            <w:tcW w:w="850" w:type="dxa"/>
          </w:tcPr>
          <w:p w14:paraId="3ACC0F48" w14:textId="77777777" w:rsidR="00755B5D" w:rsidRPr="008D3C26" w:rsidRDefault="004C4F5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40 39</w:t>
            </w:r>
            <w:r w:rsidR="00755B5D" w:rsidRPr="008D3C26">
              <w:rPr>
                <w:rFonts w:ascii="Times New Roman" w:hAnsi="Times New Roman" w:cs="Times New Roman"/>
                <w:sz w:val="24"/>
                <w:szCs w:val="24"/>
              </w:rPr>
              <w:t>9</w:t>
            </w:r>
          </w:p>
        </w:tc>
        <w:tc>
          <w:tcPr>
            <w:tcW w:w="992" w:type="dxa"/>
          </w:tcPr>
          <w:p w14:paraId="41731BF1" w14:textId="77777777" w:rsidR="00755B5D" w:rsidRPr="008D3C26" w:rsidRDefault="00755B5D"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118 582</w:t>
            </w:r>
          </w:p>
        </w:tc>
        <w:tc>
          <w:tcPr>
            <w:tcW w:w="3261" w:type="dxa"/>
          </w:tcPr>
          <w:p w14:paraId="7803BDC5" w14:textId="77777777" w:rsidR="00755B5D" w:rsidRPr="008D3C26" w:rsidRDefault="004C4F5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148 517</w:t>
            </w:r>
          </w:p>
        </w:tc>
      </w:tr>
    </w:tbl>
    <w:p w14:paraId="493D940A" w14:textId="77777777" w:rsidR="00DF404C" w:rsidRPr="008D3C26" w:rsidRDefault="00DF404C" w:rsidP="009724AD">
      <w:pPr>
        <w:rPr>
          <w:rFonts w:ascii="Times New Roman" w:hAnsi="Times New Roman" w:cs="Times New Roman"/>
          <w:b/>
          <w:sz w:val="24"/>
          <w:szCs w:val="24"/>
        </w:rPr>
      </w:pPr>
    </w:p>
    <w:p w14:paraId="5A65141B" w14:textId="77777777" w:rsidR="00561BFF" w:rsidRPr="008D3C26" w:rsidRDefault="00010EE3" w:rsidP="009724AD">
      <w:pPr>
        <w:rPr>
          <w:rFonts w:ascii="Times New Roman" w:hAnsi="Times New Roman" w:cs="Times New Roman"/>
          <w:b/>
          <w:sz w:val="24"/>
          <w:szCs w:val="24"/>
        </w:rPr>
      </w:pPr>
      <w:r w:rsidRPr="008D3C26">
        <w:rPr>
          <w:rFonts w:ascii="Times New Roman" w:hAnsi="Times New Roman" w:cs="Times New Roman"/>
          <w:b/>
          <w:sz w:val="24"/>
          <w:szCs w:val="24"/>
        </w:rPr>
        <w:t>5.</w:t>
      </w:r>
      <w:r w:rsidR="009319A3" w:rsidRPr="008D3C26">
        <w:rPr>
          <w:rFonts w:ascii="Times New Roman" w:hAnsi="Times New Roman" w:cs="Times New Roman"/>
          <w:b/>
          <w:sz w:val="24"/>
          <w:szCs w:val="24"/>
        </w:rPr>
        <w:t>4</w:t>
      </w:r>
      <w:r w:rsidR="00561BFF" w:rsidRPr="008D3C26">
        <w:rPr>
          <w:rFonts w:ascii="Times New Roman" w:hAnsi="Times New Roman" w:cs="Times New Roman"/>
          <w:b/>
          <w:sz w:val="24"/>
          <w:szCs w:val="24"/>
        </w:rPr>
        <w:t>. Concluding remarks on service delivery performance</w:t>
      </w:r>
    </w:p>
    <w:p w14:paraId="72C12CCB" w14:textId="77777777" w:rsidR="008D4FE0" w:rsidRPr="008D3C26" w:rsidRDefault="00B65163" w:rsidP="009724AD">
      <w:pPr>
        <w:rPr>
          <w:rFonts w:ascii="Times New Roman" w:hAnsi="Times New Roman" w:cs="Times New Roman"/>
          <w:sz w:val="24"/>
          <w:szCs w:val="24"/>
        </w:rPr>
      </w:pPr>
      <w:r w:rsidRPr="008D3C26">
        <w:rPr>
          <w:rFonts w:ascii="Times New Roman" w:hAnsi="Times New Roman" w:cs="Times New Roman"/>
          <w:sz w:val="24"/>
          <w:szCs w:val="24"/>
        </w:rPr>
        <w:t xml:space="preserve">The service delivery performance of the Department of Higher Education and Training </w:t>
      </w:r>
      <w:r w:rsidR="005E056F" w:rsidRPr="008D3C26">
        <w:rPr>
          <w:rFonts w:ascii="Times New Roman" w:hAnsi="Times New Roman" w:cs="Times New Roman"/>
          <w:sz w:val="24"/>
          <w:szCs w:val="24"/>
        </w:rPr>
        <w:t xml:space="preserve">in terms of the Departmental targets </w:t>
      </w:r>
      <w:r w:rsidRPr="008D3C26">
        <w:rPr>
          <w:rFonts w:ascii="Times New Roman" w:hAnsi="Times New Roman" w:cs="Times New Roman"/>
          <w:sz w:val="24"/>
          <w:szCs w:val="24"/>
        </w:rPr>
        <w:t>has improved by 8</w:t>
      </w:r>
      <w:r w:rsidR="005E056F" w:rsidRPr="008D3C26">
        <w:rPr>
          <w:rFonts w:ascii="Times New Roman" w:hAnsi="Times New Roman" w:cs="Times New Roman"/>
          <w:sz w:val="24"/>
          <w:szCs w:val="24"/>
        </w:rPr>
        <w:t xml:space="preserve"> per cent from 72 percent in 2014/15 to 80 per cent in the 2016/17 financial year. Similarly, performance on system targets has marginally increased by 2 per cent from 2015/16 to 2016/17. The performance on system performance indicators was impacted by the unavailability of data on some targets of the TVET and CET programmes. Programmes 2: Planning, Policy and Strategy </w:t>
      </w:r>
      <w:r w:rsidR="00FA3D8C" w:rsidRPr="008D3C26">
        <w:rPr>
          <w:rFonts w:ascii="Times New Roman" w:hAnsi="Times New Roman" w:cs="Times New Roman"/>
          <w:sz w:val="24"/>
          <w:szCs w:val="24"/>
        </w:rPr>
        <w:t xml:space="preserve">and Skills Development achieved 100 percent of the Department targets, followed by </w:t>
      </w:r>
      <w:r w:rsidR="00E91C02" w:rsidRPr="008D3C26">
        <w:rPr>
          <w:rFonts w:ascii="Times New Roman" w:hAnsi="Times New Roman" w:cs="Times New Roman"/>
          <w:sz w:val="24"/>
          <w:szCs w:val="24"/>
        </w:rPr>
        <w:t>the University Education</w:t>
      </w:r>
      <w:r w:rsidR="00FA3D8C" w:rsidRPr="008D3C26">
        <w:rPr>
          <w:rFonts w:ascii="Times New Roman" w:hAnsi="Times New Roman" w:cs="Times New Roman"/>
          <w:sz w:val="24"/>
          <w:szCs w:val="24"/>
        </w:rPr>
        <w:t xml:space="preserve"> at 75 percent and TVET and CET programmes at 73 per cent and 71 per cent respectively. Both the University Education programme and the Skills Development programme achieved 80 per cent achievement on system performance indicators. </w:t>
      </w:r>
      <w:r w:rsidR="00F614C0" w:rsidRPr="008D3C26">
        <w:rPr>
          <w:rFonts w:ascii="Times New Roman" w:hAnsi="Times New Roman" w:cs="Times New Roman"/>
          <w:sz w:val="24"/>
          <w:szCs w:val="24"/>
        </w:rPr>
        <w:t xml:space="preserve">The majority of the system performance indicators of the two programmes have been exceeded, which commendable given that they are NDP/MTSF related targets. Of great concern is </w:t>
      </w:r>
      <w:r w:rsidR="00E91C02" w:rsidRPr="008D3C26">
        <w:rPr>
          <w:rFonts w:ascii="Times New Roman" w:hAnsi="Times New Roman" w:cs="Times New Roman"/>
          <w:sz w:val="24"/>
          <w:szCs w:val="24"/>
        </w:rPr>
        <w:t>the lack</w:t>
      </w:r>
      <w:r w:rsidR="00F614C0" w:rsidRPr="008D3C26">
        <w:rPr>
          <w:rFonts w:ascii="Times New Roman" w:hAnsi="Times New Roman" w:cs="Times New Roman"/>
          <w:sz w:val="24"/>
          <w:szCs w:val="24"/>
        </w:rPr>
        <w:t xml:space="preserve"> of data to enable the Committee to assess progress in meeting the NDP/MTSF targets set for the TVET and CET programmes. </w:t>
      </w:r>
      <w:r w:rsidR="00FA3D8C" w:rsidRPr="008D3C26">
        <w:rPr>
          <w:rFonts w:ascii="Times New Roman" w:hAnsi="Times New Roman" w:cs="Times New Roman"/>
          <w:sz w:val="24"/>
          <w:szCs w:val="24"/>
        </w:rPr>
        <w:t xml:space="preserve"> </w:t>
      </w:r>
    </w:p>
    <w:p w14:paraId="77E0518B" w14:textId="77777777" w:rsidR="00E524CB" w:rsidRPr="008D3C26" w:rsidRDefault="00E524CB" w:rsidP="009724AD">
      <w:pPr>
        <w:rPr>
          <w:rFonts w:ascii="Times New Roman" w:hAnsi="Times New Roman" w:cs="Times New Roman"/>
          <w:b/>
          <w:sz w:val="24"/>
          <w:szCs w:val="24"/>
        </w:rPr>
      </w:pPr>
    </w:p>
    <w:p w14:paraId="73A52D9D" w14:textId="77777777" w:rsidR="00561BFF" w:rsidRPr="008D3C26" w:rsidRDefault="00CB7D5E" w:rsidP="009724AD">
      <w:pPr>
        <w:rPr>
          <w:rFonts w:ascii="Times New Roman" w:hAnsi="Times New Roman" w:cs="Times New Roman"/>
          <w:sz w:val="24"/>
          <w:szCs w:val="24"/>
        </w:rPr>
      </w:pPr>
      <w:r w:rsidRPr="008D3C26">
        <w:rPr>
          <w:rFonts w:ascii="Times New Roman" w:hAnsi="Times New Roman" w:cs="Times New Roman"/>
          <w:b/>
          <w:sz w:val="24"/>
          <w:szCs w:val="24"/>
        </w:rPr>
        <w:t>6</w:t>
      </w:r>
      <w:r w:rsidR="00561BFF" w:rsidRPr="008D3C26">
        <w:rPr>
          <w:rFonts w:ascii="Times New Roman" w:hAnsi="Times New Roman" w:cs="Times New Roman"/>
          <w:b/>
          <w:sz w:val="24"/>
          <w:szCs w:val="24"/>
        </w:rPr>
        <w:t>. COMMITTEE OBSERVATIONS AND RESPONSE</w:t>
      </w:r>
      <w:r w:rsidR="00C01EE8" w:rsidRPr="008D3C26">
        <w:rPr>
          <w:rFonts w:ascii="Times New Roman" w:hAnsi="Times New Roman" w:cs="Times New Roman"/>
          <w:b/>
          <w:sz w:val="24"/>
          <w:szCs w:val="24"/>
        </w:rPr>
        <w:t>S</w:t>
      </w:r>
      <w:r w:rsidR="00DC57EB" w:rsidRPr="008D3C26">
        <w:rPr>
          <w:rFonts w:ascii="Times New Roman" w:hAnsi="Times New Roman" w:cs="Times New Roman"/>
          <w:b/>
          <w:sz w:val="24"/>
          <w:szCs w:val="24"/>
        </w:rPr>
        <w:t xml:space="preserve"> </w:t>
      </w:r>
    </w:p>
    <w:p w14:paraId="22D3E470" w14:textId="77777777" w:rsidR="007C0D79" w:rsidRPr="008D3C26" w:rsidRDefault="00A84BE0" w:rsidP="007C0D79">
      <w:pPr>
        <w:pStyle w:val="ListParagraph"/>
        <w:spacing w:after="0"/>
        <w:ind w:left="0"/>
        <w:rPr>
          <w:rFonts w:ascii="Times New Roman" w:hAnsi="Times New Roman" w:cs="Times New Roman"/>
          <w:sz w:val="24"/>
          <w:szCs w:val="24"/>
        </w:rPr>
      </w:pPr>
      <w:r w:rsidRPr="008D3C26">
        <w:rPr>
          <w:rFonts w:ascii="Times New Roman" w:hAnsi="Times New Roman" w:cs="Times New Roman"/>
          <w:sz w:val="24"/>
          <w:szCs w:val="24"/>
        </w:rPr>
        <w:t xml:space="preserve">6.1 </w:t>
      </w:r>
      <w:r w:rsidR="007C0D79" w:rsidRPr="008D3C26">
        <w:rPr>
          <w:rFonts w:ascii="Times New Roman" w:hAnsi="Times New Roman" w:cs="Times New Roman"/>
          <w:sz w:val="24"/>
          <w:szCs w:val="24"/>
        </w:rPr>
        <w:t>The following formed part of the Committee’s key observations:</w:t>
      </w:r>
    </w:p>
    <w:p w14:paraId="35EF4EAA" w14:textId="77777777" w:rsidR="00561DD1" w:rsidRPr="008D3C26" w:rsidRDefault="00561DD1" w:rsidP="00BA3A4D">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The Department was unable to resolve 100 percent of disciplinary cases within 90 days. Only 22 percent of disciplinary cases were resolved within 90 days. The Department indicated that the majority of the outstanding disciplinary cases were at TVET colleges.</w:t>
      </w:r>
      <w:r w:rsidR="00BA3A4D" w:rsidRPr="008D3C26">
        <w:rPr>
          <w:rFonts w:ascii="Times New Roman" w:hAnsi="Times New Roman" w:cs="Times New Roman"/>
          <w:sz w:val="24"/>
          <w:szCs w:val="24"/>
        </w:rPr>
        <w:t xml:space="preserve"> This target could not be achieved even in the 2015/16 financial year. </w:t>
      </w:r>
    </w:p>
    <w:p w14:paraId="38A9AF84" w14:textId="77777777" w:rsidR="00561DD1" w:rsidRPr="008D3C26" w:rsidRDefault="00561DD1" w:rsidP="00BA3A4D">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The Department did not have sufficient human resource capacity to fill advertised posts within 180 days as per the requirement. The Committee was also concerned about the delays in the processing of large volumes of applications received, although a service provider had been appointed to fast track this process. The Department acknowledged that the appointment of the service provider to assist with the processing of applications did not yield the intended outcome.</w:t>
      </w:r>
      <w:r w:rsidR="00BA3A4D" w:rsidRPr="008D3C26">
        <w:rPr>
          <w:rFonts w:ascii="Times New Roman" w:hAnsi="Times New Roman" w:cs="Times New Roman"/>
          <w:sz w:val="24"/>
          <w:szCs w:val="24"/>
        </w:rPr>
        <w:t xml:space="preserve"> The Department committed to implement </w:t>
      </w:r>
      <w:r w:rsidR="00E91C02" w:rsidRPr="008D3C26">
        <w:rPr>
          <w:rFonts w:ascii="Times New Roman" w:hAnsi="Times New Roman" w:cs="Times New Roman"/>
          <w:sz w:val="24"/>
          <w:szCs w:val="24"/>
        </w:rPr>
        <w:t>an e - recruitment system</w:t>
      </w:r>
      <w:r w:rsidR="00BA3A4D" w:rsidRPr="008D3C26">
        <w:rPr>
          <w:rFonts w:ascii="Times New Roman" w:hAnsi="Times New Roman" w:cs="Times New Roman"/>
          <w:sz w:val="24"/>
          <w:szCs w:val="24"/>
        </w:rPr>
        <w:t xml:space="preserve"> by 2018.</w:t>
      </w:r>
    </w:p>
    <w:p w14:paraId="60BF3A09" w14:textId="77777777" w:rsidR="009D7B6E" w:rsidRPr="008D3C26" w:rsidRDefault="009D7B6E" w:rsidP="009D7B6E">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 xml:space="preserve">The non-achievement of the planned targets in the core delivery programmes was of great concern, especially in the TVET and CET programmes. </w:t>
      </w:r>
      <w:r w:rsidR="001E0841" w:rsidRPr="008D3C26">
        <w:rPr>
          <w:rFonts w:ascii="Times New Roman" w:hAnsi="Times New Roman" w:cs="Times New Roman"/>
          <w:sz w:val="24"/>
          <w:szCs w:val="24"/>
        </w:rPr>
        <w:t>The Department’s overall performance on system indicators was 47 per cent. The performance of the TVET and CET sectors was 8 per cent and 0 per cent respectively.</w:t>
      </w:r>
      <w:r w:rsidRPr="008D3C26">
        <w:rPr>
          <w:rFonts w:ascii="Times New Roman" w:hAnsi="Times New Roman" w:cs="Times New Roman"/>
          <w:sz w:val="24"/>
          <w:szCs w:val="24"/>
        </w:rPr>
        <w:t>. Overall, the Department managed to achieve 56 of the 70 targets planned for the year under review, whilst it spent 99 percent of its allocation. The Department indicated that it was committed to correct the deficiencies in the system given its limited resources.</w:t>
      </w:r>
    </w:p>
    <w:p w14:paraId="2322585E" w14:textId="77777777" w:rsidR="009D7B6E" w:rsidRPr="008D3C26" w:rsidRDefault="009D7B6E" w:rsidP="009D7B6E">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 xml:space="preserve">The certification and throughput rate of students in TVET colleges was </w:t>
      </w:r>
      <w:r w:rsidR="00E91C02" w:rsidRPr="008D3C26">
        <w:rPr>
          <w:rFonts w:ascii="Times New Roman" w:hAnsi="Times New Roman" w:cs="Times New Roman"/>
          <w:sz w:val="24"/>
          <w:szCs w:val="24"/>
        </w:rPr>
        <w:t>concerning</w:t>
      </w:r>
      <w:r w:rsidRPr="008D3C26">
        <w:rPr>
          <w:rFonts w:ascii="Times New Roman" w:hAnsi="Times New Roman" w:cs="Times New Roman"/>
          <w:sz w:val="24"/>
          <w:szCs w:val="24"/>
        </w:rPr>
        <w:t>. The Department indicated that a number of interventions had been implemented to improve teaching and learning at TVET colleges. The Department would appoint subject specialists at provincial level to provide additional support to TVET colleges to improve teaching and learning. A number of policies had been published to regulate the TVET sector adequately. The training of lecturers was ongoing including the SAICA CFO project to improve the financial management of colleges.</w:t>
      </w:r>
    </w:p>
    <w:p w14:paraId="77A4D39B" w14:textId="77777777" w:rsidR="009D7B6E" w:rsidRPr="008D3C26" w:rsidRDefault="009D7B6E" w:rsidP="009D7B6E">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 xml:space="preserve">The non-availability of data for system performance indicators in the TVET and CET programmes was a serious concern. The Committee’s ability to exercise sufficient oversight over the performance of these two programmes was seriously hampered by non-availability of data. This concern had also been raised in the previous quarterly reviews of the Department’s performance. The Department indicated that the TVET and CET sectors did not have a proper information management system </w:t>
      </w:r>
      <w:r w:rsidR="00952076" w:rsidRPr="008D3C26">
        <w:rPr>
          <w:rFonts w:ascii="Times New Roman" w:hAnsi="Times New Roman" w:cs="Times New Roman"/>
          <w:sz w:val="24"/>
          <w:szCs w:val="24"/>
        </w:rPr>
        <w:t>similar to</w:t>
      </w:r>
      <w:r w:rsidRPr="008D3C26">
        <w:rPr>
          <w:rFonts w:ascii="Times New Roman" w:hAnsi="Times New Roman" w:cs="Times New Roman"/>
          <w:sz w:val="24"/>
          <w:szCs w:val="24"/>
        </w:rPr>
        <w:t xml:space="preserve"> universities which had higher education management information system (HEMIS). The Department relied on headcount enrolment data to plan for the TVET and CET colleges.</w:t>
      </w:r>
    </w:p>
    <w:p w14:paraId="0956C9C3" w14:textId="77777777" w:rsidR="00561DD1" w:rsidRPr="008D3C26" w:rsidRDefault="00561DD1" w:rsidP="009D7B6E">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The Department had incurred irregular expenditure amounting to R63 million for the 2016/17 financial year. Further concerning was that goods and services to the value above R500 000 were procured without inviting competitive bids. The Committee indicated that the weaknesses in the internal control systems of the Department were of great concern.</w:t>
      </w:r>
    </w:p>
    <w:p w14:paraId="6186F968" w14:textId="77777777" w:rsidR="00110ACE" w:rsidRPr="008D3C26" w:rsidRDefault="00952076" w:rsidP="00110ACE">
      <w:pPr>
        <w:pStyle w:val="ListParagraph"/>
        <w:numPr>
          <w:ilvl w:val="2"/>
          <w:numId w:val="30"/>
        </w:numPr>
        <w:rPr>
          <w:rFonts w:ascii="Times New Roman" w:hAnsi="Times New Roman" w:cs="Times New Roman"/>
          <w:b/>
          <w:sz w:val="24"/>
          <w:szCs w:val="24"/>
        </w:rPr>
      </w:pPr>
      <w:r w:rsidRPr="008D3C26">
        <w:rPr>
          <w:rFonts w:ascii="Times New Roman" w:hAnsi="Times New Roman" w:cs="Times New Roman"/>
          <w:sz w:val="24"/>
          <w:szCs w:val="24"/>
        </w:rPr>
        <w:t xml:space="preserve">The increase in </w:t>
      </w:r>
      <w:r w:rsidR="00110ACE" w:rsidRPr="008D3C26">
        <w:rPr>
          <w:rFonts w:ascii="Times New Roman" w:hAnsi="Times New Roman" w:cs="Times New Roman"/>
          <w:sz w:val="24"/>
          <w:szCs w:val="24"/>
        </w:rPr>
        <w:t xml:space="preserve">irregular expenditure </w:t>
      </w:r>
      <w:r w:rsidR="005464C2" w:rsidRPr="008D3C26">
        <w:rPr>
          <w:rFonts w:ascii="Times New Roman" w:hAnsi="Times New Roman" w:cs="Times New Roman"/>
          <w:sz w:val="24"/>
          <w:szCs w:val="24"/>
        </w:rPr>
        <w:t xml:space="preserve">by the Department and entities reporting to it </w:t>
      </w:r>
      <w:r w:rsidR="00110ACE" w:rsidRPr="008D3C26">
        <w:rPr>
          <w:rFonts w:ascii="Times New Roman" w:hAnsi="Times New Roman" w:cs="Times New Roman"/>
          <w:sz w:val="24"/>
          <w:szCs w:val="24"/>
        </w:rPr>
        <w:t>from R569 million in 2015/16 to R904 million in 2016/17</w:t>
      </w:r>
      <w:r w:rsidR="000E7C3C" w:rsidRPr="008D3C26">
        <w:rPr>
          <w:rFonts w:ascii="Times New Roman" w:hAnsi="Times New Roman" w:cs="Times New Roman"/>
          <w:sz w:val="24"/>
          <w:szCs w:val="24"/>
        </w:rPr>
        <w:t xml:space="preserve"> was of great concern.</w:t>
      </w:r>
      <w:r w:rsidR="00110ACE" w:rsidRPr="008D3C26">
        <w:rPr>
          <w:rFonts w:ascii="Times New Roman" w:hAnsi="Times New Roman" w:cs="Times New Roman"/>
          <w:sz w:val="24"/>
          <w:szCs w:val="24"/>
        </w:rPr>
        <w:t xml:space="preserve"> </w:t>
      </w:r>
      <w:r w:rsidR="000E7C3C" w:rsidRPr="008D3C26">
        <w:rPr>
          <w:rFonts w:ascii="Times New Roman" w:hAnsi="Times New Roman" w:cs="Times New Roman"/>
          <w:sz w:val="24"/>
          <w:szCs w:val="24"/>
        </w:rPr>
        <w:t xml:space="preserve">Irregular expenditure was as follows: DHET: R63 million, </w:t>
      </w:r>
      <w:r w:rsidR="00083A6A" w:rsidRPr="008D3C26">
        <w:rPr>
          <w:rFonts w:ascii="Times New Roman" w:hAnsi="Times New Roman" w:cs="Times New Roman"/>
          <w:sz w:val="24"/>
          <w:szCs w:val="24"/>
        </w:rPr>
        <w:t>Agriculture SETA</w:t>
      </w:r>
      <w:r w:rsidR="004D1C9B" w:rsidRPr="008D3C26">
        <w:rPr>
          <w:rFonts w:ascii="Times New Roman" w:hAnsi="Times New Roman" w:cs="Times New Roman"/>
          <w:sz w:val="24"/>
          <w:szCs w:val="24"/>
        </w:rPr>
        <w:t>: R30.948 million</w:t>
      </w:r>
      <w:r w:rsidR="00083A6A" w:rsidRPr="008D3C26">
        <w:rPr>
          <w:rFonts w:ascii="Times New Roman" w:hAnsi="Times New Roman" w:cs="Times New Roman"/>
          <w:sz w:val="24"/>
          <w:szCs w:val="24"/>
        </w:rPr>
        <w:t>; Culture, Arts, Tourism, Hospitality and Sports SETA</w:t>
      </w:r>
      <w:r w:rsidR="004D1C9B" w:rsidRPr="008D3C26">
        <w:rPr>
          <w:rFonts w:ascii="Times New Roman" w:hAnsi="Times New Roman" w:cs="Times New Roman"/>
          <w:sz w:val="24"/>
          <w:szCs w:val="24"/>
        </w:rPr>
        <w:t>: R43.487 million;</w:t>
      </w:r>
      <w:r w:rsidR="00083A6A" w:rsidRPr="008D3C26">
        <w:rPr>
          <w:rFonts w:ascii="Times New Roman" w:hAnsi="Times New Roman" w:cs="Times New Roman"/>
          <w:sz w:val="24"/>
          <w:szCs w:val="24"/>
        </w:rPr>
        <w:t xml:space="preserve"> Education, Training and Development Practices SETA</w:t>
      </w:r>
      <w:r w:rsidR="004D1C9B" w:rsidRPr="008D3C26">
        <w:rPr>
          <w:rFonts w:ascii="Times New Roman" w:hAnsi="Times New Roman" w:cs="Times New Roman"/>
          <w:sz w:val="24"/>
          <w:szCs w:val="24"/>
        </w:rPr>
        <w:t>: R1.3 million</w:t>
      </w:r>
      <w:r w:rsidR="00083A6A" w:rsidRPr="008D3C26">
        <w:rPr>
          <w:rFonts w:ascii="Times New Roman" w:hAnsi="Times New Roman" w:cs="Times New Roman"/>
          <w:sz w:val="24"/>
          <w:szCs w:val="24"/>
        </w:rPr>
        <w:t>, Energy and Water SETA</w:t>
      </w:r>
      <w:r w:rsidR="004D1C9B" w:rsidRPr="008D3C26">
        <w:rPr>
          <w:rFonts w:ascii="Times New Roman" w:hAnsi="Times New Roman" w:cs="Times New Roman"/>
          <w:sz w:val="24"/>
          <w:szCs w:val="24"/>
        </w:rPr>
        <w:t>: R290 million</w:t>
      </w:r>
      <w:r w:rsidR="00083A6A" w:rsidRPr="008D3C26">
        <w:rPr>
          <w:rFonts w:ascii="Times New Roman" w:hAnsi="Times New Roman" w:cs="Times New Roman"/>
          <w:sz w:val="24"/>
          <w:szCs w:val="24"/>
        </w:rPr>
        <w:t>, Public Services SETA</w:t>
      </w:r>
      <w:r w:rsidR="004D1C9B" w:rsidRPr="008D3C26">
        <w:rPr>
          <w:rFonts w:ascii="Times New Roman" w:hAnsi="Times New Roman" w:cs="Times New Roman"/>
          <w:sz w:val="24"/>
          <w:szCs w:val="24"/>
        </w:rPr>
        <w:t xml:space="preserve">: R80.498 million; Wholesale and Retail SETA: R144.735 million and </w:t>
      </w:r>
      <w:r w:rsidR="00083A6A" w:rsidRPr="008D3C26">
        <w:rPr>
          <w:rFonts w:ascii="Times New Roman" w:hAnsi="Times New Roman" w:cs="Times New Roman"/>
          <w:sz w:val="24"/>
          <w:szCs w:val="24"/>
        </w:rPr>
        <w:t>Services SETA</w:t>
      </w:r>
      <w:r w:rsidR="004D1C9B" w:rsidRPr="008D3C26">
        <w:rPr>
          <w:rFonts w:ascii="Times New Roman" w:hAnsi="Times New Roman" w:cs="Times New Roman"/>
          <w:sz w:val="24"/>
          <w:szCs w:val="24"/>
        </w:rPr>
        <w:t>: R80.169 million</w:t>
      </w:r>
      <w:r w:rsidR="00E868FA" w:rsidRPr="008D3C26">
        <w:rPr>
          <w:rFonts w:ascii="Times New Roman" w:hAnsi="Times New Roman" w:cs="Times New Roman"/>
          <w:sz w:val="24"/>
          <w:szCs w:val="24"/>
        </w:rPr>
        <w:t>,</w:t>
      </w:r>
      <w:r w:rsidR="00083A6A" w:rsidRPr="008D3C26">
        <w:rPr>
          <w:rFonts w:ascii="Times New Roman" w:hAnsi="Times New Roman" w:cs="Times New Roman"/>
          <w:sz w:val="24"/>
          <w:szCs w:val="24"/>
        </w:rPr>
        <w:t xml:space="preserve"> </w:t>
      </w:r>
      <w:r w:rsidR="00110ACE" w:rsidRPr="008D3C26">
        <w:rPr>
          <w:rFonts w:ascii="Times New Roman" w:hAnsi="Times New Roman" w:cs="Times New Roman"/>
          <w:sz w:val="24"/>
          <w:szCs w:val="24"/>
        </w:rPr>
        <w:t xml:space="preserve">and the increase in fruitless and wasteful expenditure from R2 million in 2015/16 to R25 million </w:t>
      </w:r>
      <w:r w:rsidR="00083A6A" w:rsidRPr="008D3C26">
        <w:rPr>
          <w:rFonts w:ascii="Times New Roman" w:hAnsi="Times New Roman" w:cs="Times New Roman"/>
          <w:sz w:val="24"/>
          <w:szCs w:val="24"/>
        </w:rPr>
        <w:t>(incurred by Finance and Accounting SETA</w:t>
      </w:r>
      <w:r w:rsidR="004D1C9B" w:rsidRPr="008D3C26">
        <w:rPr>
          <w:rFonts w:ascii="Times New Roman" w:hAnsi="Times New Roman" w:cs="Times New Roman"/>
          <w:sz w:val="24"/>
          <w:szCs w:val="24"/>
        </w:rPr>
        <w:t>: R22 million</w:t>
      </w:r>
      <w:r w:rsidR="00083A6A" w:rsidRPr="008D3C26">
        <w:rPr>
          <w:rFonts w:ascii="Times New Roman" w:hAnsi="Times New Roman" w:cs="Times New Roman"/>
          <w:sz w:val="24"/>
          <w:szCs w:val="24"/>
        </w:rPr>
        <w:t>; Safety and Security</w:t>
      </w:r>
      <w:r w:rsidR="00200AA8" w:rsidRPr="008D3C26">
        <w:rPr>
          <w:rFonts w:ascii="Times New Roman" w:hAnsi="Times New Roman" w:cs="Times New Roman"/>
          <w:sz w:val="24"/>
          <w:szCs w:val="24"/>
        </w:rPr>
        <w:t xml:space="preserve"> SETA</w:t>
      </w:r>
      <w:r w:rsidR="004D1C9B" w:rsidRPr="008D3C26">
        <w:rPr>
          <w:rFonts w:ascii="Times New Roman" w:hAnsi="Times New Roman" w:cs="Times New Roman"/>
          <w:sz w:val="24"/>
          <w:szCs w:val="24"/>
        </w:rPr>
        <w:t>: R2.2 million</w:t>
      </w:r>
      <w:r w:rsidR="00E1313C" w:rsidRPr="008D3C26">
        <w:rPr>
          <w:rFonts w:ascii="Times New Roman" w:hAnsi="Times New Roman" w:cs="Times New Roman"/>
          <w:sz w:val="24"/>
          <w:szCs w:val="24"/>
        </w:rPr>
        <w:t xml:space="preserve"> and</w:t>
      </w:r>
      <w:r w:rsidR="00200AA8" w:rsidRPr="008D3C26">
        <w:rPr>
          <w:rFonts w:ascii="Times New Roman" w:hAnsi="Times New Roman" w:cs="Times New Roman"/>
          <w:sz w:val="24"/>
          <w:szCs w:val="24"/>
        </w:rPr>
        <w:t xml:space="preserve"> Education, Training and Development Practices SETA</w:t>
      </w:r>
      <w:r w:rsidR="004D1C9B" w:rsidRPr="008D3C26">
        <w:rPr>
          <w:rFonts w:ascii="Times New Roman" w:hAnsi="Times New Roman" w:cs="Times New Roman"/>
          <w:sz w:val="24"/>
          <w:szCs w:val="24"/>
        </w:rPr>
        <w:t>: R577 000</w:t>
      </w:r>
      <w:r w:rsidR="00200AA8" w:rsidRPr="008D3C26">
        <w:rPr>
          <w:rFonts w:ascii="Times New Roman" w:hAnsi="Times New Roman" w:cs="Times New Roman"/>
          <w:sz w:val="24"/>
          <w:szCs w:val="24"/>
        </w:rPr>
        <w:t>)</w:t>
      </w:r>
      <w:r w:rsidR="00083A6A" w:rsidRPr="008D3C26">
        <w:rPr>
          <w:rFonts w:ascii="Times New Roman" w:hAnsi="Times New Roman" w:cs="Times New Roman"/>
          <w:sz w:val="24"/>
          <w:szCs w:val="24"/>
        </w:rPr>
        <w:t xml:space="preserve"> </w:t>
      </w:r>
      <w:r w:rsidR="00110ACE" w:rsidRPr="008D3C26">
        <w:rPr>
          <w:rFonts w:ascii="Times New Roman" w:hAnsi="Times New Roman" w:cs="Times New Roman"/>
          <w:sz w:val="24"/>
          <w:szCs w:val="24"/>
        </w:rPr>
        <w:t xml:space="preserve">in 2016/17 within the Higher Education and Training Portfolio was noted with great concern. </w:t>
      </w:r>
      <w:r w:rsidR="009C16F0" w:rsidRPr="008D3C26">
        <w:rPr>
          <w:rFonts w:ascii="Times New Roman" w:hAnsi="Times New Roman" w:cs="Times New Roman"/>
          <w:sz w:val="24"/>
          <w:szCs w:val="24"/>
        </w:rPr>
        <w:t>Furthermore, two of the SETA</w:t>
      </w:r>
      <w:r w:rsidR="000E7C3C" w:rsidRPr="008D3C26">
        <w:rPr>
          <w:rFonts w:ascii="Times New Roman" w:hAnsi="Times New Roman" w:cs="Times New Roman"/>
          <w:sz w:val="24"/>
          <w:szCs w:val="24"/>
        </w:rPr>
        <w:t>s</w:t>
      </w:r>
      <w:r w:rsidR="009C16F0" w:rsidRPr="008D3C26">
        <w:rPr>
          <w:rFonts w:ascii="Times New Roman" w:hAnsi="Times New Roman" w:cs="Times New Roman"/>
          <w:sz w:val="24"/>
          <w:szCs w:val="24"/>
        </w:rPr>
        <w:t xml:space="preserve">, W&amp;R SETA and SASSETA were under administration during the year under review. A high number of SETAs had vacancies at senior executive management level, which created capacity challenges. </w:t>
      </w:r>
    </w:p>
    <w:p w14:paraId="121AF422" w14:textId="77777777" w:rsidR="00561DD1" w:rsidRPr="008D3C26" w:rsidRDefault="00185E38" w:rsidP="009D7B6E">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 xml:space="preserve">The </w:t>
      </w:r>
      <w:r w:rsidR="008377AD" w:rsidRPr="008D3C26">
        <w:rPr>
          <w:rFonts w:ascii="Times New Roman" w:hAnsi="Times New Roman" w:cs="Times New Roman"/>
          <w:sz w:val="24"/>
          <w:szCs w:val="24"/>
        </w:rPr>
        <w:t>Committee noted that the costing of the White Paper for PSET ha</w:t>
      </w:r>
      <w:r w:rsidR="00952076" w:rsidRPr="008D3C26">
        <w:rPr>
          <w:rFonts w:ascii="Times New Roman" w:hAnsi="Times New Roman" w:cs="Times New Roman"/>
          <w:sz w:val="24"/>
          <w:szCs w:val="24"/>
        </w:rPr>
        <w:t>d</w:t>
      </w:r>
      <w:r w:rsidR="008377AD" w:rsidRPr="008D3C26">
        <w:rPr>
          <w:rFonts w:ascii="Times New Roman" w:hAnsi="Times New Roman" w:cs="Times New Roman"/>
          <w:sz w:val="24"/>
          <w:szCs w:val="24"/>
        </w:rPr>
        <w:t xml:space="preserve"> not been completed</w:t>
      </w:r>
      <w:r w:rsidR="00952076" w:rsidRPr="008D3C26">
        <w:rPr>
          <w:rFonts w:ascii="Times New Roman" w:hAnsi="Times New Roman" w:cs="Times New Roman"/>
          <w:sz w:val="24"/>
          <w:szCs w:val="24"/>
        </w:rPr>
        <w:t>,</w:t>
      </w:r>
      <w:r w:rsidR="008377AD" w:rsidRPr="008D3C26">
        <w:rPr>
          <w:rFonts w:ascii="Times New Roman" w:hAnsi="Times New Roman" w:cs="Times New Roman"/>
          <w:sz w:val="24"/>
          <w:szCs w:val="24"/>
        </w:rPr>
        <w:t xml:space="preserve"> and as a result the financial resources availed to the Department to implement the objectives of the </w:t>
      </w:r>
      <w:r w:rsidRPr="008D3C26">
        <w:rPr>
          <w:rFonts w:ascii="Times New Roman" w:hAnsi="Times New Roman" w:cs="Times New Roman"/>
          <w:sz w:val="24"/>
          <w:szCs w:val="24"/>
        </w:rPr>
        <w:t xml:space="preserve">White Paper </w:t>
      </w:r>
      <w:r w:rsidR="008377AD" w:rsidRPr="008D3C26">
        <w:rPr>
          <w:rFonts w:ascii="Times New Roman" w:hAnsi="Times New Roman" w:cs="Times New Roman"/>
          <w:sz w:val="24"/>
          <w:szCs w:val="24"/>
        </w:rPr>
        <w:t xml:space="preserve">were inadequate. </w:t>
      </w:r>
      <w:r w:rsidR="00931E4C" w:rsidRPr="008D3C26">
        <w:rPr>
          <w:rFonts w:ascii="Times New Roman" w:hAnsi="Times New Roman" w:cs="Times New Roman"/>
          <w:sz w:val="24"/>
          <w:szCs w:val="24"/>
        </w:rPr>
        <w:t>The TVET sector did</w:t>
      </w:r>
      <w:r w:rsidR="00FE0A88" w:rsidRPr="008D3C26">
        <w:rPr>
          <w:rFonts w:ascii="Times New Roman" w:hAnsi="Times New Roman" w:cs="Times New Roman"/>
          <w:sz w:val="24"/>
          <w:szCs w:val="24"/>
        </w:rPr>
        <w:t xml:space="preserve"> not meet the target to have 82</w:t>
      </w:r>
      <w:r w:rsidR="00931E4C" w:rsidRPr="008D3C26">
        <w:rPr>
          <w:rFonts w:ascii="Times New Roman" w:hAnsi="Times New Roman" w:cs="Times New Roman"/>
          <w:sz w:val="24"/>
          <w:szCs w:val="24"/>
        </w:rPr>
        <w:t xml:space="preserve">9 000 headcount enrolment in the TVET Colleges, to have 1 000 additional beds for student accommodation in public TVET Colleges, 5 000 student entering </w:t>
      </w:r>
      <w:r w:rsidR="00952076" w:rsidRPr="008D3C26">
        <w:rPr>
          <w:rFonts w:ascii="Times New Roman" w:hAnsi="Times New Roman" w:cs="Times New Roman"/>
          <w:sz w:val="24"/>
          <w:szCs w:val="24"/>
        </w:rPr>
        <w:t>f</w:t>
      </w:r>
      <w:r w:rsidR="00931E4C" w:rsidRPr="008D3C26">
        <w:rPr>
          <w:rFonts w:ascii="Times New Roman" w:hAnsi="Times New Roman" w:cs="Times New Roman"/>
          <w:sz w:val="24"/>
          <w:szCs w:val="24"/>
        </w:rPr>
        <w:t xml:space="preserve">oundation programmes. </w:t>
      </w:r>
      <w:r w:rsidR="00561DD1" w:rsidRPr="008D3C26">
        <w:rPr>
          <w:rFonts w:ascii="Times New Roman" w:hAnsi="Times New Roman" w:cs="Times New Roman"/>
          <w:sz w:val="24"/>
          <w:szCs w:val="24"/>
        </w:rPr>
        <w:t>The Department indicated that it would require R</w:t>
      </w:r>
      <w:r w:rsidR="0027535A" w:rsidRPr="008D3C26">
        <w:rPr>
          <w:rFonts w:ascii="Times New Roman" w:hAnsi="Times New Roman" w:cs="Times New Roman"/>
          <w:sz w:val="24"/>
          <w:szCs w:val="24"/>
        </w:rPr>
        <w:t>18.9</w:t>
      </w:r>
      <w:r w:rsidR="00561DD1" w:rsidRPr="008D3C26">
        <w:rPr>
          <w:rFonts w:ascii="Times New Roman" w:hAnsi="Times New Roman" w:cs="Times New Roman"/>
          <w:sz w:val="24"/>
          <w:szCs w:val="24"/>
        </w:rPr>
        <w:t xml:space="preserve"> billion </w:t>
      </w:r>
      <w:r w:rsidR="0027535A" w:rsidRPr="008D3C26">
        <w:rPr>
          <w:rFonts w:ascii="Times New Roman" w:hAnsi="Times New Roman" w:cs="Times New Roman"/>
          <w:sz w:val="24"/>
          <w:szCs w:val="24"/>
        </w:rPr>
        <w:t>in 2018/</w:t>
      </w:r>
      <w:r w:rsidR="00F0446F" w:rsidRPr="008D3C26">
        <w:rPr>
          <w:rFonts w:ascii="Times New Roman" w:hAnsi="Times New Roman" w:cs="Times New Roman"/>
          <w:sz w:val="24"/>
          <w:szCs w:val="24"/>
        </w:rPr>
        <w:t>19 and R23.182 billion in 2019/</w:t>
      </w:r>
      <w:r w:rsidR="0027535A" w:rsidRPr="008D3C26">
        <w:rPr>
          <w:rFonts w:ascii="Times New Roman" w:hAnsi="Times New Roman" w:cs="Times New Roman"/>
          <w:sz w:val="24"/>
          <w:szCs w:val="24"/>
        </w:rPr>
        <w:t>20</w:t>
      </w:r>
      <w:r w:rsidR="00561DD1" w:rsidRPr="008D3C26">
        <w:rPr>
          <w:rFonts w:ascii="Times New Roman" w:hAnsi="Times New Roman" w:cs="Times New Roman"/>
          <w:sz w:val="24"/>
          <w:szCs w:val="24"/>
        </w:rPr>
        <w:t xml:space="preserve"> MTEF period to meet funding shortfall of the TVET sector. </w:t>
      </w:r>
    </w:p>
    <w:p w14:paraId="2F147EAA" w14:textId="77777777" w:rsidR="003C61B6" w:rsidRPr="008D3C26" w:rsidRDefault="00C3755E" w:rsidP="003C61B6">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 xml:space="preserve">The Committee </w:t>
      </w:r>
      <w:r w:rsidR="00AA23A6" w:rsidRPr="008D3C26">
        <w:rPr>
          <w:rFonts w:ascii="Times New Roman" w:hAnsi="Times New Roman" w:cs="Times New Roman"/>
          <w:sz w:val="24"/>
          <w:szCs w:val="24"/>
        </w:rPr>
        <w:t>noted that a commitment was made in 2014 to exp</w:t>
      </w:r>
      <w:r w:rsidRPr="008D3C26">
        <w:rPr>
          <w:rFonts w:ascii="Times New Roman" w:hAnsi="Times New Roman" w:cs="Times New Roman"/>
          <w:sz w:val="24"/>
          <w:szCs w:val="24"/>
        </w:rPr>
        <w:t xml:space="preserve">and the </w:t>
      </w:r>
      <w:r w:rsidR="00AA23A6" w:rsidRPr="008D3C26">
        <w:rPr>
          <w:rFonts w:ascii="Times New Roman" w:hAnsi="Times New Roman" w:cs="Times New Roman"/>
          <w:sz w:val="24"/>
          <w:szCs w:val="24"/>
        </w:rPr>
        <w:t xml:space="preserve">geographical spread of TVET Colleges to make education and training accessible to youth and adults in the rural areas by building 12 new TVET </w:t>
      </w:r>
      <w:r w:rsidR="00354560" w:rsidRPr="008D3C26">
        <w:rPr>
          <w:rFonts w:ascii="Times New Roman" w:hAnsi="Times New Roman" w:cs="Times New Roman"/>
          <w:sz w:val="24"/>
          <w:szCs w:val="24"/>
        </w:rPr>
        <w:t>College c</w:t>
      </w:r>
      <w:r w:rsidR="00AA23A6" w:rsidRPr="008D3C26">
        <w:rPr>
          <w:rFonts w:ascii="Times New Roman" w:hAnsi="Times New Roman" w:cs="Times New Roman"/>
          <w:sz w:val="24"/>
          <w:szCs w:val="24"/>
        </w:rPr>
        <w:t xml:space="preserve">ampuses. However, this commitment has not been funded </w:t>
      </w:r>
      <w:r w:rsidR="00354560" w:rsidRPr="008D3C26">
        <w:rPr>
          <w:rFonts w:ascii="Times New Roman" w:hAnsi="Times New Roman" w:cs="Times New Roman"/>
          <w:sz w:val="24"/>
          <w:szCs w:val="24"/>
        </w:rPr>
        <w:t>from</w:t>
      </w:r>
      <w:r w:rsidR="00AA23A6" w:rsidRPr="008D3C26">
        <w:rPr>
          <w:rFonts w:ascii="Times New Roman" w:hAnsi="Times New Roman" w:cs="Times New Roman"/>
          <w:sz w:val="24"/>
          <w:szCs w:val="24"/>
        </w:rPr>
        <w:t xml:space="preserve"> the </w:t>
      </w:r>
      <w:r w:rsidR="00354560" w:rsidRPr="008D3C26">
        <w:rPr>
          <w:rFonts w:ascii="Times New Roman" w:hAnsi="Times New Roman" w:cs="Times New Roman"/>
          <w:sz w:val="24"/>
          <w:szCs w:val="24"/>
        </w:rPr>
        <w:t>voted funds</w:t>
      </w:r>
      <w:r w:rsidR="00AA23A6" w:rsidRPr="008D3C26">
        <w:rPr>
          <w:rFonts w:ascii="Times New Roman" w:hAnsi="Times New Roman" w:cs="Times New Roman"/>
          <w:sz w:val="24"/>
          <w:szCs w:val="24"/>
        </w:rPr>
        <w:t xml:space="preserve">, but </w:t>
      </w:r>
      <w:r w:rsidR="00BE0FBA" w:rsidRPr="008D3C26">
        <w:rPr>
          <w:rFonts w:ascii="Times New Roman" w:hAnsi="Times New Roman" w:cs="Times New Roman"/>
          <w:sz w:val="24"/>
          <w:szCs w:val="24"/>
        </w:rPr>
        <w:t>funded through</w:t>
      </w:r>
      <w:r w:rsidR="00AA23A6" w:rsidRPr="008D3C26">
        <w:rPr>
          <w:rFonts w:ascii="Times New Roman" w:hAnsi="Times New Roman" w:cs="Times New Roman"/>
          <w:sz w:val="24"/>
          <w:szCs w:val="24"/>
        </w:rPr>
        <w:t xml:space="preserve"> </w:t>
      </w:r>
      <w:r w:rsidR="00BE0FBA" w:rsidRPr="008D3C26">
        <w:rPr>
          <w:rFonts w:ascii="Times New Roman" w:hAnsi="Times New Roman" w:cs="Times New Roman"/>
          <w:sz w:val="24"/>
          <w:szCs w:val="24"/>
        </w:rPr>
        <w:t xml:space="preserve">skills funds. </w:t>
      </w:r>
      <w:r w:rsidR="00221907" w:rsidRPr="008D3C26">
        <w:rPr>
          <w:rFonts w:ascii="Times New Roman" w:hAnsi="Times New Roman" w:cs="Times New Roman"/>
          <w:sz w:val="24"/>
          <w:szCs w:val="24"/>
        </w:rPr>
        <w:t xml:space="preserve">However, to date only </w:t>
      </w:r>
      <w:r w:rsidR="00F06935" w:rsidRPr="008D3C26">
        <w:rPr>
          <w:rFonts w:ascii="Times New Roman" w:hAnsi="Times New Roman" w:cs="Times New Roman"/>
          <w:sz w:val="24"/>
          <w:szCs w:val="24"/>
        </w:rPr>
        <w:t xml:space="preserve">one </w:t>
      </w:r>
      <w:r w:rsidR="00AA23A6" w:rsidRPr="008D3C26">
        <w:rPr>
          <w:rFonts w:ascii="Times New Roman" w:hAnsi="Times New Roman" w:cs="Times New Roman"/>
          <w:sz w:val="24"/>
          <w:szCs w:val="24"/>
        </w:rPr>
        <w:t xml:space="preserve">new TVET </w:t>
      </w:r>
      <w:r w:rsidR="00221907" w:rsidRPr="008D3C26">
        <w:rPr>
          <w:rFonts w:ascii="Times New Roman" w:hAnsi="Times New Roman" w:cs="Times New Roman"/>
          <w:sz w:val="24"/>
          <w:szCs w:val="24"/>
        </w:rPr>
        <w:t>College campus</w:t>
      </w:r>
      <w:r w:rsidR="00AA23A6" w:rsidRPr="008D3C26">
        <w:rPr>
          <w:rFonts w:ascii="Times New Roman" w:hAnsi="Times New Roman" w:cs="Times New Roman"/>
          <w:sz w:val="24"/>
          <w:szCs w:val="24"/>
        </w:rPr>
        <w:t xml:space="preserve"> ha</w:t>
      </w:r>
      <w:r w:rsidR="00F06935" w:rsidRPr="008D3C26">
        <w:rPr>
          <w:rFonts w:ascii="Times New Roman" w:hAnsi="Times New Roman" w:cs="Times New Roman"/>
          <w:sz w:val="24"/>
          <w:szCs w:val="24"/>
        </w:rPr>
        <w:t>d</w:t>
      </w:r>
      <w:r w:rsidR="00AA23A6" w:rsidRPr="008D3C26">
        <w:rPr>
          <w:rFonts w:ascii="Times New Roman" w:hAnsi="Times New Roman" w:cs="Times New Roman"/>
          <w:sz w:val="24"/>
          <w:szCs w:val="24"/>
        </w:rPr>
        <w:t xml:space="preserve"> been </w:t>
      </w:r>
      <w:r w:rsidR="00F06935" w:rsidRPr="008D3C26">
        <w:rPr>
          <w:rFonts w:ascii="Times New Roman" w:hAnsi="Times New Roman" w:cs="Times New Roman"/>
          <w:sz w:val="24"/>
          <w:szCs w:val="24"/>
        </w:rPr>
        <w:t xml:space="preserve">completed </w:t>
      </w:r>
      <w:r w:rsidR="00AA23A6" w:rsidRPr="008D3C26">
        <w:rPr>
          <w:rFonts w:ascii="Times New Roman" w:hAnsi="Times New Roman" w:cs="Times New Roman"/>
          <w:sz w:val="24"/>
          <w:szCs w:val="24"/>
        </w:rPr>
        <w:t xml:space="preserve">and </w:t>
      </w:r>
      <w:r w:rsidR="00F06935" w:rsidRPr="008D3C26">
        <w:rPr>
          <w:rFonts w:ascii="Times New Roman" w:hAnsi="Times New Roman" w:cs="Times New Roman"/>
          <w:sz w:val="24"/>
          <w:szCs w:val="24"/>
        </w:rPr>
        <w:t>the other two are nearing completion</w:t>
      </w:r>
      <w:r w:rsidR="005C1190" w:rsidRPr="008D3C26">
        <w:rPr>
          <w:rFonts w:ascii="Times New Roman" w:hAnsi="Times New Roman" w:cs="Times New Roman"/>
          <w:sz w:val="24"/>
          <w:szCs w:val="24"/>
        </w:rPr>
        <w:t xml:space="preserve">. The Committee expressed a concern about the slow rate of construction and funding sustainability for </w:t>
      </w:r>
      <w:r w:rsidR="00AA23A6" w:rsidRPr="008D3C26">
        <w:rPr>
          <w:rFonts w:ascii="Times New Roman" w:hAnsi="Times New Roman" w:cs="Times New Roman"/>
          <w:sz w:val="24"/>
          <w:szCs w:val="24"/>
        </w:rPr>
        <w:t>the operation</w:t>
      </w:r>
      <w:r w:rsidR="005C1190" w:rsidRPr="008D3C26">
        <w:rPr>
          <w:rFonts w:ascii="Times New Roman" w:hAnsi="Times New Roman" w:cs="Times New Roman"/>
          <w:sz w:val="24"/>
          <w:szCs w:val="24"/>
        </w:rPr>
        <w:t xml:space="preserve">al costs of the three new TVET College campuses and </w:t>
      </w:r>
      <w:r w:rsidR="00AD1264" w:rsidRPr="008D3C26">
        <w:rPr>
          <w:rFonts w:ascii="Times New Roman" w:hAnsi="Times New Roman" w:cs="Times New Roman"/>
          <w:sz w:val="24"/>
          <w:szCs w:val="24"/>
        </w:rPr>
        <w:t xml:space="preserve"> the impact in rolling out the skills development interventions. </w:t>
      </w:r>
      <w:r w:rsidR="00CB4A01" w:rsidRPr="008D3C26">
        <w:rPr>
          <w:rFonts w:ascii="Times New Roman" w:hAnsi="Times New Roman" w:cs="Times New Roman"/>
          <w:sz w:val="24"/>
          <w:szCs w:val="24"/>
        </w:rPr>
        <w:t xml:space="preserve"> </w:t>
      </w:r>
    </w:p>
    <w:p w14:paraId="404C1015" w14:textId="77777777" w:rsidR="003C61B6" w:rsidRPr="008D3C26" w:rsidRDefault="003C61B6" w:rsidP="003C61B6">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The infrastructure maintenance backlog at TVET colleges remained a serious challenge. As a result, the infrastructure in some TVET colleges was deteriorating which also had a negative impact on increasing access. There was no dedicated infrastructure grant for TVET colleges</w:t>
      </w:r>
      <w:r w:rsidR="008A0227" w:rsidRPr="008D3C26">
        <w:rPr>
          <w:rFonts w:ascii="Times New Roman" w:hAnsi="Times New Roman" w:cs="Times New Roman"/>
          <w:sz w:val="24"/>
          <w:szCs w:val="24"/>
        </w:rPr>
        <w:t>.</w:t>
      </w:r>
    </w:p>
    <w:p w14:paraId="4111C4AE" w14:textId="77777777" w:rsidR="00355F84" w:rsidRPr="008D3C26" w:rsidRDefault="004F20CB" w:rsidP="003C61B6">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 xml:space="preserve">The </w:t>
      </w:r>
      <w:r w:rsidR="004C2F14" w:rsidRPr="008D3C26">
        <w:rPr>
          <w:rFonts w:ascii="Times New Roman" w:hAnsi="Times New Roman" w:cs="Times New Roman"/>
          <w:sz w:val="24"/>
          <w:szCs w:val="24"/>
        </w:rPr>
        <w:t xml:space="preserve">Committee </w:t>
      </w:r>
      <w:r w:rsidRPr="008D3C26">
        <w:rPr>
          <w:rFonts w:ascii="Times New Roman" w:hAnsi="Times New Roman" w:cs="Times New Roman"/>
          <w:sz w:val="24"/>
          <w:szCs w:val="24"/>
        </w:rPr>
        <w:t xml:space="preserve">noted </w:t>
      </w:r>
      <w:r w:rsidR="004C2F14" w:rsidRPr="008D3C26">
        <w:rPr>
          <w:rFonts w:ascii="Times New Roman" w:hAnsi="Times New Roman" w:cs="Times New Roman"/>
          <w:sz w:val="24"/>
          <w:szCs w:val="24"/>
        </w:rPr>
        <w:t xml:space="preserve">that the </w:t>
      </w:r>
      <w:r w:rsidR="00355F84" w:rsidRPr="008D3C26">
        <w:rPr>
          <w:rFonts w:ascii="Times New Roman" w:hAnsi="Times New Roman" w:cs="Times New Roman"/>
          <w:sz w:val="24"/>
          <w:szCs w:val="24"/>
        </w:rPr>
        <w:t xml:space="preserve">Public Finance Management Act, 1999 (PFMA) </w:t>
      </w:r>
      <w:r w:rsidR="004C2F14" w:rsidRPr="008D3C26">
        <w:rPr>
          <w:rFonts w:ascii="Times New Roman" w:hAnsi="Times New Roman" w:cs="Times New Roman"/>
          <w:sz w:val="24"/>
          <w:szCs w:val="24"/>
        </w:rPr>
        <w:t xml:space="preserve">excludes the listing of </w:t>
      </w:r>
      <w:r w:rsidR="00355F84" w:rsidRPr="008D3C26">
        <w:rPr>
          <w:rFonts w:ascii="Times New Roman" w:hAnsi="Times New Roman" w:cs="Times New Roman"/>
          <w:sz w:val="24"/>
          <w:szCs w:val="24"/>
        </w:rPr>
        <w:t>institution</w:t>
      </w:r>
      <w:r w:rsidR="004C2F14" w:rsidRPr="008D3C26">
        <w:rPr>
          <w:rFonts w:ascii="Times New Roman" w:hAnsi="Times New Roman" w:cs="Times New Roman"/>
          <w:sz w:val="24"/>
          <w:szCs w:val="24"/>
        </w:rPr>
        <w:t>s</w:t>
      </w:r>
      <w:r w:rsidR="00355F84" w:rsidRPr="008D3C26">
        <w:rPr>
          <w:rFonts w:ascii="Times New Roman" w:hAnsi="Times New Roman" w:cs="Times New Roman"/>
          <w:sz w:val="24"/>
          <w:szCs w:val="24"/>
        </w:rPr>
        <w:t xml:space="preserve"> of higher education in Schedule 3</w:t>
      </w:r>
      <w:r w:rsidR="004C2F14" w:rsidRPr="008D3C26">
        <w:rPr>
          <w:rFonts w:ascii="Times New Roman" w:hAnsi="Times New Roman" w:cs="Times New Roman"/>
          <w:sz w:val="24"/>
          <w:szCs w:val="24"/>
        </w:rPr>
        <w:t xml:space="preserve">, as well as </w:t>
      </w:r>
      <w:r w:rsidR="00355F84" w:rsidRPr="008D3C26">
        <w:rPr>
          <w:rFonts w:ascii="Times New Roman" w:hAnsi="Times New Roman" w:cs="Times New Roman"/>
          <w:sz w:val="24"/>
          <w:szCs w:val="24"/>
        </w:rPr>
        <w:t xml:space="preserve">under Schedules 1 and/or 2 </w:t>
      </w:r>
      <w:r w:rsidR="004C2F14" w:rsidRPr="008D3C26">
        <w:rPr>
          <w:rFonts w:ascii="Times New Roman" w:hAnsi="Times New Roman" w:cs="Times New Roman"/>
          <w:sz w:val="24"/>
          <w:szCs w:val="24"/>
        </w:rPr>
        <w:t>of</w:t>
      </w:r>
      <w:r w:rsidR="00355F84" w:rsidRPr="008D3C26">
        <w:rPr>
          <w:rFonts w:ascii="Times New Roman" w:hAnsi="Times New Roman" w:cs="Times New Roman"/>
          <w:sz w:val="24"/>
          <w:szCs w:val="24"/>
        </w:rPr>
        <w:t xml:space="preserve"> the PFMA</w:t>
      </w:r>
      <w:r w:rsidR="00AD6987" w:rsidRPr="008D3C26">
        <w:rPr>
          <w:rFonts w:ascii="Times New Roman" w:hAnsi="Times New Roman" w:cs="Times New Roman"/>
          <w:sz w:val="24"/>
          <w:szCs w:val="24"/>
        </w:rPr>
        <w:t xml:space="preserve">. </w:t>
      </w:r>
      <w:r w:rsidR="00355F84" w:rsidRPr="008D3C26">
        <w:rPr>
          <w:rFonts w:ascii="Times New Roman" w:hAnsi="Times New Roman" w:cs="Times New Roman"/>
          <w:sz w:val="24"/>
          <w:szCs w:val="24"/>
        </w:rPr>
        <w:t xml:space="preserve"> </w:t>
      </w:r>
      <w:r w:rsidR="00AD6987" w:rsidRPr="008D3C26">
        <w:rPr>
          <w:rFonts w:ascii="Times New Roman" w:hAnsi="Times New Roman" w:cs="Times New Roman"/>
          <w:sz w:val="24"/>
          <w:szCs w:val="24"/>
        </w:rPr>
        <w:t>The AG has expanded audit of more institutions, however</w:t>
      </w:r>
      <w:r w:rsidR="00E868FA" w:rsidRPr="008D3C26">
        <w:rPr>
          <w:rFonts w:ascii="Times New Roman" w:hAnsi="Times New Roman" w:cs="Times New Roman"/>
          <w:sz w:val="24"/>
          <w:szCs w:val="24"/>
        </w:rPr>
        <w:t>,</w:t>
      </w:r>
      <w:r w:rsidR="00AD6987" w:rsidRPr="008D3C26">
        <w:rPr>
          <w:rFonts w:ascii="Times New Roman" w:hAnsi="Times New Roman" w:cs="Times New Roman"/>
          <w:sz w:val="24"/>
          <w:szCs w:val="24"/>
        </w:rPr>
        <w:t xml:space="preserve"> they cannot afford the costs related to the obligations. </w:t>
      </w:r>
    </w:p>
    <w:p w14:paraId="61B312E3" w14:textId="77777777" w:rsidR="00BF10E2" w:rsidRPr="008D3C26" w:rsidRDefault="00BF10E2" w:rsidP="00BF10E2">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It was concerning that there were uncertainties relating to the amount of the outflow in respect of claims for the possible pension liability of R113.120 million for TVET college employees as calculated by actuarial valuators.</w:t>
      </w:r>
    </w:p>
    <w:p w14:paraId="2DE879D7" w14:textId="77777777" w:rsidR="00561DD1" w:rsidRPr="008D3C26" w:rsidRDefault="0027535A" w:rsidP="009D7B6E">
      <w:pPr>
        <w:pStyle w:val="ListParagraph"/>
        <w:numPr>
          <w:ilvl w:val="2"/>
          <w:numId w:val="30"/>
        </w:numPr>
        <w:rPr>
          <w:rFonts w:ascii="Times New Roman" w:hAnsi="Times New Roman" w:cs="Times New Roman"/>
          <w:sz w:val="24"/>
          <w:szCs w:val="24"/>
        </w:rPr>
      </w:pPr>
      <w:r w:rsidRPr="008D3C26">
        <w:rPr>
          <w:rFonts w:ascii="Times New Roman" w:hAnsi="Times New Roman" w:cs="Times New Roman"/>
          <w:sz w:val="24"/>
          <w:szCs w:val="24"/>
        </w:rPr>
        <w:t>The Committee was concerned about the c</w:t>
      </w:r>
      <w:r w:rsidRPr="008D3C26">
        <w:rPr>
          <w:rFonts w:ascii="Times New Roman" w:hAnsi="Times New Roman" w:cs="Times New Roman"/>
          <w:bCs/>
          <w:sz w:val="24"/>
          <w:szCs w:val="24"/>
        </w:rPr>
        <w:t>onflicting reported performance information by the Department and the Auditor-General for the targets related to work-based learning opportunities and payment of creditors.</w:t>
      </w:r>
      <w:r w:rsidRPr="008D3C26">
        <w:rPr>
          <w:rFonts w:ascii="Times New Roman" w:hAnsi="Times New Roman" w:cs="Times New Roman"/>
          <w:sz w:val="24"/>
          <w:szCs w:val="24"/>
        </w:rPr>
        <w:t xml:space="preserve"> </w:t>
      </w:r>
      <w:r w:rsidR="00561DD1" w:rsidRPr="008D3C26">
        <w:rPr>
          <w:rFonts w:ascii="Times New Roman" w:hAnsi="Times New Roman" w:cs="Times New Roman"/>
          <w:sz w:val="24"/>
          <w:szCs w:val="24"/>
        </w:rPr>
        <w:t>The Department indicated that the capturing of the number of students trained by SETAs was done manually, and there had been errors in the capturing process. However, going forward this would be corrected.</w:t>
      </w:r>
    </w:p>
    <w:p w14:paraId="4A96EBBF" w14:textId="77777777" w:rsidR="00561DD1" w:rsidRPr="008D3C26" w:rsidRDefault="00561DD1" w:rsidP="009D7B6E">
      <w:pPr>
        <w:pStyle w:val="ListParagraph"/>
        <w:numPr>
          <w:ilvl w:val="2"/>
          <w:numId w:val="30"/>
        </w:numPr>
        <w:rPr>
          <w:rFonts w:ascii="Times New Roman" w:hAnsi="Times New Roman" w:cs="Times New Roman"/>
          <w:b/>
          <w:sz w:val="24"/>
          <w:szCs w:val="24"/>
        </w:rPr>
      </w:pPr>
      <w:r w:rsidRPr="008D3C26">
        <w:rPr>
          <w:rFonts w:ascii="Times New Roman" w:hAnsi="Times New Roman" w:cs="Times New Roman"/>
          <w:sz w:val="24"/>
          <w:szCs w:val="24"/>
        </w:rPr>
        <w:t xml:space="preserve">There were </w:t>
      </w:r>
      <w:r w:rsidR="00FA1CB0" w:rsidRPr="008D3C26">
        <w:rPr>
          <w:rFonts w:ascii="Times New Roman" w:hAnsi="Times New Roman" w:cs="Times New Roman"/>
          <w:sz w:val="24"/>
          <w:szCs w:val="24"/>
        </w:rPr>
        <w:t>repeat</w:t>
      </w:r>
      <w:r w:rsidRPr="008D3C26">
        <w:rPr>
          <w:rFonts w:ascii="Times New Roman" w:hAnsi="Times New Roman" w:cs="Times New Roman"/>
          <w:sz w:val="24"/>
          <w:szCs w:val="24"/>
        </w:rPr>
        <w:t xml:space="preserve"> </w:t>
      </w:r>
      <w:r w:rsidR="0053417D" w:rsidRPr="008D3C26">
        <w:rPr>
          <w:rFonts w:ascii="Times New Roman" w:hAnsi="Times New Roman" w:cs="Times New Roman"/>
          <w:sz w:val="24"/>
          <w:szCs w:val="24"/>
        </w:rPr>
        <w:t>findings,</w:t>
      </w:r>
      <w:r w:rsidR="00B61891" w:rsidRPr="008D3C26">
        <w:rPr>
          <w:rFonts w:ascii="Times New Roman" w:hAnsi="Times New Roman" w:cs="Times New Roman"/>
          <w:sz w:val="24"/>
          <w:szCs w:val="24"/>
        </w:rPr>
        <w:t xml:space="preserve"> such as non-compliance with laws and regulations</w:t>
      </w:r>
      <w:r w:rsidRPr="008D3C26">
        <w:rPr>
          <w:rFonts w:ascii="Times New Roman" w:hAnsi="Times New Roman" w:cs="Times New Roman"/>
          <w:sz w:val="24"/>
          <w:szCs w:val="24"/>
        </w:rPr>
        <w:t xml:space="preserve"> </w:t>
      </w:r>
      <w:r w:rsidR="00FA1CB0" w:rsidRPr="008D3C26">
        <w:rPr>
          <w:rFonts w:ascii="Times New Roman" w:hAnsi="Times New Roman" w:cs="Times New Roman"/>
          <w:sz w:val="24"/>
          <w:szCs w:val="24"/>
        </w:rPr>
        <w:t>in the</w:t>
      </w:r>
      <w:r w:rsidR="00B61891" w:rsidRPr="008D3C26">
        <w:rPr>
          <w:rFonts w:ascii="Times New Roman" w:hAnsi="Times New Roman" w:cs="Times New Roman"/>
          <w:sz w:val="24"/>
          <w:szCs w:val="24"/>
        </w:rPr>
        <w:t xml:space="preserve"> procur</w:t>
      </w:r>
      <w:r w:rsidR="00FA1CB0" w:rsidRPr="008D3C26">
        <w:rPr>
          <w:rFonts w:ascii="Times New Roman" w:hAnsi="Times New Roman" w:cs="Times New Roman"/>
          <w:sz w:val="24"/>
          <w:szCs w:val="24"/>
        </w:rPr>
        <w:t xml:space="preserve">ement </w:t>
      </w:r>
      <w:r w:rsidR="00B61891" w:rsidRPr="008D3C26">
        <w:rPr>
          <w:rFonts w:ascii="Times New Roman" w:hAnsi="Times New Roman" w:cs="Times New Roman"/>
          <w:sz w:val="24"/>
          <w:szCs w:val="24"/>
        </w:rPr>
        <w:t>goods and services</w:t>
      </w:r>
      <w:r w:rsidR="00FA1CB0" w:rsidRPr="008D3C26">
        <w:rPr>
          <w:rFonts w:ascii="Times New Roman" w:hAnsi="Times New Roman" w:cs="Times New Roman"/>
          <w:sz w:val="24"/>
          <w:szCs w:val="24"/>
        </w:rPr>
        <w:t xml:space="preserve">, </w:t>
      </w:r>
      <w:r w:rsidR="00176896" w:rsidRPr="008D3C26">
        <w:rPr>
          <w:rFonts w:ascii="Times New Roman" w:hAnsi="Times New Roman" w:cs="Times New Roman"/>
          <w:sz w:val="24"/>
          <w:szCs w:val="24"/>
        </w:rPr>
        <w:t>the Department leadership not having sufficient monitoring controls over financial and performance management due to inadequate consequences in the 2016/17 financial year</w:t>
      </w:r>
      <w:r w:rsidRPr="008D3C26">
        <w:rPr>
          <w:rFonts w:ascii="Times New Roman" w:hAnsi="Times New Roman" w:cs="Times New Roman"/>
          <w:sz w:val="24"/>
          <w:szCs w:val="24"/>
        </w:rPr>
        <w:t xml:space="preserve">, which the Department did not adequately address as highlighted by the AGSA. The Department indicated that its 2016/17 audit outcome had improved, and it did not have any material adjustment on financial statements. Furthermore, the capacity of the finance unit had been increased. </w:t>
      </w:r>
    </w:p>
    <w:p w14:paraId="1ADED289" w14:textId="77777777" w:rsidR="00273A52" w:rsidRPr="008D3C26" w:rsidRDefault="00273A52" w:rsidP="009D7B6E">
      <w:pPr>
        <w:pStyle w:val="ListParagraph"/>
        <w:numPr>
          <w:ilvl w:val="2"/>
          <w:numId w:val="30"/>
        </w:numPr>
        <w:rPr>
          <w:rFonts w:ascii="Times New Roman" w:hAnsi="Times New Roman" w:cs="Times New Roman"/>
          <w:b/>
          <w:sz w:val="24"/>
          <w:szCs w:val="24"/>
        </w:rPr>
      </w:pPr>
      <w:r w:rsidRPr="008D3C26">
        <w:rPr>
          <w:rFonts w:ascii="Times New Roman" w:hAnsi="Times New Roman" w:cs="Times New Roman"/>
          <w:sz w:val="24"/>
          <w:szCs w:val="24"/>
        </w:rPr>
        <w:t xml:space="preserve">Non-compliance by some universities and TVET Colleges in submitting their annual financial statements as required was noted with concern. </w:t>
      </w:r>
    </w:p>
    <w:p w14:paraId="713F8491" w14:textId="77777777" w:rsidR="00A25988" w:rsidRPr="008D3C26" w:rsidRDefault="00EA7CB4" w:rsidP="00B11BEA">
      <w:pPr>
        <w:pStyle w:val="ListParagraph"/>
        <w:numPr>
          <w:ilvl w:val="2"/>
          <w:numId w:val="30"/>
        </w:numPr>
        <w:rPr>
          <w:rFonts w:ascii="Times New Roman" w:hAnsi="Times New Roman" w:cs="Times New Roman"/>
          <w:b/>
          <w:sz w:val="24"/>
          <w:szCs w:val="24"/>
        </w:rPr>
      </w:pPr>
      <w:r w:rsidRPr="008D3C26">
        <w:rPr>
          <w:rFonts w:ascii="Times New Roman" w:hAnsi="Times New Roman" w:cs="Times New Roman"/>
          <w:sz w:val="24"/>
          <w:szCs w:val="24"/>
        </w:rPr>
        <w:t xml:space="preserve">The Committee expressed concerns about the inability of NSFAS to recover loans from the </w:t>
      </w:r>
      <w:r w:rsidR="0053417D" w:rsidRPr="008D3C26">
        <w:rPr>
          <w:rFonts w:ascii="Times New Roman" w:hAnsi="Times New Roman" w:cs="Times New Roman"/>
          <w:sz w:val="24"/>
          <w:szCs w:val="24"/>
        </w:rPr>
        <w:t>beneficiaries</w:t>
      </w:r>
      <w:r w:rsidRPr="008D3C26">
        <w:rPr>
          <w:rFonts w:ascii="Times New Roman" w:hAnsi="Times New Roman" w:cs="Times New Roman"/>
          <w:sz w:val="24"/>
          <w:szCs w:val="24"/>
        </w:rPr>
        <w:t xml:space="preserve"> who benefited from the financial assistance from NSFAS</w:t>
      </w:r>
      <w:r w:rsidR="00E86DD5" w:rsidRPr="008D3C26">
        <w:rPr>
          <w:rFonts w:ascii="Times New Roman" w:hAnsi="Times New Roman" w:cs="Times New Roman"/>
          <w:sz w:val="24"/>
          <w:szCs w:val="24"/>
        </w:rPr>
        <w:t>.</w:t>
      </w:r>
      <w:r w:rsidR="00FD1755" w:rsidRPr="008D3C26">
        <w:rPr>
          <w:rFonts w:ascii="Times New Roman" w:hAnsi="Times New Roman" w:cs="Times New Roman"/>
          <w:sz w:val="24"/>
          <w:szCs w:val="24"/>
        </w:rPr>
        <w:t xml:space="preserve"> </w:t>
      </w:r>
    </w:p>
    <w:p w14:paraId="2CCDB4B9" w14:textId="77777777" w:rsidR="00A20151" w:rsidRPr="008D3C26" w:rsidRDefault="00DE6A14" w:rsidP="00DE6A14">
      <w:pPr>
        <w:rPr>
          <w:rFonts w:ascii="Times New Roman" w:hAnsi="Times New Roman" w:cs="Times New Roman"/>
          <w:b/>
          <w:sz w:val="24"/>
          <w:szCs w:val="24"/>
        </w:rPr>
      </w:pPr>
      <w:r w:rsidRPr="008D3C26">
        <w:rPr>
          <w:rFonts w:ascii="Times New Roman" w:hAnsi="Times New Roman" w:cs="Times New Roman"/>
          <w:b/>
          <w:sz w:val="24"/>
          <w:szCs w:val="24"/>
        </w:rPr>
        <w:t xml:space="preserve">6.2. </w:t>
      </w:r>
      <w:r w:rsidR="00A20151" w:rsidRPr="008D3C26">
        <w:rPr>
          <w:rFonts w:ascii="Times New Roman" w:hAnsi="Times New Roman" w:cs="Times New Roman"/>
          <w:b/>
          <w:sz w:val="24"/>
          <w:szCs w:val="24"/>
        </w:rPr>
        <w:t>Additional observation</w:t>
      </w:r>
      <w:r w:rsidR="00A84BE0" w:rsidRPr="008D3C26">
        <w:rPr>
          <w:rFonts w:ascii="Times New Roman" w:hAnsi="Times New Roman" w:cs="Times New Roman"/>
          <w:b/>
          <w:sz w:val="24"/>
          <w:szCs w:val="24"/>
        </w:rPr>
        <w:t>s</w:t>
      </w:r>
      <w:r w:rsidR="00A20151" w:rsidRPr="008D3C26">
        <w:rPr>
          <w:rFonts w:ascii="Times New Roman" w:hAnsi="Times New Roman" w:cs="Times New Roman"/>
          <w:b/>
          <w:sz w:val="24"/>
          <w:szCs w:val="24"/>
        </w:rPr>
        <w:t xml:space="preserve"> for the TVET sector underfunding</w:t>
      </w:r>
    </w:p>
    <w:p w14:paraId="6A9AF565" w14:textId="77777777" w:rsidR="00DE6A14" w:rsidRPr="008D3C26" w:rsidRDefault="00DE6A14" w:rsidP="00DE6A14">
      <w:pPr>
        <w:rPr>
          <w:rFonts w:ascii="Times New Roman" w:hAnsi="Times New Roman" w:cs="Times New Roman"/>
          <w:sz w:val="24"/>
          <w:szCs w:val="24"/>
        </w:rPr>
      </w:pPr>
      <w:r w:rsidRPr="008D3C26">
        <w:rPr>
          <w:rFonts w:ascii="Times New Roman" w:hAnsi="Times New Roman" w:cs="Times New Roman"/>
          <w:sz w:val="24"/>
          <w:szCs w:val="24"/>
        </w:rPr>
        <w:t>The National Development Plan states that to reduce the acute effects of poverty on millions of South Africans over the short term, quality of education in Technical and Vocational Education and Training Colleges should improve. It further states that transforming the economy and creating sustainable economic growth, expanded skills base through better education and vocational training is vital. The NDP has identified the TVET Colleges as a high-level priority in the economic growth and overall development of the country. It stresses the need to raise the quality of TVET Colleges, through provision of relevant courses. It argues that improved quality will increase employability of graduates and this will automatically increase the demand for TVET services.</w:t>
      </w:r>
    </w:p>
    <w:p w14:paraId="55C51BE0" w14:textId="77777777" w:rsidR="00DE6A14" w:rsidRPr="008D3C26" w:rsidRDefault="00DE6A14" w:rsidP="00DE6A14">
      <w:pPr>
        <w:rPr>
          <w:rFonts w:ascii="Times New Roman" w:hAnsi="Times New Roman" w:cs="Times New Roman"/>
          <w:sz w:val="24"/>
          <w:szCs w:val="24"/>
        </w:rPr>
      </w:pPr>
      <w:r w:rsidRPr="008D3C26">
        <w:rPr>
          <w:rFonts w:ascii="Times New Roman" w:hAnsi="Times New Roman" w:cs="Times New Roman"/>
          <w:sz w:val="24"/>
          <w:szCs w:val="24"/>
        </w:rPr>
        <w:t xml:space="preserve">The TVET sector as part of the PSET system is expected to respond to the skills needs of all sectors of society, including business, industry and government. The NDP has noted that the TVET Colleges are the backbone of the technical and vocational education and training, and they should be strengthened to become institutions of choice for training of artisans and producing other mid-level skills. The Department of Higher Education and Training, through its White Paper for Post-School Education and Training aimed to strengthen and expand the TVET College sector to make them institutions of choice for school leavers. </w:t>
      </w:r>
    </w:p>
    <w:p w14:paraId="05CB47B4" w14:textId="77777777" w:rsidR="00DE6A14" w:rsidRPr="008D3C26" w:rsidRDefault="00DE6A14" w:rsidP="00DE6A14">
      <w:pPr>
        <w:rPr>
          <w:rFonts w:ascii="Times New Roman" w:hAnsi="Times New Roman" w:cs="Times New Roman"/>
          <w:sz w:val="24"/>
          <w:szCs w:val="24"/>
        </w:rPr>
      </w:pPr>
      <w:r w:rsidRPr="008D3C26">
        <w:rPr>
          <w:rFonts w:ascii="Times New Roman" w:hAnsi="Times New Roman" w:cs="Times New Roman"/>
          <w:sz w:val="24"/>
          <w:szCs w:val="24"/>
        </w:rPr>
        <w:t xml:space="preserve">The PSET system is currently characterised as an “inverted pyramid” with the university sector being the largest with enrolment totalling 980 900 as per the 2016/17 annual report of the Department. The TVET sector enrolment has been </w:t>
      </w:r>
      <w:r w:rsidR="00472824" w:rsidRPr="008D3C26">
        <w:rPr>
          <w:rFonts w:ascii="Times New Roman" w:hAnsi="Times New Roman" w:cs="Times New Roman"/>
          <w:sz w:val="24"/>
          <w:szCs w:val="24"/>
        </w:rPr>
        <w:t>increasing</w:t>
      </w:r>
      <w:r w:rsidR="00010EE3" w:rsidRPr="008D3C26">
        <w:rPr>
          <w:rFonts w:ascii="Times New Roman" w:hAnsi="Times New Roman" w:cs="Times New Roman"/>
          <w:sz w:val="24"/>
          <w:szCs w:val="24"/>
        </w:rPr>
        <w:t>,</w:t>
      </w:r>
      <w:r w:rsidR="00472824"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but stagnated </w:t>
      </w:r>
      <w:r w:rsidR="00472824" w:rsidRPr="008D3C26">
        <w:rPr>
          <w:rFonts w:ascii="Times New Roman" w:hAnsi="Times New Roman" w:cs="Times New Roman"/>
          <w:sz w:val="24"/>
          <w:szCs w:val="24"/>
        </w:rPr>
        <w:t xml:space="preserve">from 2014/15 </w:t>
      </w:r>
      <w:r w:rsidRPr="008D3C26">
        <w:rPr>
          <w:rFonts w:ascii="Times New Roman" w:hAnsi="Times New Roman" w:cs="Times New Roman"/>
          <w:sz w:val="24"/>
          <w:szCs w:val="24"/>
        </w:rPr>
        <w:t>due to financial constraints, which resulted in the annual enrolment targets not been achieved. Consequently, the enrolment targets have been capped at 710 535 for the remainder of the 2014 -2019 MTSF. This would mean that government’s commitment to have 1.23 million set</w:t>
      </w:r>
      <w:r w:rsidR="00010EE3" w:rsidRPr="008D3C26">
        <w:rPr>
          <w:rFonts w:ascii="Times New Roman" w:hAnsi="Times New Roman" w:cs="Times New Roman"/>
          <w:sz w:val="24"/>
          <w:szCs w:val="24"/>
        </w:rPr>
        <w:t>s</w:t>
      </w:r>
      <w:r w:rsidRPr="008D3C26">
        <w:rPr>
          <w:rFonts w:ascii="Times New Roman" w:hAnsi="Times New Roman" w:cs="Times New Roman"/>
          <w:sz w:val="24"/>
          <w:szCs w:val="24"/>
        </w:rPr>
        <w:t xml:space="preserve"> for this MTSF would be not be achieved. </w:t>
      </w:r>
    </w:p>
    <w:p w14:paraId="628A8A5F" w14:textId="77777777" w:rsidR="00DE6A14" w:rsidRPr="008D3C26" w:rsidRDefault="00DE6A14" w:rsidP="00DE6A14">
      <w:pPr>
        <w:rPr>
          <w:rFonts w:ascii="Times New Roman" w:hAnsi="Times New Roman" w:cs="Times New Roman"/>
          <w:sz w:val="24"/>
          <w:szCs w:val="24"/>
        </w:rPr>
      </w:pPr>
      <w:r w:rsidRPr="008D3C26">
        <w:rPr>
          <w:rFonts w:ascii="Times New Roman" w:hAnsi="Times New Roman" w:cs="Times New Roman"/>
          <w:sz w:val="24"/>
          <w:szCs w:val="24"/>
        </w:rPr>
        <w:t>The White Paper set</w:t>
      </w:r>
      <w:r w:rsidR="00010EE3" w:rsidRPr="008D3C26">
        <w:rPr>
          <w:rFonts w:ascii="Times New Roman" w:hAnsi="Times New Roman" w:cs="Times New Roman"/>
          <w:sz w:val="24"/>
          <w:szCs w:val="24"/>
        </w:rPr>
        <w:t>s</w:t>
      </w:r>
      <w:r w:rsidRPr="008D3C26">
        <w:rPr>
          <w:rFonts w:ascii="Times New Roman" w:hAnsi="Times New Roman" w:cs="Times New Roman"/>
          <w:sz w:val="24"/>
          <w:szCs w:val="24"/>
        </w:rPr>
        <w:t xml:space="preserve"> to increase TVET headcount enrolment to 2.5 million in 2030 so as to change the current size and shape of the PSET system. In 2014, government made the following commitments for the TVET sector:</w:t>
      </w:r>
    </w:p>
    <w:p w14:paraId="77EB5160" w14:textId="77777777" w:rsidR="00DE6A14" w:rsidRPr="008D3C26" w:rsidRDefault="00DE6A14" w:rsidP="00DE6A14">
      <w:pPr>
        <w:pStyle w:val="ListParagraph"/>
        <w:numPr>
          <w:ilvl w:val="0"/>
          <w:numId w:val="14"/>
        </w:numPr>
        <w:rPr>
          <w:rFonts w:ascii="Times New Roman" w:hAnsi="Times New Roman" w:cs="Times New Roman"/>
          <w:sz w:val="24"/>
          <w:szCs w:val="24"/>
        </w:rPr>
      </w:pPr>
      <w:r w:rsidRPr="008D3C26">
        <w:rPr>
          <w:rFonts w:ascii="Times New Roman" w:hAnsi="Times New Roman" w:cs="Times New Roman"/>
          <w:sz w:val="24"/>
          <w:szCs w:val="24"/>
        </w:rPr>
        <w:t xml:space="preserve">To increase </w:t>
      </w:r>
      <w:r w:rsidR="00312394" w:rsidRPr="008D3C26">
        <w:rPr>
          <w:rFonts w:ascii="Times New Roman" w:hAnsi="Times New Roman" w:cs="Times New Roman"/>
          <w:sz w:val="24"/>
          <w:szCs w:val="24"/>
        </w:rPr>
        <w:t xml:space="preserve">headcount </w:t>
      </w:r>
      <w:r w:rsidRPr="008D3C26">
        <w:rPr>
          <w:rFonts w:ascii="Times New Roman" w:hAnsi="Times New Roman" w:cs="Times New Roman"/>
          <w:sz w:val="24"/>
          <w:szCs w:val="24"/>
        </w:rPr>
        <w:t>enrolment from 670 455 in 2013 to 1.238 million in 2019.</w:t>
      </w:r>
    </w:p>
    <w:p w14:paraId="199DBB2D" w14:textId="77777777" w:rsidR="00DE6A14" w:rsidRPr="008D3C26" w:rsidRDefault="00DE6A14" w:rsidP="00DE6A14">
      <w:pPr>
        <w:pStyle w:val="ListParagraph"/>
        <w:numPr>
          <w:ilvl w:val="0"/>
          <w:numId w:val="14"/>
        </w:numPr>
        <w:rPr>
          <w:rFonts w:ascii="Times New Roman" w:hAnsi="Times New Roman" w:cs="Times New Roman"/>
          <w:sz w:val="24"/>
          <w:szCs w:val="24"/>
        </w:rPr>
      </w:pPr>
      <w:r w:rsidRPr="008D3C26">
        <w:rPr>
          <w:rFonts w:ascii="Times New Roman" w:hAnsi="Times New Roman" w:cs="Times New Roman"/>
          <w:sz w:val="24"/>
          <w:szCs w:val="24"/>
        </w:rPr>
        <w:t>To ensure more students have access to post-school education and training by building 12 new TVET College campuses.</w:t>
      </w:r>
    </w:p>
    <w:p w14:paraId="53226505" w14:textId="77777777" w:rsidR="00DE6A14" w:rsidRPr="008D3C26" w:rsidRDefault="00DE6A14" w:rsidP="00DE6A14">
      <w:pPr>
        <w:pStyle w:val="ListParagraph"/>
        <w:numPr>
          <w:ilvl w:val="0"/>
          <w:numId w:val="14"/>
        </w:numPr>
        <w:rPr>
          <w:rFonts w:ascii="Times New Roman" w:hAnsi="Times New Roman" w:cs="Times New Roman"/>
          <w:sz w:val="24"/>
          <w:szCs w:val="24"/>
        </w:rPr>
      </w:pPr>
      <w:r w:rsidRPr="008D3C26">
        <w:rPr>
          <w:rFonts w:ascii="Times New Roman" w:hAnsi="Times New Roman" w:cs="Times New Roman"/>
          <w:sz w:val="24"/>
          <w:szCs w:val="24"/>
        </w:rPr>
        <w:t xml:space="preserve">30 percent of TVET college lecturers should have </w:t>
      </w:r>
      <w:r w:rsidR="0022550F" w:rsidRPr="008D3C26">
        <w:rPr>
          <w:rFonts w:ascii="Times New Roman" w:hAnsi="Times New Roman" w:cs="Times New Roman"/>
          <w:sz w:val="24"/>
          <w:szCs w:val="24"/>
        </w:rPr>
        <w:t>workplace</w:t>
      </w:r>
      <w:r w:rsidRPr="008D3C26">
        <w:rPr>
          <w:rFonts w:ascii="Times New Roman" w:hAnsi="Times New Roman" w:cs="Times New Roman"/>
          <w:sz w:val="24"/>
          <w:szCs w:val="24"/>
        </w:rPr>
        <w:t xml:space="preserve"> exposure every year by 2019.</w:t>
      </w:r>
    </w:p>
    <w:p w14:paraId="698A4914" w14:textId="77777777" w:rsidR="00DE6A14" w:rsidRPr="008D3C26" w:rsidRDefault="00DE6A14" w:rsidP="00DE6A14">
      <w:pPr>
        <w:pStyle w:val="ListParagraph"/>
        <w:numPr>
          <w:ilvl w:val="0"/>
          <w:numId w:val="14"/>
        </w:numPr>
        <w:rPr>
          <w:rFonts w:ascii="Times New Roman" w:hAnsi="Times New Roman" w:cs="Times New Roman"/>
          <w:sz w:val="24"/>
          <w:szCs w:val="24"/>
        </w:rPr>
      </w:pPr>
      <w:r w:rsidRPr="008D3C26">
        <w:rPr>
          <w:rFonts w:ascii="Times New Roman" w:hAnsi="Times New Roman" w:cs="Times New Roman"/>
          <w:sz w:val="24"/>
          <w:szCs w:val="24"/>
        </w:rPr>
        <w:t xml:space="preserve">To have 5 000 additional beds for student accommodation in public TVET Colleges by 2019, </w:t>
      </w:r>
      <w:r w:rsidR="00010EE3" w:rsidRPr="008D3C26">
        <w:rPr>
          <w:rFonts w:ascii="Times New Roman" w:hAnsi="Times New Roman" w:cs="Times New Roman"/>
          <w:sz w:val="24"/>
          <w:szCs w:val="24"/>
        </w:rPr>
        <w:t xml:space="preserve">and </w:t>
      </w:r>
      <w:r w:rsidRPr="008D3C26">
        <w:rPr>
          <w:rFonts w:ascii="Times New Roman" w:hAnsi="Times New Roman" w:cs="Times New Roman"/>
          <w:sz w:val="24"/>
          <w:szCs w:val="24"/>
        </w:rPr>
        <w:t>5 000 student</w:t>
      </w:r>
      <w:r w:rsidR="00010EE3" w:rsidRPr="008D3C26">
        <w:rPr>
          <w:rFonts w:ascii="Times New Roman" w:hAnsi="Times New Roman" w:cs="Times New Roman"/>
          <w:sz w:val="24"/>
          <w:szCs w:val="24"/>
        </w:rPr>
        <w:t>s</w:t>
      </w:r>
      <w:r w:rsidRPr="008D3C26">
        <w:rPr>
          <w:rFonts w:ascii="Times New Roman" w:hAnsi="Times New Roman" w:cs="Times New Roman"/>
          <w:sz w:val="24"/>
          <w:szCs w:val="24"/>
        </w:rPr>
        <w:t xml:space="preserve"> entering Foundation programmes. </w:t>
      </w:r>
    </w:p>
    <w:p w14:paraId="7922836A" w14:textId="77777777" w:rsidR="00DE6A14" w:rsidRPr="008D3C26" w:rsidRDefault="00DE6A14" w:rsidP="00DE6A14">
      <w:pPr>
        <w:rPr>
          <w:rFonts w:ascii="Times New Roman" w:hAnsi="Times New Roman" w:cs="Times New Roman"/>
          <w:sz w:val="24"/>
          <w:szCs w:val="24"/>
        </w:rPr>
      </w:pPr>
      <w:r w:rsidRPr="008D3C26">
        <w:rPr>
          <w:rFonts w:ascii="Times New Roman" w:hAnsi="Times New Roman" w:cs="Times New Roman"/>
          <w:sz w:val="24"/>
          <w:szCs w:val="24"/>
        </w:rPr>
        <w:t>The University sector receive</w:t>
      </w:r>
      <w:r w:rsidR="00010EE3" w:rsidRPr="008D3C26">
        <w:rPr>
          <w:rFonts w:ascii="Times New Roman" w:hAnsi="Times New Roman" w:cs="Times New Roman"/>
          <w:sz w:val="24"/>
          <w:szCs w:val="24"/>
        </w:rPr>
        <w:t>s</w:t>
      </w:r>
      <w:r w:rsidRPr="008D3C26">
        <w:rPr>
          <w:rFonts w:ascii="Times New Roman" w:hAnsi="Times New Roman" w:cs="Times New Roman"/>
          <w:sz w:val="24"/>
          <w:szCs w:val="24"/>
        </w:rPr>
        <w:t xml:space="preserve"> funding in the form of University Capacity and Development Grants, Historically Disadvantaged Institution Grants, Teacher Development Grants, Foundation Programmes Grants, Infrastructure Efficiency Grants. These provisions of funding to improve access and success are not provided for in the TVET sector </w:t>
      </w:r>
    </w:p>
    <w:p w14:paraId="3C188314" w14:textId="77777777" w:rsidR="00DE6A14" w:rsidRPr="008D3C26" w:rsidRDefault="00DE6A14" w:rsidP="00DE6A14">
      <w:pPr>
        <w:rPr>
          <w:rFonts w:ascii="Times New Roman" w:hAnsi="Times New Roman" w:cs="Times New Roman"/>
          <w:sz w:val="24"/>
          <w:szCs w:val="24"/>
        </w:rPr>
      </w:pPr>
      <w:r w:rsidRPr="008D3C26">
        <w:rPr>
          <w:rFonts w:ascii="Times New Roman" w:hAnsi="Times New Roman" w:cs="Times New Roman"/>
          <w:sz w:val="24"/>
          <w:szCs w:val="24"/>
        </w:rPr>
        <w:t xml:space="preserve">Notwithstanding the pivotal role that the TVET sector has to play </w:t>
      </w:r>
      <w:r w:rsidR="00472824" w:rsidRPr="008D3C26">
        <w:rPr>
          <w:rFonts w:ascii="Times New Roman" w:hAnsi="Times New Roman" w:cs="Times New Roman"/>
          <w:sz w:val="24"/>
          <w:szCs w:val="24"/>
        </w:rPr>
        <w:t>in</w:t>
      </w:r>
      <w:r w:rsidRPr="008D3C26">
        <w:rPr>
          <w:rFonts w:ascii="Times New Roman" w:hAnsi="Times New Roman" w:cs="Times New Roman"/>
          <w:sz w:val="24"/>
          <w:szCs w:val="24"/>
        </w:rPr>
        <w:t xml:space="preserve"> accelerating skills development, the funding allocations to the sector has not been commensurate to the mandate. Also, the historical legacies have not been taken into consideration when allocating resources to the sector. In conducting oversight over the Department </w:t>
      </w:r>
      <w:r w:rsidR="00472824" w:rsidRPr="008D3C26">
        <w:rPr>
          <w:rFonts w:ascii="Times New Roman" w:hAnsi="Times New Roman" w:cs="Times New Roman"/>
          <w:sz w:val="24"/>
          <w:szCs w:val="24"/>
        </w:rPr>
        <w:t xml:space="preserve">the Committee </w:t>
      </w:r>
      <w:r w:rsidRPr="008D3C26">
        <w:rPr>
          <w:rFonts w:ascii="Times New Roman" w:hAnsi="Times New Roman" w:cs="Times New Roman"/>
          <w:sz w:val="24"/>
          <w:szCs w:val="24"/>
        </w:rPr>
        <w:t xml:space="preserve">observed that though the allocation to the </w:t>
      </w:r>
      <w:r w:rsidR="00472824" w:rsidRPr="008D3C26">
        <w:rPr>
          <w:rFonts w:ascii="Times New Roman" w:hAnsi="Times New Roman" w:cs="Times New Roman"/>
          <w:sz w:val="24"/>
          <w:szCs w:val="24"/>
        </w:rPr>
        <w:t>TVET programme</w:t>
      </w:r>
      <w:r w:rsidRPr="008D3C26">
        <w:rPr>
          <w:rFonts w:ascii="Times New Roman" w:hAnsi="Times New Roman" w:cs="Times New Roman"/>
          <w:sz w:val="24"/>
          <w:szCs w:val="24"/>
        </w:rPr>
        <w:t xml:space="preserve"> </w:t>
      </w:r>
      <w:r w:rsidR="00472824" w:rsidRPr="008D3C26">
        <w:rPr>
          <w:rFonts w:ascii="Times New Roman" w:hAnsi="Times New Roman" w:cs="Times New Roman"/>
          <w:sz w:val="24"/>
          <w:szCs w:val="24"/>
        </w:rPr>
        <w:t>has been</w:t>
      </w:r>
      <w:r w:rsidRPr="008D3C26">
        <w:rPr>
          <w:rFonts w:ascii="Times New Roman" w:hAnsi="Times New Roman" w:cs="Times New Roman"/>
          <w:sz w:val="24"/>
          <w:szCs w:val="24"/>
        </w:rPr>
        <w:t xml:space="preserve"> increasing in real terms, the increase was mainly to cover compensation of employee costs</w:t>
      </w:r>
      <w:r w:rsidR="00472824" w:rsidRPr="008D3C26">
        <w:rPr>
          <w:rFonts w:ascii="Times New Roman" w:hAnsi="Times New Roman" w:cs="Times New Roman"/>
          <w:sz w:val="24"/>
          <w:szCs w:val="24"/>
        </w:rPr>
        <w:t>, which was as a result o</w:t>
      </w:r>
      <w:r w:rsidRPr="008D3C26">
        <w:rPr>
          <w:rFonts w:ascii="Times New Roman" w:hAnsi="Times New Roman" w:cs="Times New Roman"/>
          <w:sz w:val="24"/>
          <w:szCs w:val="24"/>
        </w:rPr>
        <w:t>f</w:t>
      </w:r>
      <w:r w:rsidR="00010EE3" w:rsidRPr="008D3C26">
        <w:rPr>
          <w:rFonts w:ascii="Times New Roman" w:hAnsi="Times New Roman" w:cs="Times New Roman"/>
          <w:sz w:val="24"/>
          <w:szCs w:val="24"/>
        </w:rPr>
        <w:t xml:space="preserve"> the</w:t>
      </w:r>
      <w:r w:rsidRPr="008D3C26">
        <w:rPr>
          <w:rFonts w:ascii="Times New Roman" w:hAnsi="Times New Roman" w:cs="Times New Roman"/>
          <w:sz w:val="24"/>
          <w:szCs w:val="24"/>
        </w:rPr>
        <w:t xml:space="preserve"> TVET function shift. During the 2016/17 financial year, expenditure for compensation of employee costs constituted 75.49 per cent of the TVET programme budget, whilst transfer payment to TVET Colleges represented 22.05 per cent of the programme total budget. </w:t>
      </w:r>
      <w:r w:rsidR="00010EE3" w:rsidRPr="008D3C26">
        <w:rPr>
          <w:rFonts w:ascii="Times New Roman" w:hAnsi="Times New Roman" w:cs="Times New Roman"/>
          <w:sz w:val="24"/>
          <w:szCs w:val="24"/>
        </w:rPr>
        <w:t>A s</w:t>
      </w:r>
      <w:r w:rsidRPr="008D3C26">
        <w:rPr>
          <w:rFonts w:ascii="Times New Roman" w:hAnsi="Times New Roman" w:cs="Times New Roman"/>
          <w:sz w:val="24"/>
          <w:szCs w:val="24"/>
        </w:rPr>
        <w:t xml:space="preserve">imilar observation was made by the Committee in the 2017/18 budget allocation. Allocations for spending on compensation of employees constituted 79.78 per cent of the programme’s total budget, while transfer payment to TVET Colleges, reduced by 4.13 per cent from 22.05 per cent in 2016/17 to 17.97 per cent in 2017/18. </w:t>
      </w:r>
    </w:p>
    <w:p w14:paraId="13695CA0" w14:textId="77777777" w:rsidR="00DE6A14" w:rsidRPr="008D3C26" w:rsidRDefault="00DE6A14" w:rsidP="00DE6A14">
      <w:pPr>
        <w:rPr>
          <w:rFonts w:ascii="Times New Roman" w:hAnsi="Times New Roman" w:cs="Times New Roman"/>
          <w:sz w:val="24"/>
          <w:szCs w:val="24"/>
        </w:rPr>
      </w:pPr>
      <w:r w:rsidRPr="008D3C26">
        <w:rPr>
          <w:rFonts w:ascii="Times New Roman" w:hAnsi="Times New Roman" w:cs="Times New Roman"/>
          <w:sz w:val="24"/>
          <w:szCs w:val="24"/>
        </w:rPr>
        <w:t xml:space="preserve">While the NDP has noted that the TVET Colleges are the backbone of the technical and vocational education and training, and they should be strengthened to become institutions of choice for training of artisans and producing other mid-level skills, the inadequate funding hampers the realisation of this goal. The envisaged transformation of the economy and creation of sustainable economic growth and expanded skills base would be minimal if adequate resources are not availed to the sector to improve quality and strengthen them to become institutions of choice for training of artisans and producing other mid-level skills. </w:t>
      </w:r>
    </w:p>
    <w:p w14:paraId="4C132F1B" w14:textId="77777777" w:rsidR="00DE6A14" w:rsidRPr="008D3C26" w:rsidRDefault="00DE6A14" w:rsidP="00DE6A14">
      <w:pPr>
        <w:rPr>
          <w:rFonts w:ascii="Times New Roman" w:hAnsi="Times New Roman" w:cs="Times New Roman"/>
          <w:sz w:val="24"/>
          <w:szCs w:val="24"/>
        </w:rPr>
      </w:pPr>
      <w:r w:rsidRPr="008D3C26">
        <w:rPr>
          <w:rFonts w:ascii="Times New Roman" w:hAnsi="Times New Roman" w:cs="Times New Roman"/>
          <w:sz w:val="24"/>
          <w:szCs w:val="24"/>
        </w:rPr>
        <w:t>The Committee notes that though the performance of the Department increased by 5 per cent from 75 per cent in 2015/16 to 80 per cent in 2016/17 on the Departmental targets, the system targets related to the NDP/MTSF for the TVET and Community Education and Training has declined. Of concern is that the TVET sector has been underperforming over the years. For the 2016/17 financial year, the TVET sector did not meet the targets to have 829 000 headcount enrolment in the TVET Colleges, to have 30 per cent o</w:t>
      </w:r>
      <w:r w:rsidR="0022550F" w:rsidRPr="008D3C26">
        <w:rPr>
          <w:rFonts w:ascii="Times New Roman" w:hAnsi="Times New Roman" w:cs="Times New Roman"/>
          <w:sz w:val="24"/>
          <w:szCs w:val="24"/>
        </w:rPr>
        <w:t>f TVET college lecturers having workplace</w:t>
      </w:r>
      <w:r w:rsidRPr="008D3C26">
        <w:rPr>
          <w:rFonts w:ascii="Times New Roman" w:hAnsi="Times New Roman" w:cs="Times New Roman"/>
          <w:sz w:val="24"/>
          <w:szCs w:val="24"/>
        </w:rPr>
        <w:t xml:space="preserve"> exposure annually, to </w:t>
      </w:r>
      <w:r w:rsidR="00B75327" w:rsidRPr="008D3C26">
        <w:rPr>
          <w:rFonts w:ascii="Times New Roman" w:hAnsi="Times New Roman" w:cs="Times New Roman"/>
          <w:sz w:val="24"/>
          <w:szCs w:val="24"/>
        </w:rPr>
        <w:t xml:space="preserve">provide space for </w:t>
      </w:r>
      <w:r w:rsidRPr="008D3C26">
        <w:rPr>
          <w:rFonts w:ascii="Times New Roman" w:hAnsi="Times New Roman" w:cs="Times New Roman"/>
          <w:sz w:val="24"/>
          <w:szCs w:val="24"/>
        </w:rPr>
        <w:t xml:space="preserve">1 000 additional beds for student accommodation in public TVET Colleges, and to have 5 000 student entering Foundation programmes. </w:t>
      </w:r>
    </w:p>
    <w:p w14:paraId="1702F581" w14:textId="77777777" w:rsidR="00DE6A14" w:rsidRPr="008D3C26" w:rsidRDefault="00DD6A23" w:rsidP="00DE6A14">
      <w:pPr>
        <w:rPr>
          <w:rFonts w:ascii="Times New Roman" w:hAnsi="Times New Roman" w:cs="Times New Roman"/>
          <w:sz w:val="24"/>
          <w:szCs w:val="24"/>
        </w:rPr>
      </w:pPr>
      <w:r w:rsidRPr="008D3C26">
        <w:rPr>
          <w:rFonts w:ascii="Times New Roman" w:hAnsi="Times New Roman" w:cs="Times New Roman"/>
          <w:sz w:val="24"/>
          <w:szCs w:val="24"/>
        </w:rPr>
        <w:t>Furthermore,</w:t>
      </w:r>
      <w:r w:rsidR="00DE6A14" w:rsidRPr="008D3C26">
        <w:rPr>
          <w:rFonts w:ascii="Times New Roman" w:hAnsi="Times New Roman" w:cs="Times New Roman"/>
          <w:sz w:val="24"/>
          <w:szCs w:val="24"/>
        </w:rPr>
        <w:t xml:space="preserve"> the TVET sector does not </w:t>
      </w:r>
      <w:r w:rsidR="00472824" w:rsidRPr="008D3C26">
        <w:rPr>
          <w:rFonts w:ascii="Times New Roman" w:hAnsi="Times New Roman" w:cs="Times New Roman"/>
          <w:sz w:val="24"/>
          <w:szCs w:val="24"/>
        </w:rPr>
        <w:t xml:space="preserve">have </w:t>
      </w:r>
      <w:r w:rsidR="00010EE3" w:rsidRPr="008D3C26">
        <w:rPr>
          <w:rFonts w:ascii="Times New Roman" w:hAnsi="Times New Roman" w:cs="Times New Roman"/>
          <w:sz w:val="24"/>
          <w:szCs w:val="24"/>
        </w:rPr>
        <w:t xml:space="preserve">an </w:t>
      </w:r>
      <w:r w:rsidR="00DE6A14" w:rsidRPr="008D3C26">
        <w:rPr>
          <w:rFonts w:ascii="Times New Roman" w:hAnsi="Times New Roman" w:cs="Times New Roman"/>
          <w:sz w:val="24"/>
          <w:szCs w:val="24"/>
        </w:rPr>
        <w:t xml:space="preserve">information management system </w:t>
      </w:r>
      <w:r w:rsidRPr="008D3C26">
        <w:rPr>
          <w:rFonts w:ascii="Times New Roman" w:hAnsi="Times New Roman" w:cs="Times New Roman"/>
          <w:sz w:val="24"/>
          <w:szCs w:val="24"/>
        </w:rPr>
        <w:t xml:space="preserve">similar to </w:t>
      </w:r>
      <w:r w:rsidR="00DE6A14" w:rsidRPr="008D3C26">
        <w:rPr>
          <w:rFonts w:ascii="Times New Roman" w:hAnsi="Times New Roman" w:cs="Times New Roman"/>
          <w:sz w:val="24"/>
          <w:szCs w:val="24"/>
        </w:rPr>
        <w:t xml:space="preserve">the Higher Education Information Management System (HEMIS). This has impacted negatively on the Department as </w:t>
      </w:r>
      <w:r w:rsidR="00472824" w:rsidRPr="008D3C26">
        <w:rPr>
          <w:rFonts w:ascii="Times New Roman" w:hAnsi="Times New Roman" w:cs="Times New Roman"/>
          <w:sz w:val="24"/>
          <w:szCs w:val="24"/>
        </w:rPr>
        <w:t>it</w:t>
      </w:r>
      <w:r w:rsidR="00DE6A14" w:rsidRPr="008D3C26">
        <w:rPr>
          <w:rFonts w:ascii="Times New Roman" w:hAnsi="Times New Roman" w:cs="Times New Roman"/>
          <w:sz w:val="24"/>
          <w:szCs w:val="24"/>
        </w:rPr>
        <w:t xml:space="preserve"> rel</w:t>
      </w:r>
      <w:r w:rsidR="00472824" w:rsidRPr="008D3C26">
        <w:rPr>
          <w:rFonts w:ascii="Times New Roman" w:hAnsi="Times New Roman" w:cs="Times New Roman"/>
          <w:sz w:val="24"/>
          <w:szCs w:val="24"/>
        </w:rPr>
        <w:t>ie</w:t>
      </w:r>
      <w:r w:rsidRPr="008D3C26">
        <w:rPr>
          <w:rFonts w:ascii="Times New Roman" w:hAnsi="Times New Roman" w:cs="Times New Roman"/>
          <w:sz w:val="24"/>
          <w:szCs w:val="24"/>
        </w:rPr>
        <w:t>d</w:t>
      </w:r>
      <w:r w:rsidR="00DE6A14" w:rsidRPr="008D3C26">
        <w:rPr>
          <w:rFonts w:ascii="Times New Roman" w:hAnsi="Times New Roman" w:cs="Times New Roman"/>
          <w:sz w:val="24"/>
          <w:szCs w:val="24"/>
        </w:rPr>
        <w:t xml:space="preserve"> on the State Information Technology Agency (SITA) for</w:t>
      </w:r>
      <w:r w:rsidRPr="008D3C26">
        <w:rPr>
          <w:rFonts w:ascii="Times New Roman" w:hAnsi="Times New Roman" w:cs="Times New Roman"/>
          <w:sz w:val="24"/>
          <w:szCs w:val="24"/>
        </w:rPr>
        <w:t xml:space="preserve"> examination data management of both the CET and TVET sectors</w:t>
      </w:r>
      <w:r w:rsidR="00DE6A14" w:rsidRPr="008D3C26">
        <w:rPr>
          <w:rFonts w:ascii="Times New Roman" w:hAnsi="Times New Roman" w:cs="Times New Roman"/>
          <w:sz w:val="24"/>
          <w:szCs w:val="24"/>
        </w:rPr>
        <w:t xml:space="preserve">. The Committee also noted that a virement to the amount </w:t>
      </w:r>
      <w:r w:rsidR="00274170" w:rsidRPr="008D3C26">
        <w:rPr>
          <w:rFonts w:ascii="Times New Roman" w:hAnsi="Times New Roman" w:cs="Times New Roman"/>
          <w:sz w:val="24"/>
          <w:szCs w:val="24"/>
        </w:rPr>
        <w:t xml:space="preserve">of </w:t>
      </w:r>
      <w:r w:rsidR="00DE6A14" w:rsidRPr="008D3C26">
        <w:rPr>
          <w:rFonts w:ascii="Times New Roman" w:hAnsi="Times New Roman" w:cs="Times New Roman"/>
          <w:sz w:val="24"/>
          <w:szCs w:val="24"/>
        </w:rPr>
        <w:t xml:space="preserve">R71.378 million was affected from CET programme to TVET programme to defray examination and moderation related costs. The Committee reiterates that the funding constraints impact negatively on the following: </w:t>
      </w:r>
    </w:p>
    <w:p w14:paraId="67910F68" w14:textId="77777777" w:rsidR="00DE6A14" w:rsidRPr="008D3C26" w:rsidRDefault="00DE6A14" w:rsidP="00DE6A14">
      <w:pPr>
        <w:pStyle w:val="ListParagraph"/>
        <w:numPr>
          <w:ilvl w:val="0"/>
          <w:numId w:val="37"/>
        </w:numPr>
        <w:spacing w:after="200"/>
        <w:rPr>
          <w:rFonts w:ascii="Times New Roman" w:hAnsi="Times New Roman" w:cs="Times New Roman"/>
          <w:sz w:val="24"/>
          <w:szCs w:val="24"/>
        </w:rPr>
      </w:pPr>
      <w:r w:rsidRPr="008D3C26">
        <w:rPr>
          <w:rFonts w:ascii="Times New Roman" w:hAnsi="Times New Roman" w:cs="Times New Roman"/>
          <w:sz w:val="24"/>
          <w:szCs w:val="24"/>
        </w:rPr>
        <w:t>The ability of the TVET sector to respond to the skills needs of all sectors of society, including business, industry and government through increasing enrolment in line with the commitments of the NDP and White Paper for Post-School Education and Training to increase headcount enrolment at TVET Colleges to 1.25 million.</w:t>
      </w:r>
    </w:p>
    <w:p w14:paraId="4308F5CD" w14:textId="77777777" w:rsidR="00DE6A14" w:rsidRPr="008D3C26" w:rsidRDefault="00DE6A14" w:rsidP="00DE6A14">
      <w:pPr>
        <w:pStyle w:val="ListParagraph"/>
        <w:numPr>
          <w:ilvl w:val="0"/>
          <w:numId w:val="37"/>
        </w:numPr>
        <w:spacing w:after="200"/>
        <w:rPr>
          <w:rFonts w:ascii="Times New Roman" w:hAnsi="Times New Roman" w:cs="Times New Roman"/>
          <w:sz w:val="24"/>
          <w:szCs w:val="24"/>
        </w:rPr>
      </w:pPr>
      <w:r w:rsidRPr="008D3C26">
        <w:rPr>
          <w:rFonts w:ascii="Times New Roman" w:hAnsi="Times New Roman" w:cs="Times New Roman"/>
          <w:sz w:val="24"/>
          <w:szCs w:val="24"/>
        </w:rPr>
        <w:t xml:space="preserve">The envisaged transformation of the economy and creation of sustainable economic growth and expanded skills base would be minimal if adequate resources are not availed to the sector to improve quality and strengthen </w:t>
      </w:r>
      <w:r w:rsidR="00472824" w:rsidRPr="008D3C26">
        <w:rPr>
          <w:rFonts w:ascii="Times New Roman" w:hAnsi="Times New Roman" w:cs="Times New Roman"/>
          <w:sz w:val="24"/>
          <w:szCs w:val="24"/>
        </w:rPr>
        <w:t>the Colleges</w:t>
      </w:r>
      <w:r w:rsidRPr="008D3C26">
        <w:rPr>
          <w:rFonts w:ascii="Times New Roman" w:hAnsi="Times New Roman" w:cs="Times New Roman"/>
          <w:sz w:val="24"/>
          <w:szCs w:val="24"/>
        </w:rPr>
        <w:t xml:space="preserve"> to become institutions of choice for training of artisans and producing other mid-level skills.</w:t>
      </w:r>
    </w:p>
    <w:p w14:paraId="49CA9E53" w14:textId="77777777" w:rsidR="00DE6A14" w:rsidRPr="008D3C26" w:rsidRDefault="00DE6A14" w:rsidP="00DE6A14">
      <w:pPr>
        <w:pStyle w:val="ListParagraph"/>
        <w:numPr>
          <w:ilvl w:val="0"/>
          <w:numId w:val="37"/>
        </w:numPr>
        <w:spacing w:after="200"/>
        <w:rPr>
          <w:rFonts w:ascii="Times New Roman" w:hAnsi="Times New Roman" w:cs="Times New Roman"/>
          <w:sz w:val="24"/>
          <w:szCs w:val="24"/>
        </w:rPr>
      </w:pPr>
      <w:r w:rsidRPr="008D3C26">
        <w:rPr>
          <w:rFonts w:ascii="Times New Roman" w:hAnsi="Times New Roman" w:cs="Times New Roman"/>
          <w:sz w:val="24"/>
          <w:szCs w:val="24"/>
        </w:rPr>
        <w:t xml:space="preserve">The ability of </w:t>
      </w:r>
      <w:r w:rsidR="00472824" w:rsidRPr="008D3C26">
        <w:rPr>
          <w:rFonts w:ascii="Times New Roman" w:hAnsi="Times New Roman" w:cs="Times New Roman"/>
          <w:sz w:val="24"/>
          <w:szCs w:val="24"/>
        </w:rPr>
        <w:t xml:space="preserve">the </w:t>
      </w:r>
      <w:r w:rsidRPr="008D3C26">
        <w:rPr>
          <w:rFonts w:ascii="Times New Roman" w:hAnsi="Times New Roman" w:cs="Times New Roman"/>
          <w:sz w:val="24"/>
          <w:szCs w:val="24"/>
        </w:rPr>
        <w:t>sector to contribute towards reducing poverty, unemployment and inequality.</w:t>
      </w:r>
    </w:p>
    <w:p w14:paraId="7D28C2B8" w14:textId="77777777" w:rsidR="00DE6A14" w:rsidRPr="008D3C26" w:rsidRDefault="00DE6A14" w:rsidP="00DE6A14">
      <w:pPr>
        <w:pStyle w:val="ListParagraph"/>
        <w:numPr>
          <w:ilvl w:val="0"/>
          <w:numId w:val="37"/>
        </w:numPr>
        <w:spacing w:after="200"/>
        <w:rPr>
          <w:rFonts w:ascii="Times New Roman" w:hAnsi="Times New Roman" w:cs="Times New Roman"/>
          <w:sz w:val="24"/>
          <w:szCs w:val="24"/>
        </w:rPr>
      </w:pPr>
      <w:r w:rsidRPr="008D3C26">
        <w:rPr>
          <w:rFonts w:ascii="Times New Roman" w:hAnsi="Times New Roman" w:cs="Times New Roman"/>
          <w:sz w:val="24"/>
          <w:szCs w:val="24"/>
        </w:rPr>
        <w:t xml:space="preserve"> The ability of the Department to change current “inverted pyramid” PSET system. </w:t>
      </w:r>
    </w:p>
    <w:p w14:paraId="1FC3149E" w14:textId="77777777" w:rsidR="00DE6A14" w:rsidRPr="008D3C26" w:rsidRDefault="00DE6A14" w:rsidP="00DE6A14">
      <w:pPr>
        <w:pStyle w:val="ListParagraph"/>
        <w:numPr>
          <w:ilvl w:val="0"/>
          <w:numId w:val="35"/>
        </w:numPr>
        <w:rPr>
          <w:rFonts w:ascii="Times New Roman" w:hAnsi="Times New Roman" w:cs="Times New Roman"/>
          <w:sz w:val="24"/>
          <w:szCs w:val="24"/>
        </w:rPr>
      </w:pPr>
      <w:r w:rsidRPr="008D3C26">
        <w:rPr>
          <w:rFonts w:ascii="Times New Roman" w:hAnsi="Times New Roman" w:cs="Times New Roman"/>
          <w:sz w:val="24"/>
          <w:szCs w:val="24"/>
        </w:rPr>
        <w:t>T</w:t>
      </w:r>
      <w:r w:rsidR="00472824" w:rsidRPr="008D3C26">
        <w:rPr>
          <w:rFonts w:ascii="Times New Roman" w:hAnsi="Times New Roman" w:cs="Times New Roman"/>
          <w:sz w:val="24"/>
          <w:szCs w:val="24"/>
        </w:rPr>
        <w:t>he ability of the Colleges to</w:t>
      </w:r>
      <w:r w:rsidRPr="008D3C26">
        <w:rPr>
          <w:rFonts w:ascii="Times New Roman" w:hAnsi="Times New Roman" w:cs="Times New Roman"/>
          <w:sz w:val="24"/>
          <w:szCs w:val="24"/>
        </w:rPr>
        <w:t xml:space="preserve"> refurbish, update and address the infrastructure maintenance backlog of the existing facilities, as revealed during oversights to different TVET Colleges. </w:t>
      </w:r>
    </w:p>
    <w:p w14:paraId="19FAA9F9" w14:textId="77777777" w:rsidR="00DE6A14" w:rsidRPr="008D3C26" w:rsidRDefault="00DE6A14" w:rsidP="00DE6A14">
      <w:pPr>
        <w:pStyle w:val="ListParagraph"/>
        <w:numPr>
          <w:ilvl w:val="0"/>
          <w:numId w:val="35"/>
        </w:numPr>
        <w:rPr>
          <w:rFonts w:ascii="Times New Roman" w:hAnsi="Times New Roman" w:cs="Times New Roman"/>
          <w:sz w:val="24"/>
          <w:szCs w:val="24"/>
        </w:rPr>
      </w:pPr>
      <w:r w:rsidRPr="008D3C26">
        <w:rPr>
          <w:rFonts w:ascii="Times New Roman" w:hAnsi="Times New Roman" w:cs="Times New Roman"/>
          <w:sz w:val="24"/>
          <w:szCs w:val="24"/>
        </w:rPr>
        <w:t xml:space="preserve">To replace and update the outdated equipment in the workshops and simulation rooms, so as to ensure that students are provided </w:t>
      </w:r>
      <w:r w:rsidR="00010EE3" w:rsidRPr="008D3C26">
        <w:rPr>
          <w:rFonts w:ascii="Times New Roman" w:hAnsi="Times New Roman" w:cs="Times New Roman"/>
          <w:sz w:val="24"/>
          <w:szCs w:val="24"/>
        </w:rPr>
        <w:t xml:space="preserve">with </w:t>
      </w:r>
      <w:r w:rsidRPr="008D3C26">
        <w:rPr>
          <w:rFonts w:ascii="Times New Roman" w:hAnsi="Times New Roman" w:cs="Times New Roman"/>
          <w:sz w:val="24"/>
          <w:szCs w:val="24"/>
        </w:rPr>
        <w:t xml:space="preserve">modern equipment similar to the one in the industry when they do practicals. Students are currently trained on outdated equipment and this will affect their employability. </w:t>
      </w:r>
    </w:p>
    <w:p w14:paraId="40576E41" w14:textId="77777777" w:rsidR="00DE6A14" w:rsidRPr="008D3C26" w:rsidRDefault="00DE6A14" w:rsidP="00DE6A14">
      <w:pPr>
        <w:pStyle w:val="ListParagraph"/>
        <w:numPr>
          <w:ilvl w:val="0"/>
          <w:numId w:val="35"/>
        </w:numPr>
        <w:rPr>
          <w:rFonts w:ascii="Times New Roman" w:hAnsi="Times New Roman" w:cs="Times New Roman"/>
          <w:sz w:val="24"/>
          <w:szCs w:val="24"/>
        </w:rPr>
      </w:pPr>
      <w:r w:rsidRPr="008D3C26">
        <w:rPr>
          <w:rFonts w:ascii="Times New Roman" w:hAnsi="Times New Roman" w:cs="Times New Roman"/>
          <w:sz w:val="24"/>
          <w:szCs w:val="24"/>
        </w:rPr>
        <w:t xml:space="preserve">The Department will not be able to </w:t>
      </w:r>
      <w:r w:rsidR="00C92A5B" w:rsidRPr="008D3C26">
        <w:rPr>
          <w:rFonts w:ascii="Times New Roman" w:hAnsi="Times New Roman" w:cs="Times New Roman"/>
          <w:sz w:val="24"/>
          <w:szCs w:val="24"/>
        </w:rPr>
        <w:t xml:space="preserve">provide space for </w:t>
      </w:r>
      <w:r w:rsidRPr="008D3C26">
        <w:rPr>
          <w:rFonts w:ascii="Times New Roman" w:hAnsi="Times New Roman" w:cs="Times New Roman"/>
          <w:sz w:val="24"/>
          <w:szCs w:val="24"/>
        </w:rPr>
        <w:t>additional beds for student accommodation in public TVET Colleges t</w:t>
      </w:r>
      <w:r w:rsidR="00010EE3" w:rsidRPr="008D3C26">
        <w:rPr>
          <w:rFonts w:ascii="Times New Roman" w:hAnsi="Times New Roman" w:cs="Times New Roman"/>
          <w:sz w:val="24"/>
          <w:szCs w:val="24"/>
        </w:rPr>
        <w:t>o increase access and success in</w:t>
      </w:r>
      <w:r w:rsidRPr="008D3C26">
        <w:rPr>
          <w:rFonts w:ascii="Times New Roman" w:hAnsi="Times New Roman" w:cs="Times New Roman"/>
          <w:sz w:val="24"/>
          <w:szCs w:val="24"/>
        </w:rPr>
        <w:t xml:space="preserve"> education and training.</w:t>
      </w:r>
    </w:p>
    <w:p w14:paraId="752D8150" w14:textId="77777777" w:rsidR="00DE6A14" w:rsidRPr="008D3C26" w:rsidRDefault="00DE6A14" w:rsidP="00DE6A14">
      <w:pPr>
        <w:pStyle w:val="ListParagraph"/>
        <w:numPr>
          <w:ilvl w:val="0"/>
          <w:numId w:val="35"/>
        </w:numPr>
        <w:rPr>
          <w:rFonts w:ascii="Times New Roman" w:hAnsi="Times New Roman" w:cs="Times New Roman"/>
          <w:sz w:val="24"/>
          <w:szCs w:val="24"/>
        </w:rPr>
      </w:pPr>
      <w:r w:rsidRPr="008D3C26">
        <w:rPr>
          <w:rFonts w:ascii="Times New Roman" w:hAnsi="Times New Roman" w:cs="Times New Roman"/>
          <w:sz w:val="24"/>
          <w:szCs w:val="24"/>
        </w:rPr>
        <w:t xml:space="preserve">The ability of the sector to replenish the lecturing staff given that 980 of the lecturers currently in the system are 60 years and above.   </w:t>
      </w:r>
    </w:p>
    <w:p w14:paraId="6DC6C1C3" w14:textId="77777777" w:rsidR="00767186" w:rsidRPr="008D3C26" w:rsidRDefault="00767186" w:rsidP="00F20D17">
      <w:pPr>
        <w:pStyle w:val="ListParagraph"/>
        <w:rPr>
          <w:rFonts w:ascii="Times New Roman" w:hAnsi="Times New Roman" w:cs="Times New Roman"/>
          <w:sz w:val="24"/>
          <w:szCs w:val="24"/>
        </w:rPr>
      </w:pPr>
    </w:p>
    <w:p w14:paraId="7D043EA9" w14:textId="77777777" w:rsidR="00767186" w:rsidRPr="008D3C26" w:rsidRDefault="00767186" w:rsidP="00F20D17">
      <w:pPr>
        <w:pStyle w:val="ListParagraph"/>
        <w:rPr>
          <w:rFonts w:ascii="Times New Roman" w:hAnsi="Times New Roman" w:cs="Times New Roman"/>
          <w:sz w:val="24"/>
          <w:szCs w:val="24"/>
        </w:rPr>
      </w:pPr>
    </w:p>
    <w:p w14:paraId="26E4DE18" w14:textId="77777777" w:rsidR="005C5957" w:rsidRPr="008D3C26" w:rsidRDefault="00836655" w:rsidP="00F20D17">
      <w:pPr>
        <w:pStyle w:val="ListParagraph"/>
        <w:rPr>
          <w:rFonts w:ascii="Times New Roman" w:hAnsi="Times New Roman" w:cs="Times New Roman"/>
          <w:sz w:val="24"/>
          <w:szCs w:val="24"/>
        </w:rPr>
      </w:pPr>
      <w:r w:rsidRPr="008D3C26">
        <w:rPr>
          <w:rFonts w:ascii="Times New Roman" w:hAnsi="Times New Roman" w:cs="Times New Roman"/>
          <w:sz w:val="24"/>
          <w:szCs w:val="24"/>
        </w:rPr>
        <w:t xml:space="preserve"> </w:t>
      </w:r>
    </w:p>
    <w:p w14:paraId="35290C92" w14:textId="77777777" w:rsidR="005D3C3A" w:rsidRPr="008D3C26" w:rsidRDefault="005D3C3A" w:rsidP="005D3C3A">
      <w:pPr>
        <w:rPr>
          <w:rFonts w:ascii="Times New Roman" w:hAnsi="Times New Roman" w:cs="Times New Roman"/>
          <w:b/>
          <w:sz w:val="24"/>
          <w:szCs w:val="24"/>
        </w:rPr>
      </w:pPr>
      <w:r w:rsidRPr="008D3C26">
        <w:rPr>
          <w:rFonts w:ascii="Times New Roman" w:hAnsi="Times New Roman" w:cs="Times New Roman"/>
          <w:b/>
          <w:sz w:val="24"/>
          <w:szCs w:val="24"/>
        </w:rPr>
        <w:t>7. RECOMMENDATIONS</w:t>
      </w:r>
    </w:p>
    <w:p w14:paraId="02D40C51" w14:textId="77777777" w:rsidR="00871F8C" w:rsidRPr="008D3C26" w:rsidRDefault="005D3C3A" w:rsidP="00D410D1">
      <w:pPr>
        <w:rPr>
          <w:rFonts w:ascii="Times New Roman" w:hAnsi="Times New Roman" w:cs="Times New Roman"/>
          <w:sz w:val="24"/>
          <w:szCs w:val="24"/>
        </w:rPr>
      </w:pPr>
      <w:r w:rsidRPr="008D3C26">
        <w:rPr>
          <w:rFonts w:ascii="Times New Roman" w:hAnsi="Times New Roman" w:cs="Times New Roman"/>
          <w:sz w:val="24"/>
          <w:szCs w:val="24"/>
        </w:rPr>
        <w:t>The Committee having assessed the Annual Report 2016/17 of the Department</w:t>
      </w:r>
      <w:r w:rsidR="00767186" w:rsidRPr="008D3C26">
        <w:rPr>
          <w:rFonts w:ascii="Times New Roman" w:hAnsi="Times New Roman" w:cs="Times New Roman"/>
          <w:sz w:val="24"/>
          <w:szCs w:val="24"/>
        </w:rPr>
        <w:t xml:space="preserve"> and AG </w:t>
      </w:r>
      <w:r w:rsidR="00300BF6" w:rsidRPr="008D3C26">
        <w:rPr>
          <w:rFonts w:ascii="Times New Roman" w:hAnsi="Times New Roman" w:cs="Times New Roman"/>
          <w:sz w:val="24"/>
          <w:szCs w:val="24"/>
        </w:rPr>
        <w:t>report</w:t>
      </w:r>
      <w:r w:rsidRPr="008D3C26">
        <w:rPr>
          <w:rFonts w:ascii="Times New Roman" w:hAnsi="Times New Roman" w:cs="Times New Roman"/>
          <w:sz w:val="24"/>
          <w:szCs w:val="24"/>
        </w:rPr>
        <w:t xml:space="preserve"> recommends that the Minister of Higher Education and Training and the Minister of Finance should consider the following:</w:t>
      </w:r>
    </w:p>
    <w:p w14:paraId="1BE939A6" w14:textId="77777777" w:rsidR="00216E73" w:rsidRPr="008D3C26" w:rsidRDefault="005D3C3A" w:rsidP="00E524CB">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w:t>
      </w:r>
      <w:r w:rsidR="00B61891" w:rsidRPr="008D3C26">
        <w:rPr>
          <w:rFonts w:ascii="Times New Roman" w:hAnsi="Times New Roman" w:cs="Times New Roman"/>
          <w:sz w:val="24"/>
          <w:szCs w:val="24"/>
        </w:rPr>
        <w:t>Committee reiterate</w:t>
      </w:r>
      <w:r w:rsidR="00405E6E" w:rsidRPr="008D3C26">
        <w:rPr>
          <w:rFonts w:ascii="Times New Roman" w:hAnsi="Times New Roman" w:cs="Times New Roman"/>
          <w:sz w:val="24"/>
          <w:szCs w:val="24"/>
        </w:rPr>
        <w:t>s</w:t>
      </w:r>
      <w:r w:rsidR="00B61891" w:rsidRPr="008D3C26">
        <w:rPr>
          <w:rFonts w:ascii="Times New Roman" w:hAnsi="Times New Roman" w:cs="Times New Roman"/>
          <w:sz w:val="24"/>
          <w:szCs w:val="24"/>
        </w:rPr>
        <w:t xml:space="preserve"> that </w:t>
      </w:r>
      <w:r w:rsidR="00010EE3"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Department should put mechanisms in place to ensure that capacity in the Human Resource Unit is increased as well as ensuring that e-recruitment system is implemented to improve the turnaround times to fill advertised posts within 180 days. The Department should also put mechanisms in place to ensure that disciplinary cases are resolved with 90 days. </w:t>
      </w:r>
      <w:r w:rsidR="00755B5D" w:rsidRPr="008D3C26">
        <w:rPr>
          <w:rFonts w:ascii="Times New Roman" w:hAnsi="Times New Roman" w:cs="Times New Roman"/>
          <w:sz w:val="24"/>
          <w:szCs w:val="24"/>
        </w:rPr>
        <w:t xml:space="preserve">The Committee will also undertake to engage with the Department of Public Service and Administration on the implementation of the </w:t>
      </w:r>
      <w:r w:rsidR="0018106A" w:rsidRPr="008D3C26">
        <w:rPr>
          <w:rFonts w:ascii="Times New Roman" w:hAnsi="Times New Roman" w:cs="Times New Roman"/>
          <w:sz w:val="24"/>
          <w:szCs w:val="24"/>
        </w:rPr>
        <w:t>revised o</w:t>
      </w:r>
      <w:r w:rsidR="00755B5D" w:rsidRPr="008D3C26">
        <w:rPr>
          <w:rFonts w:ascii="Times New Roman" w:hAnsi="Times New Roman" w:cs="Times New Roman"/>
          <w:sz w:val="24"/>
          <w:szCs w:val="24"/>
        </w:rPr>
        <w:t xml:space="preserve">rganisation structure of the Department. </w:t>
      </w:r>
    </w:p>
    <w:p w14:paraId="5D554DF4" w14:textId="77777777" w:rsidR="00216E73" w:rsidRPr="008D3C26" w:rsidRDefault="00216E73" w:rsidP="00E524CB">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 Money Bills</w:t>
      </w:r>
      <w:r w:rsidR="00952076" w:rsidRPr="008D3C26">
        <w:rPr>
          <w:rFonts w:ascii="Times New Roman" w:hAnsi="Times New Roman" w:cs="Times New Roman"/>
          <w:sz w:val="24"/>
          <w:szCs w:val="24"/>
        </w:rPr>
        <w:t xml:space="preserve"> Amendment Procedure and Related Matters</w:t>
      </w:r>
      <w:r w:rsidRPr="008D3C26">
        <w:rPr>
          <w:rFonts w:ascii="Times New Roman" w:hAnsi="Times New Roman" w:cs="Times New Roman"/>
          <w:sz w:val="24"/>
          <w:szCs w:val="24"/>
        </w:rPr>
        <w:t xml:space="preserve"> Act</w:t>
      </w:r>
      <w:r w:rsidR="00952076" w:rsidRPr="008D3C26">
        <w:rPr>
          <w:rFonts w:ascii="Times New Roman" w:hAnsi="Times New Roman" w:cs="Times New Roman"/>
          <w:sz w:val="24"/>
          <w:szCs w:val="24"/>
        </w:rPr>
        <w:t>, 2009</w:t>
      </w:r>
      <w:r w:rsidRPr="008D3C26">
        <w:rPr>
          <w:rFonts w:ascii="Times New Roman" w:hAnsi="Times New Roman" w:cs="Times New Roman"/>
          <w:sz w:val="24"/>
          <w:szCs w:val="24"/>
        </w:rPr>
        <w:t xml:space="preserve"> through Section 5 (2) enables Committees to annually submit a budgetary review and recommendation reports for tabling in the National Assembly for each department and Section 5(3) a budgetary review and recommendation report (c) may include recommendations on the forward use of resources. Section 10(6) another committee may advise a Committee on Appropriations that an amount must be appropriated specifically and exclusively for a purpose mentioned under a main division within a vote. Therefore, the request is that the Standing Committee on Appropriation and the Standing Committee on Finance consider an increase into the TVET sector to improve the quality of teaching, learning and skills development in the TVET sector. The following areas underpinned by the White Paper for Post- School Education and Training, Medium Term Strategic Framework (MTSF) 2014- 2019 and the National Development Plan (NDP) 2030 must be considered as areas which need to be funded. </w:t>
      </w:r>
    </w:p>
    <w:p w14:paraId="2C9C6069" w14:textId="77777777" w:rsidR="004247E4" w:rsidRPr="008D3C26" w:rsidRDefault="004247E4" w:rsidP="00E524CB">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Committee recommends to the Department to develop regulatory and policy instruments to ensure financial accountability </w:t>
      </w:r>
      <w:r w:rsidR="00010EE3" w:rsidRPr="008D3C26">
        <w:rPr>
          <w:rFonts w:ascii="Times New Roman" w:hAnsi="Times New Roman" w:cs="Times New Roman"/>
          <w:sz w:val="24"/>
          <w:szCs w:val="24"/>
        </w:rPr>
        <w:t>of</w:t>
      </w:r>
      <w:r w:rsidRPr="008D3C26">
        <w:rPr>
          <w:rFonts w:ascii="Times New Roman" w:hAnsi="Times New Roman" w:cs="Times New Roman"/>
          <w:sz w:val="24"/>
          <w:szCs w:val="24"/>
        </w:rPr>
        <w:t xml:space="preserve"> </w:t>
      </w:r>
      <w:r w:rsidR="00183B5A" w:rsidRPr="008D3C26">
        <w:rPr>
          <w:rFonts w:ascii="Times New Roman" w:hAnsi="Times New Roman" w:cs="Times New Roman"/>
          <w:sz w:val="24"/>
          <w:szCs w:val="24"/>
        </w:rPr>
        <w:t xml:space="preserve">the </w:t>
      </w:r>
      <w:r w:rsidR="00F7539B" w:rsidRPr="008D3C26">
        <w:rPr>
          <w:rFonts w:ascii="Times New Roman" w:hAnsi="Times New Roman" w:cs="Times New Roman"/>
          <w:sz w:val="24"/>
          <w:szCs w:val="24"/>
        </w:rPr>
        <w:t>universities and TVET colleges</w:t>
      </w:r>
      <w:r w:rsidRPr="008D3C26">
        <w:rPr>
          <w:rFonts w:ascii="Times New Roman" w:hAnsi="Times New Roman" w:cs="Times New Roman"/>
          <w:sz w:val="24"/>
          <w:szCs w:val="24"/>
        </w:rPr>
        <w:t>.</w:t>
      </w:r>
    </w:p>
    <w:p w14:paraId="062B5CA9" w14:textId="77777777" w:rsidR="00D410D1" w:rsidRPr="008D3C26" w:rsidRDefault="00755B5D"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Committee recommends that </w:t>
      </w:r>
      <w:r w:rsidR="00814DC0" w:rsidRPr="008D3C26">
        <w:rPr>
          <w:rFonts w:ascii="Times New Roman" w:hAnsi="Times New Roman" w:cs="Times New Roman"/>
          <w:sz w:val="24"/>
          <w:szCs w:val="24"/>
        </w:rPr>
        <w:t>the</w:t>
      </w:r>
      <w:r w:rsidRPr="008D3C26">
        <w:rPr>
          <w:rFonts w:ascii="Times New Roman" w:hAnsi="Times New Roman" w:cs="Times New Roman"/>
          <w:sz w:val="24"/>
          <w:szCs w:val="24"/>
        </w:rPr>
        <w:t xml:space="preserve"> information management system for the TVET and CET sectors</w:t>
      </w:r>
      <w:r w:rsidR="00814DC0" w:rsidRPr="008D3C26">
        <w:rPr>
          <w:rFonts w:ascii="Times New Roman" w:hAnsi="Times New Roman" w:cs="Times New Roman"/>
          <w:sz w:val="24"/>
          <w:szCs w:val="24"/>
        </w:rPr>
        <w:t xml:space="preserve"> </w:t>
      </w:r>
      <w:r w:rsidR="00683506" w:rsidRPr="008D3C26">
        <w:rPr>
          <w:rFonts w:ascii="Times New Roman" w:hAnsi="Times New Roman" w:cs="Times New Roman"/>
          <w:sz w:val="24"/>
          <w:szCs w:val="24"/>
        </w:rPr>
        <w:t xml:space="preserve">similar to the HEMIS </w:t>
      </w:r>
      <w:r w:rsidR="00814DC0" w:rsidRPr="008D3C26">
        <w:rPr>
          <w:rFonts w:ascii="Times New Roman" w:hAnsi="Times New Roman" w:cs="Times New Roman"/>
          <w:sz w:val="24"/>
          <w:szCs w:val="24"/>
        </w:rPr>
        <w:t xml:space="preserve">should be </w:t>
      </w:r>
      <w:r w:rsidR="00C92A5B" w:rsidRPr="008D3C26">
        <w:rPr>
          <w:rFonts w:ascii="Times New Roman" w:hAnsi="Times New Roman" w:cs="Times New Roman"/>
          <w:sz w:val="24"/>
          <w:szCs w:val="24"/>
        </w:rPr>
        <w:t xml:space="preserve">expedited </w:t>
      </w:r>
      <w:r w:rsidR="00077010" w:rsidRPr="008D3C26">
        <w:rPr>
          <w:rFonts w:ascii="Times New Roman" w:hAnsi="Times New Roman" w:cs="Times New Roman"/>
          <w:sz w:val="24"/>
          <w:szCs w:val="24"/>
        </w:rPr>
        <w:t>and the cost</w:t>
      </w:r>
      <w:r w:rsidR="00952076" w:rsidRPr="008D3C26">
        <w:rPr>
          <w:rFonts w:ascii="Times New Roman" w:hAnsi="Times New Roman" w:cs="Times New Roman"/>
          <w:sz w:val="24"/>
          <w:szCs w:val="24"/>
        </w:rPr>
        <w:t>s</w:t>
      </w:r>
      <w:r w:rsidR="00077010" w:rsidRPr="008D3C26">
        <w:rPr>
          <w:rFonts w:ascii="Times New Roman" w:hAnsi="Times New Roman" w:cs="Times New Roman"/>
          <w:sz w:val="24"/>
          <w:szCs w:val="24"/>
        </w:rPr>
        <w:t xml:space="preserve"> to Colleges of implementing the system needs to be examined</w:t>
      </w:r>
      <w:r w:rsidRPr="008D3C26">
        <w:rPr>
          <w:rFonts w:ascii="Times New Roman" w:hAnsi="Times New Roman" w:cs="Times New Roman"/>
          <w:sz w:val="24"/>
          <w:szCs w:val="24"/>
        </w:rPr>
        <w:t xml:space="preserve">. </w:t>
      </w:r>
    </w:p>
    <w:p w14:paraId="488E81EE" w14:textId="77777777" w:rsidR="00D410D1" w:rsidRPr="008D3C26" w:rsidRDefault="0018106A"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There is a need for an</w:t>
      </w:r>
      <w:r w:rsidR="00596A8B" w:rsidRPr="008D3C26">
        <w:rPr>
          <w:rFonts w:ascii="Times New Roman" w:hAnsi="Times New Roman" w:cs="Times New Roman"/>
          <w:sz w:val="24"/>
          <w:szCs w:val="24"/>
        </w:rPr>
        <w:t xml:space="preserve"> increase in universities offering accredited TVET College </w:t>
      </w:r>
      <w:r w:rsidR="00952076" w:rsidRPr="008D3C26">
        <w:rPr>
          <w:rFonts w:ascii="Times New Roman" w:hAnsi="Times New Roman" w:cs="Times New Roman"/>
          <w:sz w:val="24"/>
          <w:szCs w:val="24"/>
        </w:rPr>
        <w:t>l</w:t>
      </w:r>
      <w:r w:rsidR="003228F5" w:rsidRPr="008D3C26">
        <w:rPr>
          <w:rFonts w:ascii="Times New Roman" w:hAnsi="Times New Roman" w:cs="Times New Roman"/>
          <w:sz w:val="24"/>
          <w:szCs w:val="24"/>
        </w:rPr>
        <w:t xml:space="preserve">ecturer </w:t>
      </w:r>
      <w:r w:rsidR="00596A8B" w:rsidRPr="008D3C26">
        <w:rPr>
          <w:rFonts w:ascii="Times New Roman" w:hAnsi="Times New Roman" w:cs="Times New Roman"/>
          <w:sz w:val="24"/>
          <w:szCs w:val="24"/>
        </w:rPr>
        <w:t>qualifications to ensure the necessary capacitation of TVET lecturers. The Department should ensure that the target of having 10 Universities offering TVET Lecturer College Qualifications is realised.</w:t>
      </w:r>
    </w:p>
    <w:p w14:paraId="1E1B6CB1" w14:textId="77777777" w:rsidR="00D410D1" w:rsidRPr="008D3C26" w:rsidRDefault="00596A8B"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Committee noted the inability of NSFAS to recover loans from the </w:t>
      </w:r>
      <w:r w:rsidR="001558D4" w:rsidRPr="008D3C26">
        <w:rPr>
          <w:rFonts w:ascii="Times New Roman" w:hAnsi="Times New Roman" w:cs="Times New Roman"/>
          <w:sz w:val="24"/>
          <w:szCs w:val="24"/>
        </w:rPr>
        <w:t>beneficiaries</w:t>
      </w:r>
      <w:r w:rsidRPr="008D3C26">
        <w:rPr>
          <w:rFonts w:ascii="Times New Roman" w:hAnsi="Times New Roman" w:cs="Times New Roman"/>
          <w:sz w:val="24"/>
          <w:szCs w:val="24"/>
        </w:rPr>
        <w:t xml:space="preserve"> who benefited from its financial assistance. The Committee recommends that </w:t>
      </w:r>
      <w:r w:rsidR="005528D2" w:rsidRPr="008D3C26">
        <w:rPr>
          <w:rFonts w:ascii="Times New Roman" w:hAnsi="Times New Roman" w:cs="Times New Roman"/>
          <w:sz w:val="24"/>
          <w:szCs w:val="24"/>
        </w:rPr>
        <w:t>t</w:t>
      </w:r>
      <w:r w:rsidRPr="008D3C26">
        <w:rPr>
          <w:rFonts w:ascii="Times New Roman" w:hAnsi="Times New Roman" w:cs="Times New Roman"/>
          <w:sz w:val="24"/>
          <w:szCs w:val="24"/>
        </w:rPr>
        <w:t>he Department, NSFAS and institutions relook the methodology of loan recover</w:t>
      </w:r>
      <w:r w:rsidR="0018106A" w:rsidRPr="008D3C26">
        <w:rPr>
          <w:rFonts w:ascii="Times New Roman" w:hAnsi="Times New Roman" w:cs="Times New Roman"/>
          <w:sz w:val="24"/>
          <w:szCs w:val="24"/>
        </w:rPr>
        <w:t xml:space="preserve">y and </w:t>
      </w:r>
      <w:r w:rsidR="005528D2" w:rsidRPr="008D3C26">
        <w:rPr>
          <w:rFonts w:ascii="Times New Roman" w:hAnsi="Times New Roman" w:cs="Times New Roman"/>
          <w:sz w:val="24"/>
          <w:szCs w:val="24"/>
        </w:rPr>
        <w:t xml:space="preserve">include </w:t>
      </w:r>
      <w:r w:rsidR="00010EE3" w:rsidRPr="008D3C26">
        <w:rPr>
          <w:rFonts w:ascii="Times New Roman" w:hAnsi="Times New Roman" w:cs="Times New Roman"/>
          <w:sz w:val="24"/>
          <w:szCs w:val="24"/>
        </w:rPr>
        <w:t xml:space="preserve">a </w:t>
      </w:r>
      <w:r w:rsidR="005528D2" w:rsidRPr="008D3C26">
        <w:rPr>
          <w:rFonts w:ascii="Times New Roman" w:hAnsi="Times New Roman" w:cs="Times New Roman"/>
          <w:sz w:val="24"/>
          <w:szCs w:val="24"/>
        </w:rPr>
        <w:t xml:space="preserve">progress </w:t>
      </w:r>
      <w:r w:rsidR="0018106A" w:rsidRPr="008D3C26">
        <w:rPr>
          <w:rFonts w:ascii="Times New Roman" w:hAnsi="Times New Roman" w:cs="Times New Roman"/>
          <w:sz w:val="24"/>
          <w:szCs w:val="24"/>
        </w:rPr>
        <w:t xml:space="preserve">report </w:t>
      </w:r>
      <w:r w:rsidR="005528D2" w:rsidRPr="008D3C26">
        <w:rPr>
          <w:rFonts w:ascii="Times New Roman" w:hAnsi="Times New Roman" w:cs="Times New Roman"/>
          <w:sz w:val="24"/>
          <w:szCs w:val="24"/>
        </w:rPr>
        <w:t xml:space="preserve">in quarterly reports </w:t>
      </w:r>
      <w:r w:rsidR="0018106A" w:rsidRPr="008D3C26">
        <w:rPr>
          <w:rFonts w:ascii="Times New Roman" w:hAnsi="Times New Roman" w:cs="Times New Roman"/>
          <w:sz w:val="24"/>
          <w:szCs w:val="24"/>
        </w:rPr>
        <w:t>to the Committee</w:t>
      </w:r>
      <w:r w:rsidR="005528D2" w:rsidRPr="008D3C26">
        <w:rPr>
          <w:rFonts w:ascii="Times New Roman" w:hAnsi="Times New Roman" w:cs="Times New Roman"/>
          <w:sz w:val="24"/>
          <w:szCs w:val="24"/>
        </w:rPr>
        <w:t>.</w:t>
      </w:r>
      <w:r w:rsidRPr="008D3C26">
        <w:rPr>
          <w:rFonts w:ascii="Times New Roman" w:hAnsi="Times New Roman" w:cs="Times New Roman"/>
          <w:sz w:val="24"/>
          <w:szCs w:val="24"/>
        </w:rPr>
        <w:t xml:space="preserve"> </w:t>
      </w:r>
    </w:p>
    <w:p w14:paraId="1D2584FD" w14:textId="77777777" w:rsidR="00D410D1" w:rsidRPr="008D3C26" w:rsidRDefault="00E85E74"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Department should improve performance on system performance indicators for the TVET and CET Colleges.  </w:t>
      </w:r>
    </w:p>
    <w:p w14:paraId="436BAAB6" w14:textId="77777777" w:rsidR="00D410D1" w:rsidRPr="008D3C26" w:rsidRDefault="00E85E74"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Department should work with the State Information Technology Agency to ensure procurement or development of the IT system that will assist in </w:t>
      </w:r>
      <w:r w:rsidR="00E91C02" w:rsidRPr="008D3C26">
        <w:rPr>
          <w:rFonts w:ascii="Times New Roman" w:hAnsi="Times New Roman" w:cs="Times New Roman"/>
          <w:sz w:val="24"/>
          <w:szCs w:val="24"/>
        </w:rPr>
        <w:t>the consolidation</w:t>
      </w:r>
      <w:r w:rsidRPr="008D3C26">
        <w:rPr>
          <w:rFonts w:ascii="Times New Roman" w:hAnsi="Times New Roman" w:cs="Times New Roman"/>
          <w:sz w:val="24"/>
          <w:szCs w:val="24"/>
        </w:rPr>
        <w:t xml:space="preserve"> of examination data written in different exam cycles.</w:t>
      </w:r>
      <w:r w:rsidR="00655932" w:rsidRPr="008D3C26">
        <w:rPr>
          <w:rFonts w:ascii="Times New Roman" w:hAnsi="Times New Roman" w:cs="Times New Roman"/>
          <w:sz w:val="24"/>
          <w:szCs w:val="24"/>
        </w:rPr>
        <w:t xml:space="preserve"> Furthermore, the Department should implement consequence management against TVET Colleges that submit data with errors and are not complying </w:t>
      </w:r>
      <w:r w:rsidR="00E91C02" w:rsidRPr="008D3C26">
        <w:rPr>
          <w:rFonts w:ascii="Times New Roman" w:hAnsi="Times New Roman" w:cs="Times New Roman"/>
          <w:sz w:val="24"/>
          <w:szCs w:val="24"/>
        </w:rPr>
        <w:t>with</w:t>
      </w:r>
      <w:r w:rsidR="00655932" w:rsidRPr="008D3C26">
        <w:rPr>
          <w:rFonts w:ascii="Times New Roman" w:hAnsi="Times New Roman" w:cs="Times New Roman"/>
          <w:sz w:val="24"/>
          <w:szCs w:val="24"/>
        </w:rPr>
        <w:t xml:space="preserve"> the examination guidelines.</w:t>
      </w:r>
      <w:r w:rsidR="002F2EB7" w:rsidRPr="008D3C26">
        <w:rPr>
          <w:rFonts w:ascii="Times New Roman" w:hAnsi="Times New Roman" w:cs="Times New Roman"/>
          <w:sz w:val="24"/>
          <w:szCs w:val="24"/>
        </w:rPr>
        <w:t xml:space="preserve"> In addition, the Department should investigate best practices in the certification </w:t>
      </w:r>
      <w:r w:rsidR="00DF3197" w:rsidRPr="008D3C26">
        <w:rPr>
          <w:rFonts w:ascii="Times New Roman" w:hAnsi="Times New Roman" w:cs="Times New Roman"/>
          <w:sz w:val="24"/>
          <w:szCs w:val="24"/>
        </w:rPr>
        <w:t xml:space="preserve">area, </w:t>
      </w:r>
      <w:r w:rsidR="002F2EB7" w:rsidRPr="008D3C26">
        <w:rPr>
          <w:rFonts w:ascii="Times New Roman" w:hAnsi="Times New Roman" w:cs="Times New Roman"/>
          <w:sz w:val="24"/>
          <w:szCs w:val="24"/>
        </w:rPr>
        <w:t xml:space="preserve">both locally and internationally. </w:t>
      </w:r>
      <w:r w:rsidR="006974B5" w:rsidRPr="008D3C26">
        <w:rPr>
          <w:rFonts w:ascii="Times New Roman" w:hAnsi="Times New Roman" w:cs="Times New Roman"/>
          <w:sz w:val="24"/>
          <w:szCs w:val="24"/>
        </w:rPr>
        <w:t>R</w:t>
      </w:r>
      <w:r w:rsidR="002923F9" w:rsidRPr="008D3C26">
        <w:rPr>
          <w:rFonts w:ascii="Times New Roman" w:hAnsi="Times New Roman" w:cs="Times New Roman"/>
          <w:sz w:val="24"/>
          <w:szCs w:val="24"/>
        </w:rPr>
        <w:t xml:space="preserve">egular </w:t>
      </w:r>
      <w:r w:rsidR="006974B5" w:rsidRPr="008D3C26">
        <w:rPr>
          <w:rFonts w:ascii="Times New Roman" w:hAnsi="Times New Roman" w:cs="Times New Roman"/>
          <w:sz w:val="24"/>
          <w:szCs w:val="24"/>
        </w:rPr>
        <w:t xml:space="preserve"> reporting on o</w:t>
      </w:r>
      <w:r w:rsidR="002923F9" w:rsidRPr="008D3C26">
        <w:rPr>
          <w:rFonts w:ascii="Times New Roman" w:hAnsi="Times New Roman" w:cs="Times New Roman"/>
          <w:sz w:val="24"/>
          <w:szCs w:val="24"/>
        </w:rPr>
        <w:t>n</w:t>
      </w:r>
      <w:r w:rsidR="006974B5" w:rsidRPr="008D3C26">
        <w:rPr>
          <w:rFonts w:ascii="Times New Roman" w:hAnsi="Times New Roman" w:cs="Times New Roman"/>
          <w:sz w:val="24"/>
          <w:szCs w:val="24"/>
        </w:rPr>
        <w:t xml:space="preserve"> certificat</w:t>
      </w:r>
      <w:r w:rsidR="002923F9" w:rsidRPr="008D3C26">
        <w:rPr>
          <w:rFonts w:ascii="Times New Roman" w:hAnsi="Times New Roman" w:cs="Times New Roman"/>
          <w:sz w:val="24"/>
          <w:szCs w:val="24"/>
        </w:rPr>
        <w:t xml:space="preserve">ion backlog of TVET students </w:t>
      </w:r>
      <w:r w:rsidR="006974B5" w:rsidRPr="008D3C26">
        <w:rPr>
          <w:rFonts w:ascii="Times New Roman" w:hAnsi="Times New Roman" w:cs="Times New Roman"/>
          <w:sz w:val="24"/>
          <w:szCs w:val="24"/>
        </w:rPr>
        <w:t xml:space="preserve"> and current issuance of certificate should be reported to the Committee quarterly. </w:t>
      </w:r>
    </w:p>
    <w:p w14:paraId="1480E8ED" w14:textId="77777777" w:rsidR="00D410D1" w:rsidRPr="008D3C26" w:rsidRDefault="002F2EB7"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 Committee noted that a commitment to build 12 new TVET College campuses</w:t>
      </w:r>
      <w:r w:rsidR="00683506" w:rsidRPr="008D3C26">
        <w:rPr>
          <w:rFonts w:ascii="Times New Roman" w:hAnsi="Times New Roman" w:cs="Times New Roman"/>
          <w:sz w:val="24"/>
          <w:szCs w:val="24"/>
        </w:rPr>
        <w:t xml:space="preserve"> by 2020</w:t>
      </w:r>
      <w:r w:rsidR="0018106A" w:rsidRPr="008D3C26">
        <w:rPr>
          <w:rFonts w:ascii="Times New Roman" w:hAnsi="Times New Roman" w:cs="Times New Roman"/>
          <w:sz w:val="24"/>
          <w:szCs w:val="24"/>
        </w:rPr>
        <w:t xml:space="preserve"> was made by government</w:t>
      </w:r>
      <w:r w:rsidRPr="008D3C26">
        <w:rPr>
          <w:rFonts w:ascii="Times New Roman" w:hAnsi="Times New Roman" w:cs="Times New Roman"/>
          <w:sz w:val="24"/>
          <w:szCs w:val="24"/>
        </w:rPr>
        <w:t xml:space="preserve">. </w:t>
      </w:r>
      <w:r w:rsidR="0018106A" w:rsidRPr="008D3C26">
        <w:rPr>
          <w:rFonts w:ascii="Times New Roman" w:hAnsi="Times New Roman" w:cs="Times New Roman"/>
          <w:sz w:val="24"/>
          <w:szCs w:val="24"/>
        </w:rPr>
        <w:t>However, t</w:t>
      </w:r>
      <w:r w:rsidR="00683506" w:rsidRPr="008D3C26">
        <w:rPr>
          <w:rFonts w:ascii="Times New Roman" w:hAnsi="Times New Roman" w:cs="Times New Roman"/>
          <w:sz w:val="24"/>
          <w:szCs w:val="24"/>
        </w:rPr>
        <w:t xml:space="preserve">o date, only </w:t>
      </w:r>
      <w:r w:rsidR="001113B9" w:rsidRPr="008D3C26">
        <w:rPr>
          <w:rFonts w:ascii="Times New Roman" w:hAnsi="Times New Roman" w:cs="Times New Roman"/>
          <w:sz w:val="24"/>
          <w:szCs w:val="24"/>
        </w:rPr>
        <w:t xml:space="preserve">one </w:t>
      </w:r>
      <w:r w:rsidRPr="008D3C26">
        <w:rPr>
          <w:rFonts w:ascii="Times New Roman" w:hAnsi="Times New Roman" w:cs="Times New Roman"/>
          <w:sz w:val="24"/>
          <w:szCs w:val="24"/>
        </w:rPr>
        <w:t xml:space="preserve"> new </w:t>
      </w:r>
      <w:r w:rsidR="0018106A" w:rsidRPr="008D3C26">
        <w:rPr>
          <w:rFonts w:ascii="Times New Roman" w:hAnsi="Times New Roman" w:cs="Times New Roman"/>
          <w:sz w:val="24"/>
          <w:szCs w:val="24"/>
        </w:rPr>
        <w:t xml:space="preserve">TVET College </w:t>
      </w:r>
      <w:r w:rsidRPr="008D3C26">
        <w:rPr>
          <w:rFonts w:ascii="Times New Roman" w:hAnsi="Times New Roman" w:cs="Times New Roman"/>
          <w:sz w:val="24"/>
          <w:szCs w:val="24"/>
        </w:rPr>
        <w:t xml:space="preserve">campus </w:t>
      </w:r>
      <w:r w:rsidR="00683506" w:rsidRPr="008D3C26">
        <w:rPr>
          <w:rFonts w:ascii="Times New Roman" w:hAnsi="Times New Roman" w:cs="Times New Roman"/>
          <w:sz w:val="24"/>
          <w:szCs w:val="24"/>
        </w:rPr>
        <w:t>has been completed and two are nearing completion</w:t>
      </w:r>
      <w:r w:rsidRPr="008D3C26">
        <w:rPr>
          <w:rFonts w:ascii="Times New Roman" w:hAnsi="Times New Roman" w:cs="Times New Roman"/>
          <w:sz w:val="24"/>
          <w:szCs w:val="24"/>
        </w:rPr>
        <w:t xml:space="preserve"> and </w:t>
      </w:r>
      <w:r w:rsidR="00683506" w:rsidRPr="008D3C26">
        <w:rPr>
          <w:rFonts w:ascii="Times New Roman" w:hAnsi="Times New Roman" w:cs="Times New Roman"/>
          <w:sz w:val="24"/>
          <w:szCs w:val="24"/>
        </w:rPr>
        <w:t>its</w:t>
      </w:r>
      <w:r w:rsidRPr="008D3C26">
        <w:rPr>
          <w:rFonts w:ascii="Times New Roman" w:hAnsi="Times New Roman" w:cs="Times New Roman"/>
          <w:sz w:val="24"/>
          <w:szCs w:val="24"/>
        </w:rPr>
        <w:t xml:space="preserve"> operation</w:t>
      </w:r>
      <w:r w:rsidR="00CD0E55" w:rsidRPr="008D3C26">
        <w:rPr>
          <w:rFonts w:ascii="Times New Roman" w:hAnsi="Times New Roman" w:cs="Times New Roman"/>
          <w:sz w:val="24"/>
          <w:szCs w:val="24"/>
        </w:rPr>
        <w:t>alisation</w:t>
      </w:r>
      <w:r w:rsidRPr="008D3C26">
        <w:rPr>
          <w:rFonts w:ascii="Times New Roman" w:hAnsi="Times New Roman" w:cs="Times New Roman"/>
          <w:sz w:val="24"/>
          <w:szCs w:val="24"/>
        </w:rPr>
        <w:t xml:space="preserve"> costs are funded through the skills fund and </w:t>
      </w:r>
      <w:r w:rsidR="001113B9" w:rsidRPr="008D3C26">
        <w:rPr>
          <w:rFonts w:ascii="Times New Roman" w:hAnsi="Times New Roman" w:cs="Times New Roman"/>
          <w:sz w:val="24"/>
          <w:szCs w:val="24"/>
        </w:rPr>
        <w:t xml:space="preserve">with </w:t>
      </w:r>
      <w:r w:rsidRPr="008D3C26">
        <w:rPr>
          <w:rFonts w:ascii="Times New Roman" w:hAnsi="Times New Roman" w:cs="Times New Roman"/>
          <w:sz w:val="24"/>
          <w:szCs w:val="24"/>
        </w:rPr>
        <w:t xml:space="preserve">its </w:t>
      </w:r>
      <w:r w:rsidR="001113B9" w:rsidRPr="008D3C26">
        <w:rPr>
          <w:rFonts w:ascii="Times New Roman" w:hAnsi="Times New Roman" w:cs="Times New Roman"/>
          <w:sz w:val="24"/>
          <w:szCs w:val="24"/>
        </w:rPr>
        <w:t xml:space="preserve">negative impact on its </w:t>
      </w:r>
      <w:r w:rsidRPr="008D3C26">
        <w:rPr>
          <w:rFonts w:ascii="Times New Roman" w:hAnsi="Times New Roman" w:cs="Times New Roman"/>
          <w:sz w:val="24"/>
          <w:szCs w:val="24"/>
        </w:rPr>
        <w:t xml:space="preserve">sustainability and the impact in rolling out the skills development interventions. </w:t>
      </w:r>
      <w:r w:rsidR="001C0AAB" w:rsidRPr="008D3C26">
        <w:rPr>
          <w:rFonts w:ascii="Times New Roman" w:hAnsi="Times New Roman" w:cs="Times New Roman"/>
          <w:sz w:val="24"/>
          <w:szCs w:val="24"/>
        </w:rPr>
        <w:t xml:space="preserve">The Committee </w:t>
      </w:r>
      <w:r w:rsidR="006974B5" w:rsidRPr="008D3C26">
        <w:rPr>
          <w:rFonts w:ascii="Times New Roman" w:hAnsi="Times New Roman" w:cs="Times New Roman"/>
          <w:sz w:val="24"/>
          <w:szCs w:val="24"/>
        </w:rPr>
        <w:t xml:space="preserve">recommends </w:t>
      </w:r>
      <w:r w:rsidR="003228F5" w:rsidRPr="008D3C26">
        <w:rPr>
          <w:rFonts w:ascii="Times New Roman" w:hAnsi="Times New Roman" w:cs="Times New Roman"/>
          <w:sz w:val="24"/>
          <w:szCs w:val="24"/>
        </w:rPr>
        <w:t xml:space="preserve">that voted funds be provided for </w:t>
      </w:r>
      <w:r w:rsidR="006974B5" w:rsidRPr="008D3C26">
        <w:rPr>
          <w:rFonts w:ascii="Times New Roman" w:hAnsi="Times New Roman" w:cs="Times New Roman"/>
          <w:sz w:val="24"/>
          <w:szCs w:val="24"/>
        </w:rPr>
        <w:t xml:space="preserve">sustainable ways of funding </w:t>
      </w:r>
      <w:r w:rsidR="001113B9" w:rsidRPr="008D3C26">
        <w:rPr>
          <w:rFonts w:ascii="Times New Roman" w:hAnsi="Times New Roman" w:cs="Times New Roman"/>
          <w:sz w:val="24"/>
          <w:szCs w:val="24"/>
        </w:rPr>
        <w:t xml:space="preserve">the operationalisation of </w:t>
      </w:r>
      <w:r w:rsidR="003228F5" w:rsidRPr="008D3C26">
        <w:rPr>
          <w:rFonts w:ascii="Times New Roman" w:hAnsi="Times New Roman" w:cs="Times New Roman"/>
          <w:sz w:val="24"/>
          <w:szCs w:val="24"/>
        </w:rPr>
        <w:t xml:space="preserve">all the 12 new TVET College campuses. </w:t>
      </w:r>
      <w:r w:rsidR="006974B5" w:rsidRPr="008D3C26">
        <w:rPr>
          <w:rFonts w:ascii="Times New Roman" w:hAnsi="Times New Roman" w:cs="Times New Roman"/>
          <w:sz w:val="24"/>
          <w:szCs w:val="24"/>
        </w:rPr>
        <w:t xml:space="preserve"> </w:t>
      </w:r>
    </w:p>
    <w:p w14:paraId="307499A6" w14:textId="77777777" w:rsidR="00D410D1" w:rsidRPr="008D3C26" w:rsidRDefault="00EC3E4D"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Department should </w:t>
      </w:r>
      <w:r w:rsidR="001113B9" w:rsidRPr="008D3C26">
        <w:rPr>
          <w:rFonts w:ascii="Times New Roman" w:hAnsi="Times New Roman" w:cs="Times New Roman"/>
          <w:sz w:val="24"/>
          <w:szCs w:val="24"/>
        </w:rPr>
        <w:t xml:space="preserve">put in place necessary regulations to </w:t>
      </w:r>
      <w:r w:rsidRPr="008D3C26">
        <w:rPr>
          <w:rFonts w:ascii="Times New Roman" w:hAnsi="Times New Roman" w:cs="Times New Roman"/>
          <w:sz w:val="24"/>
          <w:szCs w:val="24"/>
        </w:rPr>
        <w:t xml:space="preserve">ensure that universities and TVET Colleges comply with </w:t>
      </w:r>
      <w:r w:rsidR="001113B9" w:rsidRPr="008D3C26">
        <w:rPr>
          <w:rFonts w:ascii="Times New Roman" w:hAnsi="Times New Roman" w:cs="Times New Roman"/>
          <w:sz w:val="24"/>
          <w:szCs w:val="24"/>
        </w:rPr>
        <w:t xml:space="preserve">the </w:t>
      </w:r>
      <w:r w:rsidRPr="008D3C26">
        <w:rPr>
          <w:rFonts w:ascii="Times New Roman" w:hAnsi="Times New Roman" w:cs="Times New Roman"/>
          <w:sz w:val="24"/>
          <w:szCs w:val="24"/>
        </w:rPr>
        <w:t>submission</w:t>
      </w:r>
      <w:r w:rsidR="006B2D6C" w:rsidRPr="008D3C26">
        <w:rPr>
          <w:rFonts w:ascii="Times New Roman" w:hAnsi="Times New Roman" w:cs="Times New Roman"/>
          <w:sz w:val="24"/>
          <w:szCs w:val="24"/>
        </w:rPr>
        <w:t xml:space="preserve"> of annual financial statements</w:t>
      </w:r>
      <w:r w:rsidRPr="008D3C26">
        <w:rPr>
          <w:rFonts w:ascii="Times New Roman" w:hAnsi="Times New Roman" w:cs="Times New Roman"/>
          <w:sz w:val="24"/>
          <w:szCs w:val="24"/>
        </w:rPr>
        <w:t xml:space="preserve">, and there should be consequences for non-compliance. </w:t>
      </w:r>
      <w:r w:rsidR="005D3C3A" w:rsidRPr="008D3C26">
        <w:rPr>
          <w:rFonts w:ascii="Times New Roman" w:hAnsi="Times New Roman" w:cs="Times New Roman"/>
          <w:sz w:val="24"/>
          <w:szCs w:val="24"/>
        </w:rPr>
        <w:t xml:space="preserve"> </w:t>
      </w:r>
    </w:p>
    <w:p w14:paraId="04374F13" w14:textId="77777777" w:rsidR="00D410D1" w:rsidRPr="008D3C26" w:rsidRDefault="00596A8B"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Department should ensure </w:t>
      </w:r>
      <w:r w:rsidR="00010EE3" w:rsidRPr="008D3C26">
        <w:rPr>
          <w:rFonts w:ascii="Times New Roman" w:hAnsi="Times New Roman" w:cs="Times New Roman"/>
          <w:sz w:val="24"/>
          <w:szCs w:val="24"/>
        </w:rPr>
        <w:t xml:space="preserve">the </w:t>
      </w:r>
      <w:r w:rsidRPr="008D3C26">
        <w:rPr>
          <w:rFonts w:ascii="Times New Roman" w:hAnsi="Times New Roman" w:cs="Times New Roman"/>
          <w:sz w:val="24"/>
          <w:szCs w:val="24"/>
        </w:rPr>
        <w:t xml:space="preserve">full establishment of the </w:t>
      </w:r>
      <w:r w:rsidR="009D6FE9" w:rsidRPr="008D3C26">
        <w:rPr>
          <w:rFonts w:ascii="Times New Roman" w:hAnsi="Times New Roman" w:cs="Times New Roman"/>
          <w:sz w:val="24"/>
          <w:szCs w:val="24"/>
        </w:rPr>
        <w:t xml:space="preserve">South African Institute for Vocational </w:t>
      </w:r>
      <w:r w:rsidR="00B67416" w:rsidRPr="008D3C26">
        <w:rPr>
          <w:rFonts w:ascii="Times New Roman" w:hAnsi="Times New Roman" w:cs="Times New Roman"/>
          <w:sz w:val="24"/>
          <w:szCs w:val="24"/>
        </w:rPr>
        <w:t xml:space="preserve">and Continuing </w:t>
      </w:r>
      <w:r w:rsidR="009D6FE9" w:rsidRPr="008D3C26">
        <w:rPr>
          <w:rFonts w:ascii="Times New Roman" w:hAnsi="Times New Roman" w:cs="Times New Roman"/>
          <w:sz w:val="24"/>
          <w:szCs w:val="24"/>
        </w:rPr>
        <w:t xml:space="preserve">Education and </w:t>
      </w:r>
      <w:r w:rsidR="00B67416" w:rsidRPr="008D3C26">
        <w:rPr>
          <w:rFonts w:ascii="Times New Roman" w:hAnsi="Times New Roman" w:cs="Times New Roman"/>
          <w:sz w:val="24"/>
          <w:szCs w:val="24"/>
        </w:rPr>
        <w:t>Training (</w:t>
      </w:r>
      <w:r w:rsidRPr="008D3C26">
        <w:rPr>
          <w:rFonts w:ascii="Times New Roman" w:hAnsi="Times New Roman" w:cs="Times New Roman"/>
          <w:sz w:val="24"/>
          <w:szCs w:val="24"/>
        </w:rPr>
        <w:t>SAIVCET</w:t>
      </w:r>
      <w:r w:rsidR="00B67416" w:rsidRPr="008D3C26">
        <w:rPr>
          <w:rFonts w:ascii="Times New Roman" w:hAnsi="Times New Roman" w:cs="Times New Roman"/>
          <w:sz w:val="24"/>
          <w:szCs w:val="24"/>
        </w:rPr>
        <w:t>)</w:t>
      </w:r>
      <w:r w:rsidRPr="008D3C26">
        <w:rPr>
          <w:rFonts w:ascii="Times New Roman" w:hAnsi="Times New Roman" w:cs="Times New Roman"/>
          <w:sz w:val="24"/>
          <w:szCs w:val="24"/>
        </w:rPr>
        <w:t>.</w:t>
      </w:r>
    </w:p>
    <w:p w14:paraId="58E1303E" w14:textId="77777777" w:rsidR="00362F17" w:rsidRPr="008D3C26" w:rsidRDefault="00362F17"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 Department should work with SETAs to ensure that MTSF target of having TVET lecturers undergoing specified hours in their industry for specified periods every two years from 2019 is realised.</w:t>
      </w:r>
    </w:p>
    <w:p w14:paraId="52049808" w14:textId="77777777" w:rsidR="0018194F" w:rsidRPr="008D3C26" w:rsidRDefault="0018194F" w:rsidP="00D410D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 SETAs should improve their capacity by filling vacant positions, especially at the senior executive management level.</w:t>
      </w:r>
    </w:p>
    <w:p w14:paraId="15495F1F" w14:textId="77777777" w:rsidR="005D016E" w:rsidRPr="008D3C26" w:rsidRDefault="005D016E" w:rsidP="005D016E">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 Department should protect the work of the Labour Market Intelligence Partnership (LMIP) and ensure the establishment of a well-resourced unit with voted funds.</w:t>
      </w:r>
    </w:p>
    <w:p w14:paraId="3AD2F789" w14:textId="77777777" w:rsidR="005D016E" w:rsidRPr="008D3C26" w:rsidRDefault="005D016E" w:rsidP="005D016E">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A partnership should be encouraged between private and public TVET colleges and private companies in an effort to ensure that the private companies provide training. Furthermore, a partnership should also be encouraged between public and private TVET colleges and private institutions as a mechanism a workplace integrated plan. </w:t>
      </w:r>
    </w:p>
    <w:p w14:paraId="4A6F235A" w14:textId="77777777" w:rsidR="00D00421" w:rsidRPr="008D3C26" w:rsidRDefault="00487764" w:rsidP="00D00421">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 xml:space="preserve">The Department of Higher Education and Training working with the Department of Trade and Industry and Labour should ensure that maximum benefit is derived from </w:t>
      </w:r>
      <w:r w:rsidR="00D00421" w:rsidRPr="008D3C26">
        <w:rPr>
          <w:rFonts w:ascii="Times New Roman" w:hAnsi="Times New Roman" w:cs="Times New Roman"/>
          <w:sz w:val="24"/>
          <w:szCs w:val="24"/>
        </w:rPr>
        <w:t xml:space="preserve">relevant charters and programmes to ensure training and skills development. </w:t>
      </w:r>
    </w:p>
    <w:p w14:paraId="24AC12B5" w14:textId="77777777" w:rsidR="00996C46" w:rsidRPr="008D3C26" w:rsidRDefault="006974B5" w:rsidP="00996C46">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 Committee recommends that the Department of P</w:t>
      </w:r>
      <w:r w:rsidR="00632C99" w:rsidRPr="008D3C26">
        <w:rPr>
          <w:rFonts w:ascii="Times New Roman" w:hAnsi="Times New Roman" w:cs="Times New Roman"/>
          <w:sz w:val="24"/>
          <w:szCs w:val="24"/>
        </w:rPr>
        <w:t>lanning</w:t>
      </w:r>
      <w:r w:rsidRPr="008D3C26">
        <w:rPr>
          <w:rFonts w:ascii="Times New Roman" w:hAnsi="Times New Roman" w:cs="Times New Roman"/>
          <w:sz w:val="24"/>
          <w:szCs w:val="24"/>
        </w:rPr>
        <w:t>, Monitoring, Evaluation should strengthen its oversight over the Department to ensure improved performance.</w:t>
      </w:r>
      <w:r w:rsidR="004F4E47" w:rsidRPr="008D3C26">
        <w:rPr>
          <w:rFonts w:ascii="Times New Roman" w:hAnsi="Times New Roman" w:cs="Times New Roman"/>
          <w:sz w:val="24"/>
          <w:szCs w:val="24"/>
        </w:rPr>
        <w:t xml:space="preserve"> Furthermore, the DPME should attend the quarterly assessment meetings of the DHET by the Committee. </w:t>
      </w:r>
    </w:p>
    <w:p w14:paraId="78566984" w14:textId="77777777" w:rsidR="00745635" w:rsidRPr="008D3C26" w:rsidRDefault="00745635" w:rsidP="00745635">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There is a need for greater flexibility in bridging programmes to assist learners with potential needed, but due to historical academic backlogs are not able to keep up with the demands of TVET training.</w:t>
      </w:r>
    </w:p>
    <w:p w14:paraId="261ADCE6" w14:textId="77777777" w:rsidR="00745635" w:rsidRPr="008D3C26" w:rsidRDefault="00745635" w:rsidP="00745635">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There is a need for greater flexibility in human resource practices to attract suitably qualified, skilled and competent lecturing staff particularly in areas where remuneration in the private sector far exceeds that offered by the public service.</w:t>
      </w:r>
    </w:p>
    <w:p w14:paraId="6F99256A" w14:textId="77777777" w:rsidR="00745635" w:rsidRPr="008D3C26" w:rsidRDefault="00745635" w:rsidP="00745635">
      <w:pPr>
        <w:pStyle w:val="ListParagraph"/>
        <w:numPr>
          <w:ilvl w:val="1"/>
          <w:numId w:val="41"/>
        </w:numPr>
        <w:rPr>
          <w:rFonts w:ascii="Times New Roman" w:hAnsi="Times New Roman" w:cs="Times New Roman"/>
          <w:sz w:val="24"/>
          <w:szCs w:val="24"/>
        </w:rPr>
      </w:pPr>
      <w:r w:rsidRPr="008D3C26">
        <w:rPr>
          <w:rFonts w:ascii="Times New Roman" w:hAnsi="Times New Roman" w:cs="Times New Roman"/>
          <w:sz w:val="24"/>
          <w:szCs w:val="24"/>
        </w:rPr>
        <w:t>The NATED curriculum offered by TVET Colleges was outdated and there is need to urgently update the syllabi for NATED programmes.</w:t>
      </w:r>
    </w:p>
    <w:p w14:paraId="613D46BF" w14:textId="77777777" w:rsidR="00480D17" w:rsidRPr="008D3C26" w:rsidRDefault="00480D17" w:rsidP="00480D17">
      <w:pPr>
        <w:ind w:left="720" w:hanging="720"/>
        <w:rPr>
          <w:rFonts w:ascii="Times New Roman" w:hAnsi="Times New Roman" w:cs="Times New Roman"/>
          <w:sz w:val="24"/>
          <w:szCs w:val="24"/>
        </w:rPr>
      </w:pPr>
      <w:r w:rsidRPr="008D3C26">
        <w:rPr>
          <w:rFonts w:ascii="Times New Roman" w:hAnsi="Times New Roman" w:cs="Times New Roman"/>
          <w:sz w:val="24"/>
          <w:szCs w:val="24"/>
        </w:rPr>
        <w:t>7.21.</w:t>
      </w:r>
      <w:r w:rsidRPr="008D3C26">
        <w:rPr>
          <w:rFonts w:ascii="Times New Roman" w:hAnsi="Times New Roman" w:cs="Times New Roman"/>
          <w:sz w:val="24"/>
          <w:szCs w:val="24"/>
        </w:rPr>
        <w:tab/>
      </w:r>
      <w:r w:rsidR="00745635" w:rsidRPr="008D3C26">
        <w:rPr>
          <w:rFonts w:ascii="Times New Roman" w:hAnsi="Times New Roman" w:cs="Times New Roman"/>
          <w:sz w:val="24"/>
          <w:szCs w:val="24"/>
        </w:rPr>
        <w:t>There is a need for public TVET Colleges to be able to do better medium and long term planning.</w:t>
      </w:r>
    </w:p>
    <w:p w14:paraId="06CFF551" w14:textId="77777777" w:rsidR="00216E73" w:rsidRPr="008D3C26" w:rsidRDefault="00480D17"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7.22.</w:t>
      </w:r>
      <w:r w:rsidRPr="008D3C26">
        <w:rPr>
          <w:rFonts w:ascii="Times New Roman" w:hAnsi="Times New Roman" w:cs="Times New Roman"/>
          <w:sz w:val="24"/>
          <w:szCs w:val="24"/>
        </w:rPr>
        <w:tab/>
      </w:r>
      <w:r w:rsidR="00745635" w:rsidRPr="008D3C26">
        <w:rPr>
          <w:rFonts w:ascii="Times New Roman" w:hAnsi="Times New Roman" w:cs="Times New Roman"/>
          <w:sz w:val="24"/>
          <w:szCs w:val="24"/>
        </w:rPr>
        <w:t>The acute shortage of Community Education and Training delivery sites and lack of online learning opportunities for those who are not able to access appropriate study programmes should be addressed.</w:t>
      </w:r>
    </w:p>
    <w:p w14:paraId="7302D56D" w14:textId="77777777" w:rsidR="00216E73" w:rsidRPr="008D3C26" w:rsidRDefault="00996C46"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480D17" w:rsidRPr="008D3C26">
        <w:rPr>
          <w:rFonts w:ascii="Times New Roman" w:hAnsi="Times New Roman" w:cs="Times New Roman"/>
          <w:sz w:val="24"/>
          <w:szCs w:val="24"/>
        </w:rPr>
        <w:t>23</w:t>
      </w:r>
      <w:r w:rsidRPr="008D3C26">
        <w:rPr>
          <w:rFonts w:ascii="Times New Roman" w:hAnsi="Times New Roman" w:cs="Times New Roman"/>
          <w:sz w:val="24"/>
          <w:szCs w:val="24"/>
        </w:rPr>
        <w:t>.</w:t>
      </w:r>
      <w:r w:rsidR="00F20A31"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 There must an expansion of the ‘apprenticeship model’ into the TVET and skills system. It is critical in </w:t>
      </w:r>
      <w:r w:rsidRPr="008D3C26">
        <w:rPr>
          <w:rFonts w:ascii="Times New Roman" w:hAnsi="Times New Roman" w:cs="Times New Roman"/>
          <w:color w:val="000000"/>
          <w:sz w:val="24"/>
          <w:szCs w:val="24"/>
        </w:rPr>
        <w:t>developing trade-specific skills, noting that there are several sectors that need skilled artisans and the apprenticeship model is important for addressing the shortage in the mid- level skills needed by the sector. There is a need to</w:t>
      </w:r>
      <w:r w:rsidRPr="008D3C26">
        <w:rPr>
          <w:rFonts w:ascii="Times New Roman" w:hAnsi="Times New Roman" w:cs="Times New Roman"/>
          <w:sz w:val="24"/>
          <w:szCs w:val="24"/>
        </w:rPr>
        <w:t xml:space="preserve"> re-establish a good artisan training system as an urgent priority; the current target is for the country to produce 30 000 artisans a year by 2030 as per the National Development Plan (NDP) 2030 and 24 000 by 2019 as per the Medium Term Strategic Framework (MTSF). The current trend of producing artisans over the last three Medium Term Expenditure Frameworks (MTEFs): 2014/15- 14 389, 2015/16- 16 114 and 2016/17- 21 199 demonstrates that the sector is not producing enough artisans as required by policy papers. Funding is required to ensure that infrastructure and facilities are in place in order to improve artisan development. </w:t>
      </w:r>
      <w:r w:rsidR="00906212" w:rsidRPr="008D3C26">
        <w:rPr>
          <w:rFonts w:ascii="Times New Roman" w:hAnsi="Times New Roman" w:cs="Times New Roman"/>
          <w:color w:val="000000" w:themeColor="text1"/>
          <w:sz w:val="24"/>
          <w:szCs w:val="24"/>
        </w:rPr>
        <w:t>Presently only 3 per cent</w:t>
      </w:r>
      <w:r w:rsidRPr="008D3C26">
        <w:rPr>
          <w:rFonts w:ascii="Times New Roman" w:hAnsi="Times New Roman" w:cs="Times New Roman"/>
          <w:color w:val="000000" w:themeColor="text1"/>
          <w:sz w:val="24"/>
          <w:szCs w:val="24"/>
        </w:rPr>
        <w:t xml:space="preserve"> of the artisan development funding comes from the Voted Fund. The other 70</w:t>
      </w:r>
      <w:r w:rsidR="00906212" w:rsidRPr="008D3C26">
        <w:rPr>
          <w:rFonts w:ascii="Times New Roman" w:hAnsi="Times New Roman" w:cs="Times New Roman"/>
          <w:color w:val="000000" w:themeColor="text1"/>
          <w:sz w:val="24"/>
          <w:szCs w:val="24"/>
        </w:rPr>
        <w:t xml:space="preserve"> per cent</w:t>
      </w:r>
      <w:r w:rsidRPr="008D3C26">
        <w:rPr>
          <w:rFonts w:ascii="Times New Roman" w:hAnsi="Times New Roman" w:cs="Times New Roman"/>
          <w:color w:val="000000" w:themeColor="text1"/>
          <w:sz w:val="24"/>
          <w:szCs w:val="24"/>
        </w:rPr>
        <w:t>, which drives the operational activities of N</w:t>
      </w:r>
      <w:r w:rsidR="00BE24D8" w:rsidRPr="008D3C26">
        <w:rPr>
          <w:rFonts w:ascii="Times New Roman" w:hAnsi="Times New Roman" w:cs="Times New Roman"/>
          <w:color w:val="000000" w:themeColor="text1"/>
          <w:sz w:val="24"/>
          <w:szCs w:val="24"/>
        </w:rPr>
        <w:t xml:space="preserve">ational </w:t>
      </w:r>
      <w:r w:rsidRPr="008D3C26">
        <w:rPr>
          <w:rFonts w:ascii="Times New Roman" w:hAnsi="Times New Roman" w:cs="Times New Roman"/>
          <w:color w:val="000000" w:themeColor="text1"/>
          <w:sz w:val="24"/>
          <w:szCs w:val="24"/>
        </w:rPr>
        <w:t>A</w:t>
      </w:r>
      <w:r w:rsidR="00BE24D8" w:rsidRPr="008D3C26">
        <w:rPr>
          <w:rFonts w:ascii="Times New Roman" w:hAnsi="Times New Roman" w:cs="Times New Roman"/>
          <w:color w:val="000000" w:themeColor="text1"/>
          <w:sz w:val="24"/>
          <w:szCs w:val="24"/>
        </w:rPr>
        <w:t xml:space="preserve">rtisan </w:t>
      </w:r>
      <w:r w:rsidRPr="008D3C26">
        <w:rPr>
          <w:rFonts w:ascii="Times New Roman" w:hAnsi="Times New Roman" w:cs="Times New Roman"/>
          <w:color w:val="000000" w:themeColor="text1"/>
          <w:sz w:val="24"/>
          <w:szCs w:val="24"/>
        </w:rPr>
        <w:t>M</w:t>
      </w:r>
      <w:r w:rsidR="00BE24D8" w:rsidRPr="008D3C26">
        <w:rPr>
          <w:rFonts w:ascii="Times New Roman" w:hAnsi="Times New Roman" w:cs="Times New Roman"/>
          <w:color w:val="000000" w:themeColor="text1"/>
          <w:sz w:val="24"/>
          <w:szCs w:val="24"/>
        </w:rPr>
        <w:t xml:space="preserve">oderation </w:t>
      </w:r>
      <w:r w:rsidRPr="008D3C26">
        <w:rPr>
          <w:rFonts w:ascii="Times New Roman" w:hAnsi="Times New Roman" w:cs="Times New Roman"/>
          <w:color w:val="000000" w:themeColor="text1"/>
          <w:sz w:val="24"/>
          <w:szCs w:val="24"/>
        </w:rPr>
        <w:t>B</w:t>
      </w:r>
      <w:r w:rsidR="00BE24D8" w:rsidRPr="008D3C26">
        <w:rPr>
          <w:rFonts w:ascii="Times New Roman" w:hAnsi="Times New Roman" w:cs="Times New Roman"/>
          <w:color w:val="000000" w:themeColor="text1"/>
          <w:sz w:val="24"/>
          <w:szCs w:val="24"/>
        </w:rPr>
        <w:t>ody (NAMB)</w:t>
      </w:r>
      <w:r w:rsidRPr="008D3C26">
        <w:rPr>
          <w:rFonts w:ascii="Times New Roman" w:hAnsi="Times New Roman" w:cs="Times New Roman"/>
          <w:color w:val="000000" w:themeColor="text1"/>
          <w:sz w:val="24"/>
          <w:szCs w:val="24"/>
        </w:rPr>
        <w:t xml:space="preserve">, artisan development and World Skills South Africa, are funded from the National Skills Fund. </w:t>
      </w:r>
      <w:r w:rsidRPr="008D3C26">
        <w:rPr>
          <w:rFonts w:ascii="Times New Roman" w:hAnsi="Times New Roman" w:cs="Times New Roman"/>
          <w:sz w:val="24"/>
          <w:szCs w:val="24"/>
        </w:rPr>
        <w:t xml:space="preserve">Artisan development will further improve if all its activities were funded from the </w:t>
      </w:r>
      <w:r w:rsidR="007A2056" w:rsidRPr="008D3C26">
        <w:rPr>
          <w:rFonts w:ascii="Times New Roman" w:hAnsi="Times New Roman" w:cs="Times New Roman"/>
          <w:sz w:val="24"/>
          <w:szCs w:val="24"/>
        </w:rPr>
        <w:t>v</w:t>
      </w:r>
      <w:r w:rsidRPr="008D3C26">
        <w:rPr>
          <w:rFonts w:ascii="Times New Roman" w:hAnsi="Times New Roman" w:cs="Times New Roman"/>
          <w:sz w:val="24"/>
          <w:szCs w:val="24"/>
        </w:rPr>
        <w:t xml:space="preserve">oted </w:t>
      </w:r>
      <w:r w:rsidR="007A2056" w:rsidRPr="008D3C26">
        <w:rPr>
          <w:rFonts w:ascii="Times New Roman" w:hAnsi="Times New Roman" w:cs="Times New Roman"/>
          <w:sz w:val="24"/>
          <w:szCs w:val="24"/>
        </w:rPr>
        <w:t>f</w:t>
      </w:r>
      <w:r w:rsidRPr="008D3C26">
        <w:rPr>
          <w:rFonts w:ascii="Times New Roman" w:hAnsi="Times New Roman" w:cs="Times New Roman"/>
          <w:sz w:val="24"/>
          <w:szCs w:val="24"/>
        </w:rPr>
        <w:t>und</w:t>
      </w:r>
      <w:r w:rsidR="007A2056" w:rsidRPr="008D3C26">
        <w:rPr>
          <w:rFonts w:ascii="Times New Roman" w:hAnsi="Times New Roman" w:cs="Times New Roman"/>
          <w:sz w:val="24"/>
          <w:szCs w:val="24"/>
        </w:rPr>
        <w:t>s</w:t>
      </w:r>
      <w:r w:rsidRPr="008D3C26">
        <w:rPr>
          <w:rFonts w:ascii="Times New Roman" w:hAnsi="Times New Roman" w:cs="Times New Roman"/>
          <w:sz w:val="24"/>
          <w:szCs w:val="24"/>
        </w:rPr>
        <w:t xml:space="preserve">. </w:t>
      </w:r>
    </w:p>
    <w:p w14:paraId="4EC2AEDB" w14:textId="77777777" w:rsidR="00216E73" w:rsidRPr="008D3C26" w:rsidRDefault="00996C46"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216E73" w:rsidRPr="008D3C26">
        <w:rPr>
          <w:rFonts w:ascii="Times New Roman" w:hAnsi="Times New Roman" w:cs="Times New Roman"/>
          <w:sz w:val="24"/>
          <w:szCs w:val="24"/>
        </w:rPr>
        <w:t xml:space="preserve">24. </w:t>
      </w:r>
      <w:r w:rsidRPr="008D3C26">
        <w:rPr>
          <w:rFonts w:ascii="Times New Roman" w:hAnsi="Times New Roman" w:cs="Times New Roman"/>
          <w:sz w:val="24"/>
          <w:szCs w:val="24"/>
        </w:rPr>
        <w:t xml:space="preserve"> Support needs to be given to the twenty colleges identified as Centres of Specialisation to ensure their sustainability as they are critical in developing the capacity to deliver particular priority artisan qualifications.  Funding is needed to support these Centres of Specialisation to sustain their expansion. The funding challenges in relation to TVET enrolments have had an impact on the implementation of the White Paper on the Post- School Education and Training targets. </w:t>
      </w:r>
    </w:p>
    <w:p w14:paraId="1DBAF5EE" w14:textId="77777777" w:rsidR="00216E73" w:rsidRPr="008D3C26" w:rsidRDefault="00996C46"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480D17" w:rsidRPr="008D3C26">
        <w:rPr>
          <w:rFonts w:ascii="Times New Roman" w:hAnsi="Times New Roman" w:cs="Times New Roman"/>
          <w:sz w:val="24"/>
          <w:szCs w:val="24"/>
        </w:rPr>
        <w:t>2</w:t>
      </w:r>
      <w:r w:rsidR="00216E73" w:rsidRPr="008D3C26">
        <w:rPr>
          <w:rFonts w:ascii="Times New Roman" w:hAnsi="Times New Roman" w:cs="Times New Roman"/>
          <w:sz w:val="24"/>
          <w:szCs w:val="24"/>
        </w:rPr>
        <w:t>5</w:t>
      </w:r>
      <w:r w:rsidRPr="008D3C26">
        <w:rPr>
          <w:rFonts w:ascii="Times New Roman" w:hAnsi="Times New Roman" w:cs="Times New Roman"/>
          <w:sz w:val="24"/>
          <w:szCs w:val="24"/>
        </w:rPr>
        <w:t xml:space="preserve">. </w:t>
      </w:r>
      <w:r w:rsidR="00BE24D8" w:rsidRPr="008D3C26">
        <w:rPr>
          <w:rFonts w:ascii="Times New Roman" w:hAnsi="Times New Roman" w:cs="Times New Roman"/>
          <w:sz w:val="24"/>
          <w:szCs w:val="24"/>
        </w:rPr>
        <w:t xml:space="preserve"> The</w:t>
      </w:r>
      <w:r w:rsidRPr="008D3C26">
        <w:rPr>
          <w:rFonts w:ascii="Times New Roman" w:hAnsi="Times New Roman" w:cs="Times New Roman"/>
          <w:sz w:val="24"/>
          <w:szCs w:val="24"/>
        </w:rPr>
        <w:t xml:space="preserve"> funding challenges have led to the downward revisi</w:t>
      </w:r>
      <w:r w:rsidR="00BE24D8" w:rsidRPr="008D3C26">
        <w:rPr>
          <w:rFonts w:ascii="Times New Roman" w:hAnsi="Times New Roman" w:cs="Times New Roman"/>
          <w:sz w:val="24"/>
          <w:szCs w:val="24"/>
        </w:rPr>
        <w:t>on</w:t>
      </w:r>
      <w:r w:rsidRPr="008D3C26">
        <w:rPr>
          <w:rFonts w:ascii="Times New Roman" w:hAnsi="Times New Roman" w:cs="Times New Roman"/>
          <w:sz w:val="24"/>
          <w:szCs w:val="24"/>
        </w:rPr>
        <w:t xml:space="preserve"> of targets for the remainder of the MTSF. TVET headcount enrolments have been revised downwards from 1</w:t>
      </w:r>
      <w:r w:rsidR="00BE24D8" w:rsidRPr="008D3C26">
        <w:rPr>
          <w:rFonts w:ascii="Times New Roman" w:hAnsi="Times New Roman" w:cs="Times New Roman"/>
          <w:sz w:val="24"/>
          <w:szCs w:val="24"/>
        </w:rPr>
        <w:t>.</w:t>
      </w:r>
      <w:r w:rsidR="00A87626"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2 million to a capped figure of 710 535. Without an increase in the baseline funding for enrolments, downward revision will continue to occur in order to maintain and improve the provision of quality teaching and learning in colleges utilising limited allocated funds. </w:t>
      </w:r>
    </w:p>
    <w:p w14:paraId="2879744B" w14:textId="77777777" w:rsidR="00216E73" w:rsidRPr="008D3C26" w:rsidRDefault="00996C46"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480D17" w:rsidRPr="008D3C26">
        <w:rPr>
          <w:rFonts w:ascii="Times New Roman" w:hAnsi="Times New Roman" w:cs="Times New Roman"/>
          <w:sz w:val="24"/>
          <w:szCs w:val="24"/>
        </w:rPr>
        <w:t>2</w:t>
      </w:r>
      <w:r w:rsidR="00216E73" w:rsidRPr="008D3C26">
        <w:rPr>
          <w:rFonts w:ascii="Times New Roman" w:hAnsi="Times New Roman" w:cs="Times New Roman"/>
          <w:sz w:val="24"/>
          <w:szCs w:val="24"/>
        </w:rPr>
        <w:t>6</w:t>
      </w:r>
      <w:r w:rsidRPr="008D3C26">
        <w:rPr>
          <w:rFonts w:ascii="Times New Roman" w:hAnsi="Times New Roman" w:cs="Times New Roman"/>
          <w:sz w:val="24"/>
          <w:szCs w:val="24"/>
        </w:rPr>
        <w:t>. The percentage of NC (V) L4: certification rate (revised from 65 to 40 percent), the percentage of N6: certification rate (revised from 65 percent to 50 percent), the percentage of funded NC (V) L4 students obtaining qualifications within the stipulated time (revised from 60 percent to 40 percent) has also been down revised due to funding constraints. Unless addressed through requisite funding this will continue to have an impact on the NDPs target of an increase in the throughput rate of 75 percent by 2030 which has also an impact on the skills profile of the country.</w:t>
      </w:r>
      <w:r w:rsidR="00216E73" w:rsidRPr="008D3C26">
        <w:rPr>
          <w:rFonts w:ascii="Times New Roman" w:hAnsi="Times New Roman" w:cs="Times New Roman"/>
          <w:sz w:val="24"/>
          <w:szCs w:val="24"/>
        </w:rPr>
        <w:t xml:space="preserve"> </w:t>
      </w:r>
    </w:p>
    <w:p w14:paraId="566F2A00" w14:textId="77777777" w:rsidR="00216E73" w:rsidRPr="008D3C26" w:rsidRDefault="00996C46"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216E73" w:rsidRPr="008D3C26">
        <w:rPr>
          <w:rFonts w:ascii="Times New Roman" w:hAnsi="Times New Roman" w:cs="Times New Roman"/>
          <w:sz w:val="24"/>
          <w:szCs w:val="24"/>
        </w:rPr>
        <w:t>27</w:t>
      </w:r>
      <w:r w:rsidRPr="008D3C26">
        <w:rPr>
          <w:rFonts w:ascii="Times New Roman" w:hAnsi="Times New Roman" w:cs="Times New Roman"/>
          <w:sz w:val="24"/>
          <w:szCs w:val="24"/>
        </w:rPr>
        <w:t>.</w:t>
      </w:r>
      <w:r w:rsidR="006A4F39" w:rsidRPr="008D3C26">
        <w:rPr>
          <w:rFonts w:ascii="Times New Roman" w:hAnsi="Times New Roman" w:cs="Times New Roman"/>
          <w:sz w:val="24"/>
          <w:szCs w:val="24"/>
        </w:rPr>
        <w:t xml:space="preserve"> </w:t>
      </w:r>
      <w:r w:rsidRPr="008D3C26">
        <w:rPr>
          <w:rFonts w:ascii="Times New Roman" w:hAnsi="Times New Roman" w:cs="Times New Roman"/>
          <w:sz w:val="24"/>
          <w:szCs w:val="24"/>
        </w:rPr>
        <w:t>The number of qualifying TVET students obtaining NSFAS financial assistance (revised from 1 000 000 to 200 000). In order to ensure that NSFAS financially assists as many TVET students as it can, transport, accommodation allowances are not availed to TVET students, unlike students in the university sector who are funded for tuition, transport or accommodation allowances and meal allowances. The impact of the non- availability of allowances is that those funded by the NSFAS (poor and working class) aren’t able to attend class, thus affecting their ability to meet the eighty percent attendance requirement as per the Public Further Education and Training College Attendance and Punctuality Policy.</w:t>
      </w:r>
      <w:r w:rsidR="00216E73" w:rsidRPr="008D3C26">
        <w:rPr>
          <w:rFonts w:ascii="Times New Roman" w:hAnsi="Times New Roman" w:cs="Times New Roman"/>
          <w:sz w:val="24"/>
          <w:szCs w:val="24"/>
        </w:rPr>
        <w:t xml:space="preserve"> </w:t>
      </w:r>
    </w:p>
    <w:p w14:paraId="01AB2A28" w14:textId="77777777" w:rsidR="00216E73" w:rsidRPr="008D3C26" w:rsidRDefault="006A4F39"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480D17" w:rsidRPr="008D3C26">
        <w:rPr>
          <w:rFonts w:ascii="Times New Roman" w:hAnsi="Times New Roman" w:cs="Times New Roman"/>
          <w:sz w:val="24"/>
          <w:szCs w:val="24"/>
        </w:rPr>
        <w:t>2</w:t>
      </w:r>
      <w:r w:rsidR="00216E73" w:rsidRPr="008D3C26">
        <w:rPr>
          <w:rFonts w:ascii="Times New Roman" w:hAnsi="Times New Roman" w:cs="Times New Roman"/>
          <w:sz w:val="24"/>
          <w:szCs w:val="24"/>
        </w:rPr>
        <w:t>8</w:t>
      </w:r>
      <w:r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Universities receive grants to support their foundation programmes to ensure improvement in their success and throughout rates. This is not the case with TVET colleges as a result of the non-availability of funds the target of 5</w:t>
      </w:r>
      <w:r w:rsidR="005C7AB9"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 xml:space="preserve">000 students entering the foundation programmes in the TVET sector over the MTSF and the envisioned success rate of the fifty percent success has been discontinued. </w:t>
      </w:r>
    </w:p>
    <w:p w14:paraId="1E7CE014" w14:textId="77777777" w:rsidR="00216E73" w:rsidRPr="008D3C26" w:rsidRDefault="006A4F39"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480D17" w:rsidRPr="008D3C26">
        <w:rPr>
          <w:rFonts w:ascii="Times New Roman" w:hAnsi="Times New Roman" w:cs="Times New Roman"/>
          <w:sz w:val="24"/>
          <w:szCs w:val="24"/>
        </w:rPr>
        <w:t>2</w:t>
      </w:r>
      <w:r w:rsidR="00216E73" w:rsidRPr="008D3C26">
        <w:rPr>
          <w:rFonts w:ascii="Times New Roman" w:hAnsi="Times New Roman" w:cs="Times New Roman"/>
          <w:sz w:val="24"/>
          <w:szCs w:val="24"/>
        </w:rPr>
        <w:t>9.</w:t>
      </w:r>
      <w:r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Currently as a short term measure, the Department has been able to secure ad hoc capital funding from the National Skills Fund (NSF) for infrastructure development but this is limited. The current infrastructure is not being adequately maintained due to the shortage of funds within the current baseline. There is a need for a dedicated infrastructure grant for the TVET sector.</w:t>
      </w:r>
      <w:r w:rsidR="00216E73" w:rsidRPr="008D3C26">
        <w:rPr>
          <w:rFonts w:ascii="Times New Roman" w:hAnsi="Times New Roman" w:cs="Times New Roman"/>
          <w:sz w:val="24"/>
          <w:szCs w:val="24"/>
        </w:rPr>
        <w:t xml:space="preserve">  </w:t>
      </w:r>
    </w:p>
    <w:p w14:paraId="37AD24CD" w14:textId="77777777" w:rsidR="00216E73" w:rsidRPr="008D3C26" w:rsidRDefault="006A4F39"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216E73" w:rsidRPr="008D3C26">
        <w:rPr>
          <w:rFonts w:ascii="Times New Roman" w:hAnsi="Times New Roman" w:cs="Times New Roman"/>
          <w:sz w:val="24"/>
          <w:szCs w:val="24"/>
        </w:rPr>
        <w:t>30</w:t>
      </w:r>
      <w:r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 xml:space="preserve">There is a need to provide more places, such as new TVET College campuses and student accommodation in an effort to ensure more students have access to post- school education and training. The target is to build </w:t>
      </w:r>
      <w:r w:rsidR="005C252B" w:rsidRPr="008D3C26">
        <w:rPr>
          <w:rFonts w:ascii="Times New Roman" w:hAnsi="Times New Roman" w:cs="Times New Roman"/>
          <w:sz w:val="24"/>
          <w:szCs w:val="24"/>
        </w:rPr>
        <w:t>three</w:t>
      </w:r>
      <w:r w:rsidR="00996C46" w:rsidRPr="008D3C26">
        <w:rPr>
          <w:rFonts w:ascii="Times New Roman" w:hAnsi="Times New Roman" w:cs="Times New Roman"/>
          <w:sz w:val="24"/>
          <w:szCs w:val="24"/>
        </w:rPr>
        <w:t xml:space="preserve"> colleges by 2018, one college has been built in the 2016/17 MTEF and there is a process of completing two other colleges. Voted funding is required to ensure all the commitments made to establish colleges are fulfilled and that they are also used to sustain the operation of these colleges.</w:t>
      </w:r>
      <w:r w:rsidR="00216E73" w:rsidRPr="008D3C26">
        <w:rPr>
          <w:rFonts w:ascii="Times New Roman" w:hAnsi="Times New Roman" w:cs="Times New Roman"/>
          <w:sz w:val="24"/>
          <w:szCs w:val="24"/>
        </w:rPr>
        <w:t xml:space="preserve"> </w:t>
      </w:r>
    </w:p>
    <w:p w14:paraId="0869AC89" w14:textId="77777777" w:rsidR="00216E73" w:rsidRPr="008D3C26" w:rsidRDefault="006A4F39" w:rsidP="00216E73">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216E73" w:rsidRPr="008D3C26">
        <w:rPr>
          <w:rFonts w:ascii="Times New Roman" w:hAnsi="Times New Roman" w:cs="Times New Roman"/>
          <w:sz w:val="24"/>
          <w:szCs w:val="24"/>
        </w:rPr>
        <w:t>31</w:t>
      </w:r>
      <w:r w:rsidRPr="008D3C26">
        <w:rPr>
          <w:rFonts w:ascii="Times New Roman" w:hAnsi="Times New Roman" w:cs="Times New Roman"/>
          <w:sz w:val="24"/>
          <w:szCs w:val="24"/>
        </w:rPr>
        <w:t>.</w:t>
      </w:r>
      <w:r w:rsidR="00F20A31"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Due to budgetary constraints, the target of building residence at TVET Colleges to accommodate 5</w:t>
      </w:r>
      <w:r w:rsidR="00DA5785"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000 students by 2020.This target has been discontinued for the remainder of the MTEF due to a lack of funding. The TVET sector does not have an infrastructure grant which creates provision for the building in the TVET sector and strongly relies on the funding the NSF. This impacts on the NSF ability to fund skills development as the fund is used to fund other items in the budget.</w:t>
      </w:r>
      <w:r w:rsidR="00216E73" w:rsidRPr="008D3C26">
        <w:rPr>
          <w:rFonts w:ascii="Times New Roman" w:hAnsi="Times New Roman" w:cs="Times New Roman"/>
          <w:sz w:val="24"/>
          <w:szCs w:val="24"/>
        </w:rPr>
        <w:t xml:space="preserve"> </w:t>
      </w:r>
    </w:p>
    <w:p w14:paraId="590CB200" w14:textId="77777777" w:rsidR="00F20A31" w:rsidRPr="008D3C26" w:rsidRDefault="004C3BB6" w:rsidP="00F20A31">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216E73" w:rsidRPr="008D3C26">
        <w:rPr>
          <w:rFonts w:ascii="Times New Roman" w:hAnsi="Times New Roman" w:cs="Times New Roman"/>
          <w:sz w:val="24"/>
          <w:szCs w:val="24"/>
        </w:rPr>
        <w:t>32</w:t>
      </w:r>
      <w:r w:rsidRPr="008D3C26">
        <w:rPr>
          <w:rFonts w:ascii="Times New Roman" w:hAnsi="Times New Roman" w:cs="Times New Roman"/>
          <w:sz w:val="24"/>
          <w:szCs w:val="24"/>
        </w:rPr>
        <w:t xml:space="preserve">.  </w:t>
      </w:r>
      <w:r w:rsidR="00F20A31" w:rsidRPr="008D3C26">
        <w:rPr>
          <w:rFonts w:ascii="Times New Roman" w:hAnsi="Times New Roman" w:cs="Times New Roman"/>
          <w:sz w:val="24"/>
          <w:szCs w:val="24"/>
        </w:rPr>
        <w:t xml:space="preserve"> F</w:t>
      </w:r>
      <w:r w:rsidR="00996C46" w:rsidRPr="008D3C26">
        <w:rPr>
          <w:rFonts w:ascii="Times New Roman" w:hAnsi="Times New Roman" w:cs="Times New Roman"/>
          <w:sz w:val="24"/>
          <w:szCs w:val="24"/>
        </w:rPr>
        <w:t xml:space="preserve">unding needs to be prioritised to ensure the sustainability of the National Skills Fund (NSF), so that it can be optimally and strategically utilised in its mandate of skills development for the country. Currently the NSF is utilised to fund other </w:t>
      </w:r>
      <w:r w:rsidR="005C7AB9" w:rsidRPr="008D3C26">
        <w:rPr>
          <w:rFonts w:ascii="Times New Roman" w:hAnsi="Times New Roman" w:cs="Times New Roman"/>
          <w:sz w:val="24"/>
          <w:szCs w:val="24"/>
        </w:rPr>
        <w:t>mandates</w:t>
      </w:r>
      <w:r w:rsidR="00996C46" w:rsidRPr="008D3C26">
        <w:rPr>
          <w:rFonts w:ascii="Times New Roman" w:hAnsi="Times New Roman" w:cs="Times New Roman"/>
          <w:sz w:val="24"/>
          <w:szCs w:val="24"/>
        </w:rPr>
        <w:t xml:space="preserve"> within the PSET such as infrastructure development and has reprioritised funding for university education which are depleting the funds in the NSF.</w:t>
      </w:r>
      <w:r w:rsidR="00F20A31" w:rsidRPr="008D3C26">
        <w:rPr>
          <w:rFonts w:ascii="Times New Roman" w:hAnsi="Times New Roman" w:cs="Times New Roman"/>
          <w:sz w:val="24"/>
          <w:szCs w:val="24"/>
        </w:rPr>
        <w:t xml:space="preserve"> </w:t>
      </w:r>
    </w:p>
    <w:p w14:paraId="5715869C" w14:textId="77777777" w:rsidR="00F20A31" w:rsidRPr="008D3C26" w:rsidRDefault="004C3BB6" w:rsidP="00F20A31">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F20A31" w:rsidRPr="008D3C26">
        <w:rPr>
          <w:rFonts w:ascii="Times New Roman" w:hAnsi="Times New Roman" w:cs="Times New Roman"/>
          <w:sz w:val="24"/>
          <w:szCs w:val="24"/>
        </w:rPr>
        <w:t>33</w:t>
      </w:r>
      <w:r w:rsidRPr="008D3C26">
        <w:rPr>
          <w:rFonts w:ascii="Times New Roman" w:hAnsi="Times New Roman" w:cs="Times New Roman"/>
          <w:sz w:val="24"/>
          <w:szCs w:val="24"/>
        </w:rPr>
        <w:t>.</w:t>
      </w:r>
      <w:r w:rsidR="00F20A31"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Voted funds are required to ensure the operationalisation of the central skills planning system that will inform the work of the planning unit in the department. This is to ensure that this unit supports the sustainability of the research work already conducted by the Labour Market Intelligence Report in the skills supply and demand of the economy.</w:t>
      </w:r>
    </w:p>
    <w:p w14:paraId="6FD9FBFD" w14:textId="77777777" w:rsidR="00F20A31" w:rsidRPr="008D3C26" w:rsidRDefault="004C3BB6" w:rsidP="00F20A31">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F20A31" w:rsidRPr="008D3C26">
        <w:rPr>
          <w:rFonts w:ascii="Times New Roman" w:hAnsi="Times New Roman" w:cs="Times New Roman"/>
          <w:sz w:val="24"/>
          <w:szCs w:val="24"/>
        </w:rPr>
        <w:t>34</w:t>
      </w:r>
      <w:r w:rsidRPr="008D3C26">
        <w:rPr>
          <w:rFonts w:ascii="Times New Roman" w:hAnsi="Times New Roman" w:cs="Times New Roman"/>
          <w:sz w:val="24"/>
          <w:szCs w:val="24"/>
        </w:rPr>
        <w:t xml:space="preserve">. </w:t>
      </w:r>
      <w:r w:rsidR="00F20A31"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 xml:space="preserve">The implementation of the National Articulation Policy is important as it ensure that the economy delivers on the skills needed through greater articulation between the different components of the PSET. This will enable an improvement in the interface between Sector Education and Training Authorities (SETAs), workplace, universities and TVET colleges, which will support greater opportunities for work based learning opportunities. This will also enable an improvement in skills development in an integrated TVET system. </w:t>
      </w:r>
    </w:p>
    <w:p w14:paraId="18A519A4" w14:textId="77777777" w:rsidR="00F20A31" w:rsidRPr="008D3C26" w:rsidRDefault="004C3BB6" w:rsidP="00F20A31">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F20A31" w:rsidRPr="008D3C26">
        <w:rPr>
          <w:rFonts w:ascii="Times New Roman" w:hAnsi="Times New Roman" w:cs="Times New Roman"/>
          <w:sz w:val="24"/>
          <w:szCs w:val="24"/>
        </w:rPr>
        <w:t>35</w:t>
      </w:r>
      <w:r w:rsidRPr="008D3C26">
        <w:rPr>
          <w:rFonts w:ascii="Times New Roman" w:hAnsi="Times New Roman" w:cs="Times New Roman"/>
          <w:sz w:val="24"/>
          <w:szCs w:val="24"/>
        </w:rPr>
        <w:t>.</w:t>
      </w:r>
      <w:r w:rsidR="00F20A31"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 </w:t>
      </w:r>
      <w:r w:rsidR="00996C46" w:rsidRPr="008D3C26">
        <w:rPr>
          <w:rFonts w:ascii="Times New Roman" w:hAnsi="Times New Roman" w:cs="Times New Roman"/>
          <w:sz w:val="24"/>
          <w:szCs w:val="24"/>
        </w:rPr>
        <w:t>In placing TVET colleges at the centre of skills development and making them institutions of first choice for school leavers</w:t>
      </w:r>
      <w:r w:rsidR="005C7AB9" w:rsidRPr="008D3C26">
        <w:rPr>
          <w:rFonts w:ascii="Times New Roman" w:hAnsi="Times New Roman" w:cs="Times New Roman"/>
          <w:sz w:val="24"/>
          <w:szCs w:val="24"/>
        </w:rPr>
        <w:t>,</w:t>
      </w:r>
      <w:r w:rsidR="00996C46" w:rsidRPr="008D3C26">
        <w:rPr>
          <w:rFonts w:ascii="Times New Roman" w:hAnsi="Times New Roman" w:cs="Times New Roman"/>
          <w:sz w:val="24"/>
          <w:szCs w:val="24"/>
        </w:rPr>
        <w:t xml:space="preserve"> the quality of TVET colleges must be improved. Increasing the number of qualified lecturers is one of the ways to improve the quality of teaching and learning and the throughput of TVET colleges. The target is to have ten universities accredited to offer courses </w:t>
      </w:r>
      <w:r w:rsidR="005C7AB9" w:rsidRPr="008D3C26">
        <w:rPr>
          <w:rFonts w:ascii="Times New Roman" w:hAnsi="Times New Roman" w:cs="Times New Roman"/>
          <w:sz w:val="24"/>
          <w:szCs w:val="24"/>
        </w:rPr>
        <w:t>for</w:t>
      </w:r>
      <w:r w:rsidR="00996C46" w:rsidRPr="008D3C26">
        <w:rPr>
          <w:rFonts w:ascii="Times New Roman" w:hAnsi="Times New Roman" w:cs="Times New Roman"/>
          <w:sz w:val="24"/>
          <w:szCs w:val="24"/>
        </w:rPr>
        <w:t xml:space="preserve"> TVET college lecturers. </w:t>
      </w:r>
    </w:p>
    <w:p w14:paraId="10D55E74" w14:textId="77777777" w:rsidR="00BD3055" w:rsidRPr="008D3C26" w:rsidRDefault="00BD3055" w:rsidP="00F20A31">
      <w:pPr>
        <w:ind w:left="720" w:hanging="720"/>
        <w:rPr>
          <w:rFonts w:ascii="Times New Roman" w:hAnsi="Times New Roman" w:cs="Times New Roman"/>
          <w:sz w:val="24"/>
          <w:szCs w:val="24"/>
        </w:rPr>
      </w:pPr>
      <w:r w:rsidRPr="008D3C26">
        <w:rPr>
          <w:rFonts w:ascii="Times New Roman" w:hAnsi="Times New Roman" w:cs="Times New Roman"/>
          <w:sz w:val="24"/>
          <w:szCs w:val="24"/>
        </w:rPr>
        <w:t>7.</w:t>
      </w:r>
      <w:r w:rsidR="00F20A31" w:rsidRPr="008D3C26">
        <w:rPr>
          <w:rFonts w:ascii="Times New Roman" w:hAnsi="Times New Roman" w:cs="Times New Roman"/>
          <w:sz w:val="24"/>
          <w:szCs w:val="24"/>
        </w:rPr>
        <w:t>36.</w:t>
      </w:r>
      <w:r w:rsidRPr="008D3C26">
        <w:rPr>
          <w:rFonts w:ascii="Times New Roman" w:hAnsi="Times New Roman" w:cs="Times New Roman"/>
          <w:sz w:val="24"/>
          <w:szCs w:val="24"/>
        </w:rPr>
        <w:t xml:space="preserve"> </w:t>
      </w:r>
      <w:r w:rsidR="00F20A31" w:rsidRPr="008D3C26">
        <w:rPr>
          <w:rFonts w:ascii="Times New Roman" w:hAnsi="Times New Roman" w:cs="Times New Roman"/>
          <w:sz w:val="24"/>
          <w:szCs w:val="24"/>
        </w:rPr>
        <w:t xml:space="preserve"> </w:t>
      </w:r>
      <w:r w:rsidRPr="008D3C26">
        <w:rPr>
          <w:rFonts w:ascii="Times New Roman" w:hAnsi="Times New Roman" w:cs="Times New Roman"/>
          <w:sz w:val="24"/>
          <w:szCs w:val="24"/>
        </w:rPr>
        <w:t>The Department manages seven (7) different exam cycles for TVET Colleges per annum with very limited resources. There is an urgent need for the national examination administration to be sufficiently resourced.</w:t>
      </w:r>
    </w:p>
    <w:p w14:paraId="6495529E" w14:textId="77777777" w:rsidR="00561BFF" w:rsidRPr="008D3C26" w:rsidRDefault="005D3C3A" w:rsidP="005D3C3A">
      <w:pPr>
        <w:rPr>
          <w:rFonts w:ascii="Times New Roman" w:hAnsi="Times New Roman" w:cs="Times New Roman"/>
          <w:b/>
          <w:sz w:val="24"/>
          <w:szCs w:val="24"/>
        </w:rPr>
      </w:pPr>
      <w:r w:rsidRPr="008D3C26">
        <w:rPr>
          <w:rFonts w:ascii="Times New Roman" w:hAnsi="Times New Roman" w:cs="Times New Roman"/>
          <w:b/>
          <w:sz w:val="24"/>
          <w:szCs w:val="24"/>
        </w:rPr>
        <w:t xml:space="preserve">8. </w:t>
      </w:r>
      <w:r w:rsidR="00561BFF" w:rsidRPr="008D3C26">
        <w:rPr>
          <w:rFonts w:ascii="Times New Roman" w:hAnsi="Times New Roman" w:cs="Times New Roman"/>
          <w:b/>
          <w:sz w:val="24"/>
          <w:szCs w:val="24"/>
        </w:rPr>
        <w:t>SUMMARY OF REPORTING REQUESTS</w:t>
      </w:r>
    </w:p>
    <w:tbl>
      <w:tblPr>
        <w:tblStyle w:val="TableGrid"/>
        <w:tblW w:w="9351" w:type="dxa"/>
        <w:tblLook w:val="04A0" w:firstRow="1" w:lastRow="0" w:firstColumn="1" w:lastColumn="0" w:noHBand="0" w:noVBand="1"/>
      </w:tblPr>
      <w:tblGrid>
        <w:gridCol w:w="1555"/>
        <w:gridCol w:w="2269"/>
        <w:gridCol w:w="2501"/>
        <w:gridCol w:w="3026"/>
      </w:tblGrid>
      <w:tr w:rsidR="00BF3A38" w:rsidRPr="008D3C26" w14:paraId="09526A8F" w14:textId="77777777" w:rsidTr="0010291C">
        <w:tc>
          <w:tcPr>
            <w:tcW w:w="1555" w:type="dxa"/>
          </w:tcPr>
          <w:p w14:paraId="4F8F665E" w14:textId="77777777" w:rsidR="00BF3A38" w:rsidRPr="008D3C26" w:rsidRDefault="00BF3A38"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Entity</w:t>
            </w:r>
          </w:p>
        </w:tc>
        <w:tc>
          <w:tcPr>
            <w:tcW w:w="2269" w:type="dxa"/>
          </w:tcPr>
          <w:p w14:paraId="4B56FE5D" w14:textId="77777777" w:rsidR="00BF3A38" w:rsidRPr="008D3C26" w:rsidRDefault="00BF3A38"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Reporting Matter</w:t>
            </w:r>
          </w:p>
        </w:tc>
        <w:tc>
          <w:tcPr>
            <w:tcW w:w="2501" w:type="dxa"/>
          </w:tcPr>
          <w:p w14:paraId="636903EF" w14:textId="77777777" w:rsidR="00BF3A38" w:rsidRPr="008D3C26" w:rsidRDefault="00BF3A38" w:rsidP="00A84BE0">
            <w:pPr>
              <w:spacing w:line="360" w:lineRule="auto"/>
              <w:jc w:val="left"/>
              <w:rPr>
                <w:rFonts w:ascii="Times New Roman" w:hAnsi="Times New Roman" w:cs="Times New Roman"/>
                <w:b/>
                <w:bCs/>
                <w:sz w:val="24"/>
                <w:szCs w:val="24"/>
              </w:rPr>
            </w:pPr>
            <w:r w:rsidRPr="008D3C26">
              <w:rPr>
                <w:rFonts w:ascii="Times New Roman" w:hAnsi="Times New Roman" w:cs="Times New Roman"/>
                <w:b/>
                <w:bCs/>
                <w:sz w:val="24"/>
                <w:szCs w:val="24"/>
              </w:rPr>
              <w:t>Action required</w:t>
            </w:r>
          </w:p>
        </w:tc>
        <w:tc>
          <w:tcPr>
            <w:tcW w:w="3026" w:type="dxa"/>
          </w:tcPr>
          <w:p w14:paraId="4EC8D2F9" w14:textId="77777777" w:rsidR="00BF3A38" w:rsidRPr="008D3C26" w:rsidRDefault="00BF3A38"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Time-Frame</w:t>
            </w:r>
          </w:p>
        </w:tc>
      </w:tr>
      <w:tr w:rsidR="00974376" w:rsidRPr="008D3C26" w14:paraId="1FD37587" w14:textId="77777777" w:rsidTr="0010291C">
        <w:tc>
          <w:tcPr>
            <w:tcW w:w="1555" w:type="dxa"/>
            <w:vMerge w:val="restart"/>
          </w:tcPr>
          <w:p w14:paraId="39CEAA18" w14:textId="77777777" w:rsidR="00974376" w:rsidRPr="008D3C26" w:rsidRDefault="00974376"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DHET</w:t>
            </w:r>
          </w:p>
        </w:tc>
        <w:tc>
          <w:tcPr>
            <w:tcW w:w="2269" w:type="dxa"/>
          </w:tcPr>
          <w:p w14:paraId="486032C2"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Recurring audit findings</w:t>
            </w:r>
          </w:p>
        </w:tc>
        <w:tc>
          <w:tcPr>
            <w:tcW w:w="2501" w:type="dxa"/>
          </w:tcPr>
          <w:p w14:paraId="2D8826BA" w14:textId="77777777" w:rsidR="00974376" w:rsidRPr="008D3C26" w:rsidRDefault="00974376"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The DHET to develop, implement and monitor an action plan to address the recurring findings and submit it to the Committee</w:t>
            </w:r>
          </w:p>
        </w:tc>
        <w:tc>
          <w:tcPr>
            <w:tcW w:w="3026" w:type="dxa"/>
          </w:tcPr>
          <w:p w14:paraId="5B4276C6"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Internal Audit and Audit Committee of the DHET to report to the Committee quarterly</w:t>
            </w:r>
          </w:p>
        </w:tc>
      </w:tr>
      <w:tr w:rsidR="00974376" w:rsidRPr="008D3C26" w14:paraId="6CE5EF35" w14:textId="77777777" w:rsidTr="0010291C">
        <w:tc>
          <w:tcPr>
            <w:tcW w:w="1555" w:type="dxa"/>
            <w:vMerge/>
          </w:tcPr>
          <w:p w14:paraId="0E508F97" w14:textId="77777777" w:rsidR="00974376" w:rsidRPr="008D3C26" w:rsidRDefault="00974376" w:rsidP="00A84BE0">
            <w:pPr>
              <w:spacing w:line="360" w:lineRule="auto"/>
              <w:jc w:val="left"/>
              <w:rPr>
                <w:rFonts w:ascii="Times New Roman" w:hAnsi="Times New Roman" w:cs="Times New Roman"/>
                <w:sz w:val="24"/>
                <w:szCs w:val="24"/>
              </w:rPr>
            </w:pPr>
          </w:p>
        </w:tc>
        <w:tc>
          <w:tcPr>
            <w:tcW w:w="2269" w:type="dxa"/>
          </w:tcPr>
          <w:p w14:paraId="43A15BA3"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Irregular expenditure</w:t>
            </w:r>
          </w:p>
        </w:tc>
        <w:tc>
          <w:tcPr>
            <w:tcW w:w="2501" w:type="dxa"/>
          </w:tcPr>
          <w:p w14:paraId="20455681" w14:textId="77777777" w:rsidR="00974376" w:rsidRPr="008D3C26" w:rsidRDefault="00974376"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DHET to conduct investigations and implement consequence management</w:t>
            </w:r>
          </w:p>
        </w:tc>
        <w:tc>
          <w:tcPr>
            <w:tcW w:w="3026" w:type="dxa"/>
          </w:tcPr>
          <w:p w14:paraId="1F1467FC"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DHET to report to the Committee on the outcomes of the investigation and implementation of consequence management at the next quarterly report.</w:t>
            </w:r>
          </w:p>
        </w:tc>
      </w:tr>
      <w:tr w:rsidR="00974376" w:rsidRPr="008D3C26" w14:paraId="73253C7F" w14:textId="77777777" w:rsidTr="0010291C">
        <w:tc>
          <w:tcPr>
            <w:tcW w:w="1555" w:type="dxa"/>
            <w:vMerge/>
          </w:tcPr>
          <w:p w14:paraId="4C16BB17" w14:textId="77777777" w:rsidR="00974376" w:rsidRPr="008D3C26" w:rsidRDefault="00974376" w:rsidP="00A84BE0">
            <w:pPr>
              <w:spacing w:line="360" w:lineRule="auto"/>
              <w:jc w:val="left"/>
              <w:rPr>
                <w:rFonts w:ascii="Times New Roman" w:hAnsi="Times New Roman" w:cs="Times New Roman"/>
                <w:sz w:val="24"/>
                <w:szCs w:val="24"/>
              </w:rPr>
            </w:pPr>
          </w:p>
        </w:tc>
        <w:tc>
          <w:tcPr>
            <w:tcW w:w="2269" w:type="dxa"/>
          </w:tcPr>
          <w:p w14:paraId="1F143E7E"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Implementation of the  2017 BRR Recommendation </w:t>
            </w:r>
          </w:p>
        </w:tc>
        <w:tc>
          <w:tcPr>
            <w:tcW w:w="2501" w:type="dxa"/>
          </w:tcPr>
          <w:p w14:paraId="66AE3925" w14:textId="77777777" w:rsidR="00974376" w:rsidRPr="008D3C26" w:rsidRDefault="00974376"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DHET to implement the BRR Recommendations</w:t>
            </w:r>
          </w:p>
        </w:tc>
        <w:tc>
          <w:tcPr>
            <w:tcW w:w="3026" w:type="dxa"/>
          </w:tcPr>
          <w:p w14:paraId="44D32452"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DHET to provide update to the Committee on the implementation of BRR Recommendations quarterly </w:t>
            </w:r>
          </w:p>
        </w:tc>
      </w:tr>
      <w:tr w:rsidR="00974376" w:rsidRPr="008D3C26" w14:paraId="4FA26811" w14:textId="77777777" w:rsidTr="0010291C">
        <w:tc>
          <w:tcPr>
            <w:tcW w:w="1555" w:type="dxa"/>
            <w:vMerge/>
          </w:tcPr>
          <w:p w14:paraId="768EC4C0" w14:textId="77777777" w:rsidR="00974376" w:rsidRPr="008D3C26" w:rsidRDefault="00974376" w:rsidP="00A84BE0">
            <w:pPr>
              <w:spacing w:line="360" w:lineRule="auto"/>
              <w:jc w:val="left"/>
              <w:rPr>
                <w:rFonts w:ascii="Times New Roman" w:hAnsi="Times New Roman" w:cs="Times New Roman"/>
                <w:sz w:val="24"/>
                <w:szCs w:val="24"/>
              </w:rPr>
            </w:pPr>
          </w:p>
        </w:tc>
        <w:tc>
          <w:tcPr>
            <w:tcW w:w="2269" w:type="dxa"/>
          </w:tcPr>
          <w:p w14:paraId="5E1EFA40"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Pension liability of R113 million</w:t>
            </w:r>
          </w:p>
        </w:tc>
        <w:tc>
          <w:tcPr>
            <w:tcW w:w="2501" w:type="dxa"/>
          </w:tcPr>
          <w:p w14:paraId="657356DE" w14:textId="77777777" w:rsidR="00974376" w:rsidRPr="008D3C26" w:rsidRDefault="00974376"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DHET to resolve the uncertainties with regard to the claims for possible pension liability</w:t>
            </w:r>
          </w:p>
        </w:tc>
        <w:tc>
          <w:tcPr>
            <w:tcW w:w="3026" w:type="dxa"/>
          </w:tcPr>
          <w:p w14:paraId="14D878E3"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DHET to report to the Committee on progress quarterly.</w:t>
            </w:r>
          </w:p>
        </w:tc>
      </w:tr>
      <w:tr w:rsidR="00974376" w:rsidRPr="008D3C26" w14:paraId="60C31AFD" w14:textId="77777777" w:rsidTr="0010291C">
        <w:tc>
          <w:tcPr>
            <w:tcW w:w="1555" w:type="dxa"/>
            <w:vMerge/>
          </w:tcPr>
          <w:p w14:paraId="247F3895" w14:textId="77777777" w:rsidR="00974376" w:rsidRPr="008D3C26" w:rsidRDefault="00974376" w:rsidP="00A84BE0">
            <w:pPr>
              <w:spacing w:line="360" w:lineRule="auto"/>
              <w:jc w:val="left"/>
              <w:rPr>
                <w:rFonts w:ascii="Times New Roman" w:hAnsi="Times New Roman" w:cs="Times New Roman"/>
                <w:sz w:val="24"/>
                <w:szCs w:val="24"/>
              </w:rPr>
            </w:pPr>
          </w:p>
        </w:tc>
        <w:tc>
          <w:tcPr>
            <w:tcW w:w="2269" w:type="dxa"/>
          </w:tcPr>
          <w:p w14:paraId="3FAA6EE4"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Information management system for TCET and CET sector</w:t>
            </w:r>
          </w:p>
        </w:tc>
        <w:tc>
          <w:tcPr>
            <w:tcW w:w="2501" w:type="dxa"/>
          </w:tcPr>
          <w:p w14:paraId="086CF49A"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DHET to develop information management system for the TVET and CET sectors</w:t>
            </w:r>
          </w:p>
        </w:tc>
        <w:tc>
          <w:tcPr>
            <w:tcW w:w="3026" w:type="dxa"/>
          </w:tcPr>
          <w:p w14:paraId="56F06E44" w14:textId="77777777" w:rsidR="00974376"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DHET to report to the Committee quarterly.</w:t>
            </w:r>
          </w:p>
        </w:tc>
      </w:tr>
      <w:tr w:rsidR="00813E6A" w:rsidRPr="008D3C26" w14:paraId="0383DFDF" w14:textId="77777777" w:rsidTr="0010291C">
        <w:tc>
          <w:tcPr>
            <w:tcW w:w="1555" w:type="dxa"/>
          </w:tcPr>
          <w:p w14:paraId="37EF5884" w14:textId="77777777" w:rsidR="00813E6A" w:rsidRPr="008D3C26" w:rsidRDefault="00974376"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TVET CGC</w:t>
            </w:r>
          </w:p>
        </w:tc>
        <w:tc>
          <w:tcPr>
            <w:tcW w:w="2269" w:type="dxa"/>
          </w:tcPr>
          <w:p w14:paraId="74239C69" w14:textId="77777777" w:rsidR="00813E6A"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Audit findings</w:t>
            </w:r>
          </w:p>
        </w:tc>
        <w:tc>
          <w:tcPr>
            <w:tcW w:w="2501" w:type="dxa"/>
          </w:tcPr>
          <w:p w14:paraId="15346DE5" w14:textId="77777777" w:rsidR="00974376" w:rsidRPr="008D3C26" w:rsidRDefault="00974376"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Action plan to address the AG findings should be developed, implemented and monitored</w:t>
            </w:r>
          </w:p>
          <w:p w14:paraId="1768A683" w14:textId="77777777" w:rsidR="00974376" w:rsidRPr="008D3C26" w:rsidRDefault="00974376" w:rsidP="00A84BE0">
            <w:pPr>
              <w:spacing w:line="360" w:lineRule="auto"/>
              <w:jc w:val="left"/>
              <w:rPr>
                <w:rFonts w:ascii="Times New Roman" w:hAnsi="Times New Roman" w:cs="Times New Roman"/>
                <w:bCs/>
                <w:sz w:val="24"/>
                <w:szCs w:val="24"/>
              </w:rPr>
            </w:pPr>
          </w:p>
          <w:p w14:paraId="24C8AB89" w14:textId="77777777" w:rsidR="00813E6A" w:rsidRPr="008D3C26" w:rsidRDefault="00974376"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Internal audit and audit committees should</w:t>
            </w:r>
            <w:r w:rsidRPr="008D3C26">
              <w:rPr>
                <w:rFonts w:ascii="Times New Roman" w:hAnsi="Times New Roman" w:cs="Times New Roman"/>
                <w:sz w:val="24"/>
                <w:szCs w:val="24"/>
              </w:rPr>
              <w:t xml:space="preserve"> appear before the Committee to report progress on the implementation of the action plans</w:t>
            </w:r>
          </w:p>
        </w:tc>
        <w:tc>
          <w:tcPr>
            <w:tcW w:w="3026" w:type="dxa"/>
          </w:tcPr>
          <w:p w14:paraId="4169663C" w14:textId="77777777" w:rsidR="00813E6A"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At the next quarterly reporting in 2018 and during oversight visits.</w:t>
            </w:r>
          </w:p>
        </w:tc>
      </w:tr>
      <w:tr w:rsidR="006D5241" w:rsidRPr="008D3C26" w14:paraId="2C23211D" w14:textId="77777777" w:rsidTr="0010291C">
        <w:tc>
          <w:tcPr>
            <w:tcW w:w="1555" w:type="dxa"/>
          </w:tcPr>
          <w:p w14:paraId="753019D8" w14:textId="77777777" w:rsidR="006D5241" w:rsidRPr="008D3C26" w:rsidRDefault="00974376"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AGSA</w:t>
            </w:r>
          </w:p>
        </w:tc>
        <w:tc>
          <w:tcPr>
            <w:tcW w:w="2269" w:type="dxa"/>
          </w:tcPr>
          <w:p w14:paraId="515C5746" w14:textId="77777777" w:rsidR="006D5241" w:rsidRPr="008D3C26" w:rsidRDefault="00974376"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Audit outcomes</w:t>
            </w:r>
          </w:p>
        </w:tc>
        <w:tc>
          <w:tcPr>
            <w:tcW w:w="2501" w:type="dxa"/>
          </w:tcPr>
          <w:p w14:paraId="5E8CF02B" w14:textId="77777777" w:rsidR="006D5241" w:rsidRPr="008D3C26" w:rsidRDefault="00974376"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Audit outcomes of the outstanding universities and TVET Colleges</w:t>
            </w:r>
          </w:p>
        </w:tc>
        <w:tc>
          <w:tcPr>
            <w:tcW w:w="3026" w:type="dxa"/>
          </w:tcPr>
          <w:p w14:paraId="5FE6965C" w14:textId="77777777" w:rsidR="006D5241" w:rsidRPr="008D3C26" w:rsidRDefault="00974376"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AGSA to report to the Committee in the next quarterly meeting in 2018.</w:t>
            </w:r>
          </w:p>
        </w:tc>
      </w:tr>
      <w:tr w:rsidR="00EF569B" w:rsidRPr="008D3C26" w14:paraId="6B347B41" w14:textId="77777777" w:rsidTr="0010291C">
        <w:tc>
          <w:tcPr>
            <w:tcW w:w="1555" w:type="dxa"/>
          </w:tcPr>
          <w:p w14:paraId="5ABA1945" w14:textId="77777777" w:rsidR="00EF569B"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CATHSETA</w:t>
            </w:r>
          </w:p>
          <w:p w14:paraId="30684DB3"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EWSETA</w:t>
            </w:r>
          </w:p>
          <w:p w14:paraId="2C799981"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SASSETA</w:t>
            </w:r>
          </w:p>
          <w:p w14:paraId="5002BCA9"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Services SETA</w:t>
            </w:r>
          </w:p>
          <w:p w14:paraId="140C6E39"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PSETA</w:t>
            </w:r>
          </w:p>
          <w:p w14:paraId="3BED377B"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W&amp;RSETA</w:t>
            </w:r>
          </w:p>
          <w:p w14:paraId="16763B0F"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ETDP SETA</w:t>
            </w:r>
          </w:p>
          <w:p w14:paraId="50C46BF7"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FASSET</w:t>
            </w:r>
          </w:p>
          <w:p w14:paraId="1A6EC171"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SASSETA</w:t>
            </w:r>
          </w:p>
          <w:p w14:paraId="25FFD64E" w14:textId="77777777" w:rsidR="0010291C" w:rsidRPr="008D3C26" w:rsidRDefault="0010291C" w:rsidP="00A84BE0">
            <w:pPr>
              <w:spacing w:line="360" w:lineRule="auto"/>
              <w:jc w:val="left"/>
              <w:rPr>
                <w:rFonts w:ascii="Times New Roman" w:hAnsi="Times New Roman" w:cs="Times New Roman"/>
                <w:sz w:val="24"/>
                <w:szCs w:val="24"/>
              </w:rPr>
            </w:pPr>
          </w:p>
        </w:tc>
        <w:tc>
          <w:tcPr>
            <w:tcW w:w="2269" w:type="dxa"/>
          </w:tcPr>
          <w:p w14:paraId="62CD4866" w14:textId="77777777" w:rsidR="00EF569B" w:rsidRPr="008D3C26" w:rsidRDefault="0010291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Audit findings</w:t>
            </w:r>
          </w:p>
        </w:tc>
        <w:tc>
          <w:tcPr>
            <w:tcW w:w="2501" w:type="dxa"/>
          </w:tcPr>
          <w:p w14:paraId="785F57A1" w14:textId="77777777" w:rsidR="0010291C" w:rsidRPr="008D3C26" w:rsidRDefault="0010291C"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Action plan to address the AG findings should be developed, implemented and monitored</w:t>
            </w:r>
          </w:p>
          <w:p w14:paraId="7CB1AEE0" w14:textId="77777777" w:rsidR="0010291C" w:rsidRPr="008D3C26" w:rsidRDefault="0010291C" w:rsidP="00A84BE0">
            <w:pPr>
              <w:spacing w:line="360" w:lineRule="auto"/>
              <w:jc w:val="left"/>
              <w:rPr>
                <w:rFonts w:ascii="Times New Roman" w:hAnsi="Times New Roman" w:cs="Times New Roman"/>
                <w:bCs/>
                <w:sz w:val="24"/>
                <w:szCs w:val="24"/>
              </w:rPr>
            </w:pPr>
          </w:p>
          <w:p w14:paraId="478EBD16" w14:textId="77777777" w:rsidR="00EF569B" w:rsidRPr="008D3C26" w:rsidRDefault="0010291C" w:rsidP="00A84BE0">
            <w:pPr>
              <w:spacing w:line="360" w:lineRule="auto"/>
              <w:jc w:val="left"/>
              <w:rPr>
                <w:rFonts w:ascii="Times New Roman" w:hAnsi="Times New Roman" w:cs="Times New Roman"/>
                <w:bCs/>
                <w:sz w:val="24"/>
                <w:szCs w:val="24"/>
              </w:rPr>
            </w:pPr>
            <w:r w:rsidRPr="008D3C26">
              <w:rPr>
                <w:rFonts w:ascii="Times New Roman" w:hAnsi="Times New Roman" w:cs="Times New Roman"/>
                <w:bCs/>
                <w:sz w:val="24"/>
                <w:szCs w:val="24"/>
              </w:rPr>
              <w:t>Internal audit and audit committees should</w:t>
            </w:r>
            <w:r w:rsidRPr="008D3C26">
              <w:rPr>
                <w:rFonts w:ascii="Times New Roman" w:hAnsi="Times New Roman" w:cs="Times New Roman"/>
                <w:sz w:val="24"/>
                <w:szCs w:val="24"/>
              </w:rPr>
              <w:t xml:space="preserve"> appear before the Committee to report progress on the implementation of the action plans</w:t>
            </w:r>
          </w:p>
        </w:tc>
        <w:tc>
          <w:tcPr>
            <w:tcW w:w="3026" w:type="dxa"/>
          </w:tcPr>
          <w:p w14:paraId="49F8DC9E" w14:textId="77777777" w:rsidR="00EF569B" w:rsidRPr="008D3C26" w:rsidRDefault="0010291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At the next quarterly reporting in 2018 and during oversight visits</w:t>
            </w:r>
          </w:p>
        </w:tc>
      </w:tr>
      <w:tr w:rsidR="00EF569B" w:rsidRPr="008D3C26" w14:paraId="20948F50" w14:textId="77777777" w:rsidTr="0010291C">
        <w:tc>
          <w:tcPr>
            <w:tcW w:w="1555" w:type="dxa"/>
          </w:tcPr>
          <w:p w14:paraId="57694EFE"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CATHSETA</w:t>
            </w:r>
          </w:p>
          <w:p w14:paraId="7E085324"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EWSETA</w:t>
            </w:r>
          </w:p>
          <w:p w14:paraId="206A895C"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Services SETA</w:t>
            </w:r>
          </w:p>
          <w:p w14:paraId="32245CDF"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PSETA</w:t>
            </w:r>
          </w:p>
          <w:p w14:paraId="380BB7AC"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W&amp;RSETA</w:t>
            </w:r>
          </w:p>
          <w:p w14:paraId="34920119" w14:textId="77777777" w:rsidR="00EF569B" w:rsidRPr="008D3C26" w:rsidRDefault="00EF569B" w:rsidP="00A84BE0">
            <w:pPr>
              <w:spacing w:line="360" w:lineRule="auto"/>
              <w:jc w:val="left"/>
              <w:rPr>
                <w:rFonts w:ascii="Times New Roman" w:hAnsi="Times New Roman" w:cs="Times New Roman"/>
                <w:sz w:val="24"/>
                <w:szCs w:val="24"/>
              </w:rPr>
            </w:pPr>
          </w:p>
        </w:tc>
        <w:tc>
          <w:tcPr>
            <w:tcW w:w="2269" w:type="dxa"/>
          </w:tcPr>
          <w:p w14:paraId="6040FE16" w14:textId="77777777" w:rsidR="00EF569B" w:rsidRPr="008D3C26" w:rsidRDefault="0010291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 xml:space="preserve">Irregular expenditure </w:t>
            </w:r>
          </w:p>
        </w:tc>
        <w:tc>
          <w:tcPr>
            <w:tcW w:w="2501" w:type="dxa"/>
          </w:tcPr>
          <w:p w14:paraId="3860824F" w14:textId="77777777" w:rsidR="00EF569B" w:rsidRPr="008D3C26" w:rsidRDefault="00B21285" w:rsidP="00A84BE0">
            <w:pPr>
              <w:spacing w:line="360" w:lineRule="auto"/>
              <w:jc w:val="left"/>
              <w:rPr>
                <w:rFonts w:ascii="Times New Roman" w:hAnsi="Times New Roman" w:cs="Times New Roman"/>
                <w:sz w:val="24"/>
                <w:szCs w:val="24"/>
              </w:rPr>
            </w:pPr>
            <w:r w:rsidRPr="008D3C26">
              <w:rPr>
                <w:rFonts w:ascii="Times New Roman" w:hAnsi="Times New Roman" w:cs="Times New Roman"/>
                <w:bCs/>
                <w:sz w:val="24"/>
                <w:szCs w:val="24"/>
              </w:rPr>
              <w:t>SETAs to conduct investigations and implement consequence management</w:t>
            </w:r>
          </w:p>
        </w:tc>
        <w:tc>
          <w:tcPr>
            <w:tcW w:w="3026" w:type="dxa"/>
          </w:tcPr>
          <w:p w14:paraId="6973F540" w14:textId="77777777" w:rsidR="00EF569B" w:rsidRPr="008D3C26" w:rsidRDefault="00B21285"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SETAs to report to the Committee on the outcomes of the investigation and implementation of consequence management at the next quarterly report.</w:t>
            </w:r>
          </w:p>
        </w:tc>
      </w:tr>
      <w:tr w:rsidR="0010291C" w:rsidRPr="008D3C26" w14:paraId="705500AC" w14:textId="77777777" w:rsidTr="0010291C">
        <w:tc>
          <w:tcPr>
            <w:tcW w:w="1555" w:type="dxa"/>
          </w:tcPr>
          <w:p w14:paraId="7E4ABB96"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ETDP SETA</w:t>
            </w:r>
          </w:p>
          <w:p w14:paraId="140B6D4B" w14:textId="77777777" w:rsidR="0010291C" w:rsidRPr="008D3C26" w:rsidRDefault="0010291C" w:rsidP="00A84BE0">
            <w:pPr>
              <w:spacing w:line="360" w:lineRule="auto"/>
              <w:jc w:val="left"/>
              <w:rPr>
                <w:rFonts w:ascii="Times New Roman" w:hAnsi="Times New Roman" w:cs="Times New Roman"/>
                <w:b/>
                <w:sz w:val="24"/>
                <w:szCs w:val="24"/>
              </w:rPr>
            </w:pPr>
            <w:r w:rsidRPr="008D3C26">
              <w:rPr>
                <w:rFonts w:ascii="Times New Roman" w:hAnsi="Times New Roman" w:cs="Times New Roman"/>
                <w:b/>
                <w:sz w:val="24"/>
                <w:szCs w:val="24"/>
              </w:rPr>
              <w:t>FASSET</w:t>
            </w:r>
          </w:p>
          <w:p w14:paraId="156C9D35" w14:textId="77777777" w:rsidR="0010291C" w:rsidRPr="008D3C26" w:rsidRDefault="0010291C" w:rsidP="00A84BE0">
            <w:pPr>
              <w:spacing w:line="360" w:lineRule="auto"/>
              <w:jc w:val="left"/>
              <w:rPr>
                <w:rFonts w:ascii="Times New Roman" w:hAnsi="Times New Roman" w:cs="Times New Roman"/>
                <w:sz w:val="24"/>
                <w:szCs w:val="24"/>
              </w:rPr>
            </w:pPr>
            <w:r w:rsidRPr="008D3C26">
              <w:rPr>
                <w:rFonts w:ascii="Times New Roman" w:hAnsi="Times New Roman" w:cs="Times New Roman"/>
                <w:b/>
                <w:sz w:val="24"/>
                <w:szCs w:val="24"/>
              </w:rPr>
              <w:t>SASSETA</w:t>
            </w:r>
          </w:p>
        </w:tc>
        <w:tc>
          <w:tcPr>
            <w:tcW w:w="2269" w:type="dxa"/>
          </w:tcPr>
          <w:p w14:paraId="02D7AE42" w14:textId="77777777" w:rsidR="0010291C" w:rsidRPr="008D3C26" w:rsidRDefault="0010291C"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Fruitless and wasteful expenditure</w:t>
            </w:r>
          </w:p>
        </w:tc>
        <w:tc>
          <w:tcPr>
            <w:tcW w:w="2501" w:type="dxa"/>
          </w:tcPr>
          <w:p w14:paraId="2744CFB4" w14:textId="77777777" w:rsidR="0010291C" w:rsidRPr="008D3C26" w:rsidRDefault="00B21285" w:rsidP="00A84BE0">
            <w:pPr>
              <w:spacing w:line="360" w:lineRule="auto"/>
              <w:jc w:val="left"/>
              <w:rPr>
                <w:rFonts w:ascii="Times New Roman" w:hAnsi="Times New Roman" w:cs="Times New Roman"/>
                <w:sz w:val="24"/>
                <w:szCs w:val="24"/>
              </w:rPr>
            </w:pPr>
            <w:r w:rsidRPr="008D3C26">
              <w:rPr>
                <w:rFonts w:ascii="Times New Roman" w:hAnsi="Times New Roman" w:cs="Times New Roman"/>
                <w:bCs/>
                <w:sz w:val="24"/>
                <w:szCs w:val="24"/>
              </w:rPr>
              <w:t>SETAs to conduct investigations and implement consequence management</w:t>
            </w:r>
          </w:p>
        </w:tc>
        <w:tc>
          <w:tcPr>
            <w:tcW w:w="3026" w:type="dxa"/>
          </w:tcPr>
          <w:p w14:paraId="15E0E8F0" w14:textId="77777777" w:rsidR="0010291C" w:rsidRPr="008D3C26" w:rsidRDefault="00B21285" w:rsidP="00A84BE0">
            <w:pPr>
              <w:spacing w:line="360" w:lineRule="auto"/>
              <w:jc w:val="left"/>
              <w:rPr>
                <w:rFonts w:ascii="Times New Roman" w:hAnsi="Times New Roman" w:cs="Times New Roman"/>
                <w:sz w:val="24"/>
                <w:szCs w:val="24"/>
              </w:rPr>
            </w:pPr>
            <w:r w:rsidRPr="008D3C26">
              <w:rPr>
                <w:rFonts w:ascii="Times New Roman" w:hAnsi="Times New Roman" w:cs="Times New Roman"/>
                <w:sz w:val="24"/>
                <w:szCs w:val="24"/>
              </w:rPr>
              <w:t>SETAs to report to the Committee on the outcomes of the investigation and implementation of consequence management at the next quarterly report.</w:t>
            </w:r>
          </w:p>
        </w:tc>
      </w:tr>
    </w:tbl>
    <w:p w14:paraId="0807BD40" w14:textId="77777777" w:rsidR="007E2F5A" w:rsidRPr="008D3C26" w:rsidRDefault="007E2F5A" w:rsidP="002D1418">
      <w:pPr>
        <w:rPr>
          <w:rFonts w:ascii="Times New Roman" w:hAnsi="Times New Roman" w:cs="Times New Roman"/>
          <w:b/>
          <w:sz w:val="24"/>
          <w:szCs w:val="24"/>
        </w:rPr>
      </w:pPr>
    </w:p>
    <w:p w14:paraId="2BF3EFFB" w14:textId="77777777" w:rsidR="00A144B7" w:rsidRPr="008D3C26" w:rsidRDefault="00C01EE8" w:rsidP="00606B0E">
      <w:pPr>
        <w:rPr>
          <w:rFonts w:ascii="Times New Roman" w:hAnsi="Times New Roman" w:cs="Times New Roman"/>
          <w:b/>
          <w:caps/>
          <w:sz w:val="24"/>
          <w:szCs w:val="24"/>
        </w:rPr>
      </w:pPr>
      <w:r w:rsidRPr="008D3C26">
        <w:rPr>
          <w:rFonts w:ascii="Times New Roman" w:hAnsi="Times New Roman" w:cs="Times New Roman"/>
          <w:b/>
          <w:caps/>
          <w:sz w:val="24"/>
          <w:szCs w:val="24"/>
        </w:rPr>
        <w:t>9</w:t>
      </w:r>
      <w:r w:rsidR="00606B0E" w:rsidRPr="008D3C26">
        <w:rPr>
          <w:rFonts w:ascii="Times New Roman" w:hAnsi="Times New Roman" w:cs="Times New Roman"/>
          <w:b/>
          <w:caps/>
          <w:sz w:val="24"/>
          <w:szCs w:val="24"/>
        </w:rPr>
        <w:t xml:space="preserve">. </w:t>
      </w:r>
      <w:r w:rsidR="00A144B7" w:rsidRPr="008D3C26">
        <w:rPr>
          <w:rFonts w:ascii="Times New Roman" w:hAnsi="Times New Roman" w:cs="Times New Roman"/>
          <w:b/>
          <w:caps/>
          <w:sz w:val="24"/>
          <w:szCs w:val="24"/>
        </w:rPr>
        <w:t>CON</w:t>
      </w:r>
      <w:r w:rsidR="00074C6F" w:rsidRPr="008D3C26">
        <w:rPr>
          <w:rFonts w:ascii="Times New Roman" w:hAnsi="Times New Roman" w:cs="Times New Roman"/>
          <w:b/>
          <w:caps/>
          <w:sz w:val="24"/>
          <w:szCs w:val="24"/>
        </w:rPr>
        <w:t>C</w:t>
      </w:r>
      <w:r w:rsidR="00A144B7" w:rsidRPr="008D3C26">
        <w:rPr>
          <w:rFonts w:ascii="Times New Roman" w:hAnsi="Times New Roman" w:cs="Times New Roman"/>
          <w:b/>
          <w:caps/>
          <w:sz w:val="24"/>
          <w:szCs w:val="24"/>
        </w:rPr>
        <w:t>LUSION</w:t>
      </w:r>
    </w:p>
    <w:p w14:paraId="484A3EB5" w14:textId="77777777" w:rsidR="00606B0E" w:rsidRPr="008D3C26" w:rsidRDefault="00606B0E" w:rsidP="00606B0E">
      <w:pPr>
        <w:rPr>
          <w:rFonts w:ascii="Times New Roman" w:hAnsi="Times New Roman" w:cs="Times New Roman"/>
          <w:sz w:val="24"/>
          <w:szCs w:val="24"/>
        </w:rPr>
      </w:pPr>
      <w:r w:rsidRPr="008D3C26">
        <w:rPr>
          <w:rFonts w:ascii="Times New Roman" w:hAnsi="Times New Roman" w:cs="Times New Roman"/>
          <w:sz w:val="24"/>
          <w:szCs w:val="24"/>
        </w:rPr>
        <w:t>The Department reported on its 2016/17 annual report, which is the second annual report since the implementation of the 2014</w:t>
      </w:r>
      <w:r w:rsidR="004F6FB0" w:rsidRPr="008D3C26">
        <w:rPr>
          <w:rFonts w:ascii="Times New Roman" w:hAnsi="Times New Roman" w:cs="Times New Roman"/>
          <w:sz w:val="24"/>
          <w:szCs w:val="24"/>
        </w:rPr>
        <w:t xml:space="preserve"> </w:t>
      </w:r>
      <w:r w:rsidRPr="008D3C26">
        <w:rPr>
          <w:rFonts w:ascii="Times New Roman" w:hAnsi="Times New Roman" w:cs="Times New Roman"/>
          <w:sz w:val="24"/>
          <w:szCs w:val="24"/>
        </w:rPr>
        <w:t xml:space="preserve">- 2019 Medium-Term Strategic Framework. </w:t>
      </w:r>
      <w:r w:rsidR="009E0941" w:rsidRPr="008D3C26">
        <w:rPr>
          <w:rFonts w:ascii="Times New Roman" w:hAnsi="Times New Roman" w:cs="Times New Roman"/>
          <w:sz w:val="24"/>
          <w:szCs w:val="24"/>
        </w:rPr>
        <w:t>The Department received an unqualified audit opinion with findings</w:t>
      </w:r>
      <w:r w:rsidR="00025C9F" w:rsidRPr="008D3C26">
        <w:rPr>
          <w:rFonts w:ascii="Times New Roman" w:hAnsi="Times New Roman" w:cs="Times New Roman"/>
          <w:sz w:val="24"/>
          <w:szCs w:val="24"/>
        </w:rPr>
        <w:t>. Of great concern is to note the recurring of prior year findings, which is an indication that action plan developed to address the AG findings was inadequately implemented. Though the Audit Committee of the Department assured the Committee that action plans were been implemented, it was really concerning to see increases in the irregular expenditure, and some of the cases of the irregular expenditure were repeat findings. The Department’s expenditure during the year under review was 99.9 per cent, with 80 percent achievement of Departmental targets and 53 per cent achievement of system performance indicators.</w:t>
      </w:r>
      <w:r w:rsidR="00AA551E" w:rsidRPr="008D3C26">
        <w:rPr>
          <w:rFonts w:ascii="Times New Roman" w:hAnsi="Times New Roman" w:cs="Times New Roman"/>
          <w:sz w:val="24"/>
          <w:szCs w:val="24"/>
        </w:rPr>
        <w:t xml:space="preserve"> </w:t>
      </w:r>
      <w:r w:rsidR="00025C9F" w:rsidRPr="008D3C26">
        <w:rPr>
          <w:rFonts w:ascii="Times New Roman" w:hAnsi="Times New Roman" w:cs="Times New Roman"/>
          <w:sz w:val="24"/>
          <w:szCs w:val="24"/>
        </w:rPr>
        <w:t xml:space="preserve">The Department recorded significant achievements in </w:t>
      </w:r>
      <w:r w:rsidR="00016702" w:rsidRPr="008D3C26">
        <w:rPr>
          <w:rFonts w:ascii="Times New Roman" w:hAnsi="Times New Roman" w:cs="Times New Roman"/>
          <w:sz w:val="24"/>
          <w:szCs w:val="24"/>
        </w:rPr>
        <w:t xml:space="preserve">both Departmental and system performance indicators in University Education and Skills Development programmes. </w:t>
      </w:r>
      <w:r w:rsidR="00DB7743" w:rsidRPr="008D3C26">
        <w:rPr>
          <w:rFonts w:ascii="Times New Roman" w:hAnsi="Times New Roman" w:cs="Times New Roman"/>
          <w:sz w:val="24"/>
          <w:szCs w:val="24"/>
        </w:rPr>
        <w:t>Overall, there was an increase of 5 per</w:t>
      </w:r>
      <w:r w:rsidR="00DC39F8" w:rsidRPr="008D3C26">
        <w:rPr>
          <w:rFonts w:ascii="Times New Roman" w:hAnsi="Times New Roman" w:cs="Times New Roman"/>
          <w:sz w:val="24"/>
          <w:szCs w:val="24"/>
        </w:rPr>
        <w:t xml:space="preserve"> </w:t>
      </w:r>
      <w:r w:rsidR="00DB7743" w:rsidRPr="008D3C26">
        <w:rPr>
          <w:rFonts w:ascii="Times New Roman" w:hAnsi="Times New Roman" w:cs="Times New Roman"/>
          <w:sz w:val="24"/>
          <w:szCs w:val="24"/>
        </w:rPr>
        <w:t>cent from 75 per cent achievement in 2015/16 to 80 per</w:t>
      </w:r>
      <w:r w:rsidR="00DC39F8" w:rsidRPr="008D3C26">
        <w:rPr>
          <w:rFonts w:ascii="Times New Roman" w:hAnsi="Times New Roman" w:cs="Times New Roman"/>
          <w:sz w:val="24"/>
          <w:szCs w:val="24"/>
        </w:rPr>
        <w:t xml:space="preserve"> </w:t>
      </w:r>
      <w:r w:rsidR="00DB7743" w:rsidRPr="008D3C26">
        <w:rPr>
          <w:rFonts w:ascii="Times New Roman" w:hAnsi="Times New Roman" w:cs="Times New Roman"/>
          <w:sz w:val="24"/>
          <w:szCs w:val="24"/>
        </w:rPr>
        <w:t xml:space="preserve">cent achievement in 2016/17. </w:t>
      </w:r>
    </w:p>
    <w:p w14:paraId="63548D61" w14:textId="77777777" w:rsidR="00DB7743" w:rsidRPr="008D3C26" w:rsidRDefault="00DB7743" w:rsidP="00606B0E">
      <w:pPr>
        <w:rPr>
          <w:rFonts w:ascii="Times New Roman" w:hAnsi="Times New Roman" w:cs="Times New Roman"/>
          <w:sz w:val="24"/>
          <w:szCs w:val="24"/>
        </w:rPr>
      </w:pPr>
      <w:r w:rsidRPr="008D3C26">
        <w:rPr>
          <w:rFonts w:ascii="Times New Roman" w:hAnsi="Times New Roman" w:cs="Times New Roman"/>
          <w:sz w:val="24"/>
          <w:szCs w:val="24"/>
        </w:rPr>
        <w:t xml:space="preserve">Programmes 4: TVET and 6: CET underperformed in the system performance targets due to unavailability of data. The Committee expressed concerns about unavailability of data for the two sectors which hampered its oversight function over these programmes. </w:t>
      </w:r>
      <w:r w:rsidR="00A75861" w:rsidRPr="008D3C26">
        <w:rPr>
          <w:rFonts w:ascii="Times New Roman" w:hAnsi="Times New Roman" w:cs="Times New Roman"/>
          <w:sz w:val="24"/>
          <w:szCs w:val="24"/>
        </w:rPr>
        <w:t xml:space="preserve">Furthermore, the Committee expressed </w:t>
      </w:r>
      <w:r w:rsidR="0022667F" w:rsidRPr="008D3C26">
        <w:rPr>
          <w:rFonts w:ascii="Times New Roman" w:hAnsi="Times New Roman" w:cs="Times New Roman"/>
          <w:sz w:val="24"/>
          <w:szCs w:val="24"/>
        </w:rPr>
        <w:t xml:space="preserve">a </w:t>
      </w:r>
      <w:r w:rsidR="00A75861" w:rsidRPr="008D3C26">
        <w:rPr>
          <w:rFonts w:ascii="Times New Roman" w:hAnsi="Times New Roman" w:cs="Times New Roman"/>
          <w:sz w:val="24"/>
          <w:szCs w:val="24"/>
        </w:rPr>
        <w:t>concern with the impact of basic education on the outcomes of the PSET sector. The Committee commended</w:t>
      </w:r>
      <w:r w:rsidR="004F6FB0" w:rsidRPr="008D3C26">
        <w:rPr>
          <w:rFonts w:ascii="Times New Roman" w:hAnsi="Times New Roman" w:cs="Times New Roman"/>
          <w:sz w:val="24"/>
          <w:szCs w:val="24"/>
        </w:rPr>
        <w:t xml:space="preserve"> the</w:t>
      </w:r>
      <w:r w:rsidR="00A75861" w:rsidRPr="008D3C26">
        <w:rPr>
          <w:rFonts w:ascii="Times New Roman" w:hAnsi="Times New Roman" w:cs="Times New Roman"/>
          <w:sz w:val="24"/>
          <w:szCs w:val="24"/>
        </w:rPr>
        <w:t xml:space="preserve"> progress made in the issuance of NC(V) certification backlog and further urged that SITA should address </w:t>
      </w:r>
      <w:r w:rsidR="00455B2C" w:rsidRPr="008D3C26">
        <w:rPr>
          <w:rFonts w:ascii="Times New Roman" w:hAnsi="Times New Roman" w:cs="Times New Roman"/>
          <w:sz w:val="24"/>
          <w:szCs w:val="24"/>
        </w:rPr>
        <w:t>the IT challenges so that certificates could be issued within the prescribed timeframes. The Committee also urged the Department to ensure that TVET Colleges submit clean data so as to expedite the issuance of certificates.</w:t>
      </w:r>
    </w:p>
    <w:p w14:paraId="3DC0A418" w14:textId="77777777" w:rsidR="00A144B7" w:rsidRPr="008D3C26" w:rsidRDefault="00A144B7" w:rsidP="002D1418">
      <w:pPr>
        <w:spacing w:after="0"/>
        <w:rPr>
          <w:rFonts w:ascii="Times New Roman" w:hAnsi="Times New Roman" w:cs="Times New Roman"/>
          <w:sz w:val="24"/>
          <w:szCs w:val="24"/>
        </w:rPr>
      </w:pPr>
    </w:p>
    <w:p w14:paraId="22640F1A" w14:textId="77777777" w:rsidR="00E868FA" w:rsidRPr="008D3C26" w:rsidRDefault="00FA07BA" w:rsidP="002D1418">
      <w:pPr>
        <w:spacing w:after="0"/>
        <w:rPr>
          <w:rFonts w:ascii="Times New Roman" w:hAnsi="Times New Roman" w:cs="Times New Roman"/>
          <w:b/>
          <w:caps/>
          <w:sz w:val="24"/>
          <w:szCs w:val="24"/>
        </w:rPr>
      </w:pPr>
      <w:r w:rsidRPr="008D3C26">
        <w:rPr>
          <w:rFonts w:ascii="Times New Roman" w:hAnsi="Times New Roman" w:cs="Times New Roman"/>
          <w:sz w:val="24"/>
          <w:szCs w:val="24"/>
        </w:rPr>
        <w:t>Report to be considered.</w:t>
      </w:r>
    </w:p>
    <w:p w14:paraId="73A41EE0" w14:textId="77777777" w:rsidR="00A144B7" w:rsidRPr="008D3C26" w:rsidRDefault="00A144B7" w:rsidP="002D1418">
      <w:pPr>
        <w:pStyle w:val="ListParagraph"/>
        <w:spacing w:after="0"/>
        <w:ind w:left="0"/>
        <w:rPr>
          <w:rFonts w:ascii="Times New Roman" w:hAnsi="Times New Roman" w:cs="Times New Roman"/>
          <w:b/>
          <w:caps/>
          <w:sz w:val="24"/>
          <w:szCs w:val="24"/>
        </w:rPr>
      </w:pPr>
    </w:p>
    <w:sectPr w:rsidR="00A144B7" w:rsidRPr="008D3C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18A59" w14:textId="77777777" w:rsidR="00C754D8" w:rsidRDefault="00C754D8" w:rsidP="008B7DA8">
      <w:pPr>
        <w:spacing w:after="0" w:line="240" w:lineRule="auto"/>
      </w:pPr>
      <w:r>
        <w:separator/>
      </w:r>
    </w:p>
  </w:endnote>
  <w:endnote w:type="continuationSeparator" w:id="0">
    <w:p w14:paraId="0376253B" w14:textId="77777777" w:rsidR="00C754D8" w:rsidRDefault="00C754D8" w:rsidP="008B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38305"/>
      <w:docPartObj>
        <w:docPartGallery w:val="Page Numbers (Bottom of Page)"/>
        <w:docPartUnique/>
      </w:docPartObj>
    </w:sdtPr>
    <w:sdtEndPr>
      <w:rPr>
        <w:noProof/>
      </w:rPr>
    </w:sdtEndPr>
    <w:sdtContent>
      <w:p w14:paraId="33058F20" w14:textId="4EB6E7E2" w:rsidR="00E524CB" w:rsidRDefault="00E524CB">
        <w:pPr>
          <w:pStyle w:val="Footer"/>
          <w:jc w:val="right"/>
        </w:pPr>
        <w:r>
          <w:fldChar w:fldCharType="begin"/>
        </w:r>
        <w:r>
          <w:instrText xml:space="preserve"> PAGE   \* MERGEFORMAT </w:instrText>
        </w:r>
        <w:r>
          <w:fldChar w:fldCharType="separate"/>
        </w:r>
        <w:r w:rsidR="007E0BFF">
          <w:rPr>
            <w:noProof/>
          </w:rPr>
          <w:t>1</w:t>
        </w:r>
        <w:r>
          <w:rPr>
            <w:noProof/>
          </w:rPr>
          <w:fldChar w:fldCharType="end"/>
        </w:r>
      </w:p>
    </w:sdtContent>
  </w:sdt>
  <w:p w14:paraId="775087FA" w14:textId="77777777" w:rsidR="00E524CB" w:rsidRDefault="00E5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D7709" w14:textId="77777777" w:rsidR="00C754D8" w:rsidRDefault="00C754D8" w:rsidP="008B7DA8">
      <w:pPr>
        <w:spacing w:after="0" w:line="240" w:lineRule="auto"/>
      </w:pPr>
      <w:r>
        <w:separator/>
      </w:r>
    </w:p>
  </w:footnote>
  <w:footnote w:type="continuationSeparator" w:id="0">
    <w:p w14:paraId="1ABB6197" w14:textId="77777777" w:rsidR="00C754D8" w:rsidRDefault="00C754D8" w:rsidP="008B7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78"/>
    <w:multiLevelType w:val="hybridMultilevel"/>
    <w:tmpl w:val="57805B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262003"/>
    <w:multiLevelType w:val="hybridMultilevel"/>
    <w:tmpl w:val="637E5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D43F52"/>
    <w:multiLevelType w:val="hybridMultilevel"/>
    <w:tmpl w:val="BA9C9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6C6684"/>
    <w:multiLevelType w:val="hybridMultilevel"/>
    <w:tmpl w:val="05D07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5071398"/>
    <w:multiLevelType w:val="hybridMultilevel"/>
    <w:tmpl w:val="C42AF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5303AE8"/>
    <w:multiLevelType w:val="hybridMultilevel"/>
    <w:tmpl w:val="47C0E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8D23EB"/>
    <w:multiLevelType w:val="hybridMultilevel"/>
    <w:tmpl w:val="E03AD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FB1982"/>
    <w:multiLevelType w:val="hybridMultilevel"/>
    <w:tmpl w:val="891A4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B36546E"/>
    <w:multiLevelType w:val="hybridMultilevel"/>
    <w:tmpl w:val="2A92702E"/>
    <w:lvl w:ilvl="0" w:tplc="09F0B414">
      <w:start w:val="1"/>
      <w:numFmt w:val="bullet"/>
      <w:pStyle w:val="bulletlist"/>
      <w:lvlText w:val="•"/>
      <w:lvlJc w:val="left"/>
      <w:pPr>
        <w:ind w:left="720" w:hanging="360"/>
      </w:pPr>
      <w:rPr>
        <w:rFonts w:ascii="Arial" w:hAnsi="Arial" w:cs="Times New Roman" w:hint="default"/>
        <w:b w:val="0"/>
        <w:bCs w:val="0"/>
        <w:i w:val="0"/>
        <w:iCs w:val="0"/>
        <w:caps w:val="0"/>
        <w:smallCaps w:val="0"/>
        <w:strike w:val="0"/>
        <w:dstrike w:val="0"/>
        <w:noProof w:val="0"/>
        <w:snapToGrid w:val="0"/>
        <w:vanish w:val="0"/>
        <w:color w:val="000000" w:themeColor="text1"/>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67E78"/>
    <w:multiLevelType w:val="hybridMultilevel"/>
    <w:tmpl w:val="0F7C6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0BB7C53"/>
    <w:multiLevelType w:val="hybridMultilevel"/>
    <w:tmpl w:val="8E80271E"/>
    <w:lvl w:ilvl="0" w:tplc="1A348C7A">
      <w:start w:val="1"/>
      <w:numFmt w:val="decimal"/>
      <w:lvlText w:val="%1."/>
      <w:lvlJc w:val="left"/>
      <w:pPr>
        <w:ind w:left="720" w:hanging="360"/>
      </w:pPr>
      <w:rPr>
        <w:rFonts w:ascii="Arial" w:hAnsi="Arial" w:cs="Arial" w:hint="default"/>
        <w:b/>
        <w:i w:val="0"/>
        <w:color w:val="000000" w:themeColor="text1"/>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FD0BAB"/>
    <w:multiLevelType w:val="hybridMultilevel"/>
    <w:tmpl w:val="8270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05CC4"/>
    <w:multiLevelType w:val="hybridMultilevel"/>
    <w:tmpl w:val="307C4A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04D61BC"/>
    <w:multiLevelType w:val="multilevel"/>
    <w:tmpl w:val="84E01BA8"/>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43222F"/>
    <w:multiLevelType w:val="hybridMultilevel"/>
    <w:tmpl w:val="A7FA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064320"/>
    <w:multiLevelType w:val="hybridMultilevel"/>
    <w:tmpl w:val="B9268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37165A5"/>
    <w:multiLevelType w:val="hybridMultilevel"/>
    <w:tmpl w:val="86B68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6FB3751"/>
    <w:multiLevelType w:val="multilevel"/>
    <w:tmpl w:val="A98016AC"/>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7104CE8"/>
    <w:multiLevelType w:val="hybridMultilevel"/>
    <w:tmpl w:val="2BDC15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8091246"/>
    <w:multiLevelType w:val="hybridMultilevel"/>
    <w:tmpl w:val="81B2F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92247D7"/>
    <w:multiLevelType w:val="hybridMultilevel"/>
    <w:tmpl w:val="8026B2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AEC59E9"/>
    <w:multiLevelType w:val="hybridMultilevel"/>
    <w:tmpl w:val="0F8252B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2">
    <w:nsid w:val="2BCA0ED9"/>
    <w:multiLevelType w:val="multilevel"/>
    <w:tmpl w:val="A4B40136"/>
    <w:lvl w:ilvl="0">
      <w:start w:val="7"/>
      <w:numFmt w:val="decimal"/>
      <w:lvlText w:val="%1."/>
      <w:lvlJc w:val="left"/>
      <w:pPr>
        <w:ind w:left="660" w:hanging="660"/>
      </w:pPr>
      <w:rPr>
        <w:rFonts w:hint="default"/>
      </w:rPr>
    </w:lvl>
    <w:lvl w:ilvl="1">
      <w:start w:val="18"/>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E91FC5"/>
    <w:multiLevelType w:val="hybridMultilevel"/>
    <w:tmpl w:val="BBB21850"/>
    <w:lvl w:ilvl="0" w:tplc="7506C3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2F2736DA"/>
    <w:multiLevelType w:val="multilevel"/>
    <w:tmpl w:val="202A6DF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FB31C6C"/>
    <w:multiLevelType w:val="multilevel"/>
    <w:tmpl w:val="2B34CEE8"/>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586FA4"/>
    <w:multiLevelType w:val="multilevel"/>
    <w:tmpl w:val="5928B65A"/>
    <w:lvl w:ilvl="0">
      <w:start w:val="7"/>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D036F76"/>
    <w:multiLevelType w:val="multilevel"/>
    <w:tmpl w:val="477E14FE"/>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0455139"/>
    <w:multiLevelType w:val="multilevel"/>
    <w:tmpl w:val="477E14FE"/>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0BE087E"/>
    <w:multiLevelType w:val="hybridMultilevel"/>
    <w:tmpl w:val="17961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8523653"/>
    <w:multiLevelType w:val="hybridMultilevel"/>
    <w:tmpl w:val="79509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E9165CC"/>
    <w:multiLevelType w:val="hybridMultilevel"/>
    <w:tmpl w:val="40625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F43040F"/>
    <w:multiLevelType w:val="hybridMultilevel"/>
    <w:tmpl w:val="46FA31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B959BC"/>
    <w:multiLevelType w:val="hybridMultilevel"/>
    <w:tmpl w:val="D10A1B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548370AD"/>
    <w:multiLevelType w:val="hybridMultilevel"/>
    <w:tmpl w:val="C4242E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90E3879"/>
    <w:multiLevelType w:val="multilevel"/>
    <w:tmpl w:val="55A8925E"/>
    <w:lvl w:ilvl="0">
      <w:start w:val="7"/>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D3A4FC5"/>
    <w:multiLevelType w:val="hybridMultilevel"/>
    <w:tmpl w:val="EE70CE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7">
    <w:nsid w:val="5E7A284E"/>
    <w:multiLevelType w:val="hybridMultilevel"/>
    <w:tmpl w:val="973082CA"/>
    <w:lvl w:ilvl="0" w:tplc="F550BDFA">
      <w:start w:val="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0240602"/>
    <w:multiLevelType w:val="multilevel"/>
    <w:tmpl w:val="6C4CF6AE"/>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4FA14B7"/>
    <w:multiLevelType w:val="hybridMultilevel"/>
    <w:tmpl w:val="38767F2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0">
    <w:nsid w:val="652F1783"/>
    <w:multiLevelType w:val="hybridMultilevel"/>
    <w:tmpl w:val="710E99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nsid w:val="6CFC5160"/>
    <w:multiLevelType w:val="hybridMultilevel"/>
    <w:tmpl w:val="5AC0048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6E8957EF"/>
    <w:multiLevelType w:val="hybridMultilevel"/>
    <w:tmpl w:val="A02E96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3">
    <w:nsid w:val="71B445AD"/>
    <w:multiLevelType w:val="multilevel"/>
    <w:tmpl w:val="5CF24A80"/>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C61204"/>
    <w:multiLevelType w:val="hybridMultilevel"/>
    <w:tmpl w:val="BB32F7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6AC71F8"/>
    <w:multiLevelType w:val="multilevel"/>
    <w:tmpl w:val="093EED40"/>
    <w:lvl w:ilvl="0">
      <w:start w:val="7"/>
      <w:numFmt w:val="decimal"/>
      <w:lvlText w:val="%1."/>
      <w:lvlJc w:val="left"/>
      <w:pPr>
        <w:ind w:left="660" w:hanging="660"/>
      </w:pPr>
      <w:rPr>
        <w:rFonts w:hint="default"/>
      </w:rPr>
    </w:lvl>
    <w:lvl w:ilvl="1">
      <w:start w:val="1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7816E13"/>
    <w:multiLevelType w:val="multilevel"/>
    <w:tmpl w:val="35348608"/>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C76CCD"/>
    <w:multiLevelType w:val="multilevel"/>
    <w:tmpl w:val="9D7C26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B8032D7"/>
    <w:multiLevelType w:val="hybridMultilevel"/>
    <w:tmpl w:val="8FC4FD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E8745FD"/>
    <w:multiLevelType w:val="hybridMultilevel"/>
    <w:tmpl w:val="844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6"/>
  </w:num>
  <w:num w:numId="4">
    <w:abstractNumId w:val="34"/>
  </w:num>
  <w:num w:numId="5">
    <w:abstractNumId w:val="9"/>
  </w:num>
  <w:num w:numId="6">
    <w:abstractNumId w:val="39"/>
  </w:num>
  <w:num w:numId="7">
    <w:abstractNumId w:val="42"/>
  </w:num>
  <w:num w:numId="8">
    <w:abstractNumId w:val="7"/>
  </w:num>
  <w:num w:numId="9">
    <w:abstractNumId w:val="37"/>
  </w:num>
  <w:num w:numId="10">
    <w:abstractNumId w:val="49"/>
  </w:num>
  <w:num w:numId="11">
    <w:abstractNumId w:val="11"/>
  </w:num>
  <w:num w:numId="12">
    <w:abstractNumId w:val="18"/>
  </w:num>
  <w:num w:numId="13">
    <w:abstractNumId w:val="48"/>
  </w:num>
  <w:num w:numId="14">
    <w:abstractNumId w:val="5"/>
  </w:num>
  <w:num w:numId="15">
    <w:abstractNumId w:val="31"/>
  </w:num>
  <w:num w:numId="16">
    <w:abstractNumId w:val="15"/>
  </w:num>
  <w:num w:numId="17">
    <w:abstractNumId w:val="14"/>
  </w:num>
  <w:num w:numId="18">
    <w:abstractNumId w:val="23"/>
  </w:num>
  <w:num w:numId="19">
    <w:abstractNumId w:val="4"/>
  </w:num>
  <w:num w:numId="20">
    <w:abstractNumId w:val="1"/>
  </w:num>
  <w:num w:numId="21">
    <w:abstractNumId w:val="29"/>
  </w:num>
  <w:num w:numId="22">
    <w:abstractNumId w:val="33"/>
  </w:num>
  <w:num w:numId="23">
    <w:abstractNumId w:val="19"/>
  </w:num>
  <w:num w:numId="24">
    <w:abstractNumId w:val="32"/>
  </w:num>
  <w:num w:numId="25">
    <w:abstractNumId w:val="10"/>
  </w:num>
  <w:num w:numId="26">
    <w:abstractNumId w:val="20"/>
  </w:num>
  <w:num w:numId="27">
    <w:abstractNumId w:val="0"/>
  </w:num>
  <w:num w:numId="28">
    <w:abstractNumId w:val="12"/>
  </w:num>
  <w:num w:numId="29">
    <w:abstractNumId w:val="2"/>
  </w:num>
  <w:num w:numId="30">
    <w:abstractNumId w:val="27"/>
  </w:num>
  <w:num w:numId="31">
    <w:abstractNumId w:val="28"/>
  </w:num>
  <w:num w:numId="32">
    <w:abstractNumId w:val="24"/>
  </w:num>
  <w:num w:numId="33">
    <w:abstractNumId w:val="38"/>
  </w:num>
  <w:num w:numId="34">
    <w:abstractNumId w:val="40"/>
  </w:num>
  <w:num w:numId="35">
    <w:abstractNumId w:val="30"/>
  </w:num>
  <w:num w:numId="36">
    <w:abstractNumId w:val="3"/>
  </w:num>
  <w:num w:numId="37">
    <w:abstractNumId w:val="16"/>
  </w:num>
  <w:num w:numId="38">
    <w:abstractNumId w:val="35"/>
  </w:num>
  <w:num w:numId="39">
    <w:abstractNumId w:val="25"/>
  </w:num>
  <w:num w:numId="40">
    <w:abstractNumId w:val="46"/>
  </w:num>
  <w:num w:numId="41">
    <w:abstractNumId w:val="17"/>
  </w:num>
  <w:num w:numId="42">
    <w:abstractNumId w:val="43"/>
  </w:num>
  <w:num w:numId="43">
    <w:abstractNumId w:val="36"/>
  </w:num>
  <w:num w:numId="44">
    <w:abstractNumId w:val="1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1"/>
  </w:num>
  <w:num w:numId="48">
    <w:abstractNumId w:val="47"/>
  </w:num>
  <w:num w:numId="49">
    <w:abstractNumId w:val="45"/>
  </w:num>
  <w:num w:numId="5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4F"/>
    <w:rsid w:val="00003422"/>
    <w:rsid w:val="00005C23"/>
    <w:rsid w:val="00007EF0"/>
    <w:rsid w:val="00010EE3"/>
    <w:rsid w:val="0001105A"/>
    <w:rsid w:val="000111EE"/>
    <w:rsid w:val="000114CD"/>
    <w:rsid w:val="00011C06"/>
    <w:rsid w:val="000130B3"/>
    <w:rsid w:val="000133B4"/>
    <w:rsid w:val="0001560B"/>
    <w:rsid w:val="00016702"/>
    <w:rsid w:val="000168FA"/>
    <w:rsid w:val="00017D08"/>
    <w:rsid w:val="00020DB7"/>
    <w:rsid w:val="000211D2"/>
    <w:rsid w:val="00021F5B"/>
    <w:rsid w:val="00022FE9"/>
    <w:rsid w:val="00024704"/>
    <w:rsid w:val="0002518C"/>
    <w:rsid w:val="00025792"/>
    <w:rsid w:val="00025C9F"/>
    <w:rsid w:val="00027533"/>
    <w:rsid w:val="0003027E"/>
    <w:rsid w:val="0003487C"/>
    <w:rsid w:val="00035EAC"/>
    <w:rsid w:val="00036062"/>
    <w:rsid w:val="0004101A"/>
    <w:rsid w:val="00041F85"/>
    <w:rsid w:val="000448EF"/>
    <w:rsid w:val="0004524F"/>
    <w:rsid w:val="0004532C"/>
    <w:rsid w:val="00045732"/>
    <w:rsid w:val="00046028"/>
    <w:rsid w:val="000467CE"/>
    <w:rsid w:val="0004721B"/>
    <w:rsid w:val="00050A5D"/>
    <w:rsid w:val="00051125"/>
    <w:rsid w:val="000516D5"/>
    <w:rsid w:val="0005179A"/>
    <w:rsid w:val="00051B5D"/>
    <w:rsid w:val="00060F99"/>
    <w:rsid w:val="00060FC7"/>
    <w:rsid w:val="000618EF"/>
    <w:rsid w:val="00062214"/>
    <w:rsid w:val="00062508"/>
    <w:rsid w:val="00062510"/>
    <w:rsid w:val="00066784"/>
    <w:rsid w:val="00066836"/>
    <w:rsid w:val="00067FB3"/>
    <w:rsid w:val="00070A38"/>
    <w:rsid w:val="0007133A"/>
    <w:rsid w:val="0007267E"/>
    <w:rsid w:val="00072D65"/>
    <w:rsid w:val="00073134"/>
    <w:rsid w:val="00074C6F"/>
    <w:rsid w:val="00077010"/>
    <w:rsid w:val="00080BA4"/>
    <w:rsid w:val="000829F9"/>
    <w:rsid w:val="00083994"/>
    <w:rsid w:val="00083A6A"/>
    <w:rsid w:val="00086964"/>
    <w:rsid w:val="00086DE6"/>
    <w:rsid w:val="00087866"/>
    <w:rsid w:val="000910F6"/>
    <w:rsid w:val="00091B4D"/>
    <w:rsid w:val="00092A1F"/>
    <w:rsid w:val="00095663"/>
    <w:rsid w:val="000968A0"/>
    <w:rsid w:val="000968AF"/>
    <w:rsid w:val="00096D15"/>
    <w:rsid w:val="00097D06"/>
    <w:rsid w:val="000A174B"/>
    <w:rsid w:val="000A533B"/>
    <w:rsid w:val="000A5D20"/>
    <w:rsid w:val="000A6E9E"/>
    <w:rsid w:val="000B0441"/>
    <w:rsid w:val="000B0557"/>
    <w:rsid w:val="000B1C71"/>
    <w:rsid w:val="000B1E90"/>
    <w:rsid w:val="000B3AE9"/>
    <w:rsid w:val="000B542F"/>
    <w:rsid w:val="000B59A6"/>
    <w:rsid w:val="000B5B9E"/>
    <w:rsid w:val="000B679D"/>
    <w:rsid w:val="000B7E74"/>
    <w:rsid w:val="000C083C"/>
    <w:rsid w:val="000C1C56"/>
    <w:rsid w:val="000C6F1E"/>
    <w:rsid w:val="000C768E"/>
    <w:rsid w:val="000D0EB9"/>
    <w:rsid w:val="000D216E"/>
    <w:rsid w:val="000D4BCD"/>
    <w:rsid w:val="000D7F30"/>
    <w:rsid w:val="000E6842"/>
    <w:rsid w:val="000E77EB"/>
    <w:rsid w:val="000E7C3C"/>
    <w:rsid w:val="000F193F"/>
    <w:rsid w:val="000F3DF7"/>
    <w:rsid w:val="00100A53"/>
    <w:rsid w:val="0010111F"/>
    <w:rsid w:val="0010291C"/>
    <w:rsid w:val="00104EE2"/>
    <w:rsid w:val="00110761"/>
    <w:rsid w:val="00110ACE"/>
    <w:rsid w:val="001113B9"/>
    <w:rsid w:val="001129A1"/>
    <w:rsid w:val="00112D64"/>
    <w:rsid w:val="001143EF"/>
    <w:rsid w:val="00114D77"/>
    <w:rsid w:val="00116D94"/>
    <w:rsid w:val="00116DA6"/>
    <w:rsid w:val="0012023F"/>
    <w:rsid w:val="001212D5"/>
    <w:rsid w:val="00122328"/>
    <w:rsid w:val="00122FD4"/>
    <w:rsid w:val="00124C13"/>
    <w:rsid w:val="001322C4"/>
    <w:rsid w:val="0013416C"/>
    <w:rsid w:val="001367ED"/>
    <w:rsid w:val="001410ED"/>
    <w:rsid w:val="00144E17"/>
    <w:rsid w:val="00145CDC"/>
    <w:rsid w:val="00146DCE"/>
    <w:rsid w:val="00146EA3"/>
    <w:rsid w:val="00147DE2"/>
    <w:rsid w:val="00152083"/>
    <w:rsid w:val="00152EB6"/>
    <w:rsid w:val="00153B72"/>
    <w:rsid w:val="001558D4"/>
    <w:rsid w:val="00156FBB"/>
    <w:rsid w:val="00164E32"/>
    <w:rsid w:val="00165A49"/>
    <w:rsid w:val="0017042C"/>
    <w:rsid w:val="00171F33"/>
    <w:rsid w:val="001723BE"/>
    <w:rsid w:val="00172A1E"/>
    <w:rsid w:val="001738CF"/>
    <w:rsid w:val="00173F18"/>
    <w:rsid w:val="001740AB"/>
    <w:rsid w:val="00174A06"/>
    <w:rsid w:val="0017504C"/>
    <w:rsid w:val="00176896"/>
    <w:rsid w:val="0018106A"/>
    <w:rsid w:val="0018194F"/>
    <w:rsid w:val="00181A33"/>
    <w:rsid w:val="00183B5A"/>
    <w:rsid w:val="00185978"/>
    <w:rsid w:val="00185E38"/>
    <w:rsid w:val="00186B1D"/>
    <w:rsid w:val="00186D87"/>
    <w:rsid w:val="0018700B"/>
    <w:rsid w:val="001876D1"/>
    <w:rsid w:val="00190BC7"/>
    <w:rsid w:val="0019113B"/>
    <w:rsid w:val="0019472A"/>
    <w:rsid w:val="00195FCB"/>
    <w:rsid w:val="00196A48"/>
    <w:rsid w:val="001A0527"/>
    <w:rsid w:val="001A11B4"/>
    <w:rsid w:val="001A5818"/>
    <w:rsid w:val="001A77FB"/>
    <w:rsid w:val="001B0942"/>
    <w:rsid w:val="001B09C3"/>
    <w:rsid w:val="001B2CBF"/>
    <w:rsid w:val="001B307A"/>
    <w:rsid w:val="001B67D9"/>
    <w:rsid w:val="001B7060"/>
    <w:rsid w:val="001C06BE"/>
    <w:rsid w:val="001C0AAB"/>
    <w:rsid w:val="001C2C66"/>
    <w:rsid w:val="001C5487"/>
    <w:rsid w:val="001C57E1"/>
    <w:rsid w:val="001C6208"/>
    <w:rsid w:val="001D0A8F"/>
    <w:rsid w:val="001D1CDD"/>
    <w:rsid w:val="001D3DB8"/>
    <w:rsid w:val="001D7D5B"/>
    <w:rsid w:val="001E0841"/>
    <w:rsid w:val="001E0BC3"/>
    <w:rsid w:val="001E15CD"/>
    <w:rsid w:val="001E4675"/>
    <w:rsid w:val="001E6E24"/>
    <w:rsid w:val="001E72A7"/>
    <w:rsid w:val="001E7648"/>
    <w:rsid w:val="001E7C39"/>
    <w:rsid w:val="001F38A3"/>
    <w:rsid w:val="001F3ACE"/>
    <w:rsid w:val="001F55A4"/>
    <w:rsid w:val="001F601A"/>
    <w:rsid w:val="002007A1"/>
    <w:rsid w:val="00200AA8"/>
    <w:rsid w:val="00202086"/>
    <w:rsid w:val="00202979"/>
    <w:rsid w:val="00202D7D"/>
    <w:rsid w:val="00203A7E"/>
    <w:rsid w:val="00210FF3"/>
    <w:rsid w:val="0021349B"/>
    <w:rsid w:val="00213727"/>
    <w:rsid w:val="00215609"/>
    <w:rsid w:val="00216E73"/>
    <w:rsid w:val="00217236"/>
    <w:rsid w:val="00217362"/>
    <w:rsid w:val="00221907"/>
    <w:rsid w:val="0022550F"/>
    <w:rsid w:val="00225B15"/>
    <w:rsid w:val="0022667F"/>
    <w:rsid w:val="00226C2E"/>
    <w:rsid w:val="002338B5"/>
    <w:rsid w:val="00240B97"/>
    <w:rsid w:val="00242192"/>
    <w:rsid w:val="002423D9"/>
    <w:rsid w:val="00242E35"/>
    <w:rsid w:val="002449D3"/>
    <w:rsid w:val="002453C1"/>
    <w:rsid w:val="002478AF"/>
    <w:rsid w:val="00250B4C"/>
    <w:rsid w:val="00253522"/>
    <w:rsid w:val="00254A1A"/>
    <w:rsid w:val="00254F95"/>
    <w:rsid w:val="00255FEB"/>
    <w:rsid w:val="002572E7"/>
    <w:rsid w:val="00257792"/>
    <w:rsid w:val="002616C1"/>
    <w:rsid w:val="002661D9"/>
    <w:rsid w:val="00266945"/>
    <w:rsid w:val="00266B5C"/>
    <w:rsid w:val="00267C43"/>
    <w:rsid w:val="00271351"/>
    <w:rsid w:val="00272453"/>
    <w:rsid w:val="00273A52"/>
    <w:rsid w:val="00274170"/>
    <w:rsid w:val="0027535A"/>
    <w:rsid w:val="002759C8"/>
    <w:rsid w:val="00275B12"/>
    <w:rsid w:val="00275BE8"/>
    <w:rsid w:val="00277FCC"/>
    <w:rsid w:val="0028084D"/>
    <w:rsid w:val="0028124F"/>
    <w:rsid w:val="00281EBB"/>
    <w:rsid w:val="0028218B"/>
    <w:rsid w:val="00282C8D"/>
    <w:rsid w:val="00282C8F"/>
    <w:rsid w:val="002832CA"/>
    <w:rsid w:val="002832FA"/>
    <w:rsid w:val="002835EC"/>
    <w:rsid w:val="00286199"/>
    <w:rsid w:val="0028634F"/>
    <w:rsid w:val="00286EAF"/>
    <w:rsid w:val="002904F4"/>
    <w:rsid w:val="002923F9"/>
    <w:rsid w:val="002930E0"/>
    <w:rsid w:val="002965A6"/>
    <w:rsid w:val="00297653"/>
    <w:rsid w:val="002A0194"/>
    <w:rsid w:val="002A0FAF"/>
    <w:rsid w:val="002A5807"/>
    <w:rsid w:val="002A5AF9"/>
    <w:rsid w:val="002A68E6"/>
    <w:rsid w:val="002A73A0"/>
    <w:rsid w:val="002B3D3E"/>
    <w:rsid w:val="002B4840"/>
    <w:rsid w:val="002B540B"/>
    <w:rsid w:val="002B577C"/>
    <w:rsid w:val="002B6157"/>
    <w:rsid w:val="002C1661"/>
    <w:rsid w:val="002C3B52"/>
    <w:rsid w:val="002C428E"/>
    <w:rsid w:val="002C50F4"/>
    <w:rsid w:val="002C5736"/>
    <w:rsid w:val="002C5884"/>
    <w:rsid w:val="002D08B7"/>
    <w:rsid w:val="002D1418"/>
    <w:rsid w:val="002D1BAC"/>
    <w:rsid w:val="002D2FFF"/>
    <w:rsid w:val="002D3557"/>
    <w:rsid w:val="002D48B2"/>
    <w:rsid w:val="002D613F"/>
    <w:rsid w:val="002D738C"/>
    <w:rsid w:val="002D7845"/>
    <w:rsid w:val="002E121E"/>
    <w:rsid w:val="002E2355"/>
    <w:rsid w:val="002E23A9"/>
    <w:rsid w:val="002E3896"/>
    <w:rsid w:val="002E3BB2"/>
    <w:rsid w:val="002E3E89"/>
    <w:rsid w:val="002E43C9"/>
    <w:rsid w:val="002E7B9C"/>
    <w:rsid w:val="002F0F2F"/>
    <w:rsid w:val="002F177D"/>
    <w:rsid w:val="002F1911"/>
    <w:rsid w:val="002F267E"/>
    <w:rsid w:val="002F2EB7"/>
    <w:rsid w:val="002F44B3"/>
    <w:rsid w:val="002F5022"/>
    <w:rsid w:val="002F5C06"/>
    <w:rsid w:val="002F7B60"/>
    <w:rsid w:val="003005C6"/>
    <w:rsid w:val="00300BF6"/>
    <w:rsid w:val="00304E8E"/>
    <w:rsid w:val="00304F81"/>
    <w:rsid w:val="00306178"/>
    <w:rsid w:val="00307C7F"/>
    <w:rsid w:val="003107ED"/>
    <w:rsid w:val="00311037"/>
    <w:rsid w:val="003116A4"/>
    <w:rsid w:val="00312394"/>
    <w:rsid w:val="003123D6"/>
    <w:rsid w:val="00312B5D"/>
    <w:rsid w:val="00313BDC"/>
    <w:rsid w:val="00315ED0"/>
    <w:rsid w:val="00317057"/>
    <w:rsid w:val="0031707D"/>
    <w:rsid w:val="003205F9"/>
    <w:rsid w:val="003228F5"/>
    <w:rsid w:val="0032787A"/>
    <w:rsid w:val="00331E78"/>
    <w:rsid w:val="00332736"/>
    <w:rsid w:val="00333364"/>
    <w:rsid w:val="003341C2"/>
    <w:rsid w:val="0033434B"/>
    <w:rsid w:val="0033452A"/>
    <w:rsid w:val="00334ACF"/>
    <w:rsid w:val="00334E6B"/>
    <w:rsid w:val="00335D81"/>
    <w:rsid w:val="0034107E"/>
    <w:rsid w:val="00342E62"/>
    <w:rsid w:val="00343613"/>
    <w:rsid w:val="003436ED"/>
    <w:rsid w:val="0035069C"/>
    <w:rsid w:val="00351F40"/>
    <w:rsid w:val="00352218"/>
    <w:rsid w:val="00352AC8"/>
    <w:rsid w:val="0035305C"/>
    <w:rsid w:val="00354560"/>
    <w:rsid w:val="00355F84"/>
    <w:rsid w:val="00362F17"/>
    <w:rsid w:val="0036499E"/>
    <w:rsid w:val="00365FCE"/>
    <w:rsid w:val="003670BD"/>
    <w:rsid w:val="00367E83"/>
    <w:rsid w:val="00370F28"/>
    <w:rsid w:val="003728D1"/>
    <w:rsid w:val="003737B2"/>
    <w:rsid w:val="0037544D"/>
    <w:rsid w:val="003761D0"/>
    <w:rsid w:val="00376A18"/>
    <w:rsid w:val="003774C1"/>
    <w:rsid w:val="00377FB6"/>
    <w:rsid w:val="00380643"/>
    <w:rsid w:val="0038106C"/>
    <w:rsid w:val="00382627"/>
    <w:rsid w:val="00382628"/>
    <w:rsid w:val="00386F29"/>
    <w:rsid w:val="003872D3"/>
    <w:rsid w:val="00390D29"/>
    <w:rsid w:val="003920F6"/>
    <w:rsid w:val="00392A06"/>
    <w:rsid w:val="00393671"/>
    <w:rsid w:val="0039429F"/>
    <w:rsid w:val="00394E30"/>
    <w:rsid w:val="003954B0"/>
    <w:rsid w:val="003A0506"/>
    <w:rsid w:val="003A205D"/>
    <w:rsid w:val="003A391D"/>
    <w:rsid w:val="003A5CCC"/>
    <w:rsid w:val="003A5DEB"/>
    <w:rsid w:val="003A688B"/>
    <w:rsid w:val="003A7C29"/>
    <w:rsid w:val="003B0335"/>
    <w:rsid w:val="003B69D9"/>
    <w:rsid w:val="003C0260"/>
    <w:rsid w:val="003C02EF"/>
    <w:rsid w:val="003C066B"/>
    <w:rsid w:val="003C07DB"/>
    <w:rsid w:val="003C2655"/>
    <w:rsid w:val="003C3302"/>
    <w:rsid w:val="003C61B6"/>
    <w:rsid w:val="003D3A2D"/>
    <w:rsid w:val="003D3FA7"/>
    <w:rsid w:val="003D48A1"/>
    <w:rsid w:val="003D5F5E"/>
    <w:rsid w:val="003D5FED"/>
    <w:rsid w:val="003E3CB4"/>
    <w:rsid w:val="003E67A6"/>
    <w:rsid w:val="003F00AE"/>
    <w:rsid w:val="003F3BA0"/>
    <w:rsid w:val="003F501D"/>
    <w:rsid w:val="003F542E"/>
    <w:rsid w:val="004000F0"/>
    <w:rsid w:val="004026A7"/>
    <w:rsid w:val="0040293A"/>
    <w:rsid w:val="00403D71"/>
    <w:rsid w:val="00405255"/>
    <w:rsid w:val="004057DE"/>
    <w:rsid w:val="00405E6E"/>
    <w:rsid w:val="004062C5"/>
    <w:rsid w:val="00407F97"/>
    <w:rsid w:val="004102F6"/>
    <w:rsid w:val="00416624"/>
    <w:rsid w:val="004179E0"/>
    <w:rsid w:val="004207D0"/>
    <w:rsid w:val="00421C14"/>
    <w:rsid w:val="004247E4"/>
    <w:rsid w:val="0042650C"/>
    <w:rsid w:val="00426588"/>
    <w:rsid w:val="004278E4"/>
    <w:rsid w:val="00431929"/>
    <w:rsid w:val="00433176"/>
    <w:rsid w:val="00433FCE"/>
    <w:rsid w:val="004351E5"/>
    <w:rsid w:val="004371E8"/>
    <w:rsid w:val="004416D9"/>
    <w:rsid w:val="00444BE9"/>
    <w:rsid w:val="00444C88"/>
    <w:rsid w:val="00444E00"/>
    <w:rsid w:val="0044675E"/>
    <w:rsid w:val="00446875"/>
    <w:rsid w:val="00446C7A"/>
    <w:rsid w:val="00451D47"/>
    <w:rsid w:val="0045293B"/>
    <w:rsid w:val="00455B2C"/>
    <w:rsid w:val="00460C61"/>
    <w:rsid w:val="004615F6"/>
    <w:rsid w:val="00465F21"/>
    <w:rsid w:val="00467841"/>
    <w:rsid w:val="004709CD"/>
    <w:rsid w:val="00471A10"/>
    <w:rsid w:val="00472824"/>
    <w:rsid w:val="00473B39"/>
    <w:rsid w:val="0047454A"/>
    <w:rsid w:val="00475FF3"/>
    <w:rsid w:val="00480D17"/>
    <w:rsid w:val="00480F1E"/>
    <w:rsid w:val="00481F70"/>
    <w:rsid w:val="0048323B"/>
    <w:rsid w:val="0048342F"/>
    <w:rsid w:val="00486D44"/>
    <w:rsid w:val="00487764"/>
    <w:rsid w:val="00491181"/>
    <w:rsid w:val="004915B1"/>
    <w:rsid w:val="00492A95"/>
    <w:rsid w:val="00495527"/>
    <w:rsid w:val="00495934"/>
    <w:rsid w:val="00496437"/>
    <w:rsid w:val="004A04E5"/>
    <w:rsid w:val="004A10AB"/>
    <w:rsid w:val="004A25B9"/>
    <w:rsid w:val="004A5A51"/>
    <w:rsid w:val="004A78D6"/>
    <w:rsid w:val="004B123B"/>
    <w:rsid w:val="004B1753"/>
    <w:rsid w:val="004B1E5F"/>
    <w:rsid w:val="004B2512"/>
    <w:rsid w:val="004B2D20"/>
    <w:rsid w:val="004B4B51"/>
    <w:rsid w:val="004B4D83"/>
    <w:rsid w:val="004B55F7"/>
    <w:rsid w:val="004B7D18"/>
    <w:rsid w:val="004C03DD"/>
    <w:rsid w:val="004C0969"/>
    <w:rsid w:val="004C123A"/>
    <w:rsid w:val="004C1975"/>
    <w:rsid w:val="004C2F14"/>
    <w:rsid w:val="004C32C9"/>
    <w:rsid w:val="004C3BB6"/>
    <w:rsid w:val="004C3DB8"/>
    <w:rsid w:val="004C4F56"/>
    <w:rsid w:val="004C5AF4"/>
    <w:rsid w:val="004C63C9"/>
    <w:rsid w:val="004C6B84"/>
    <w:rsid w:val="004D1C9B"/>
    <w:rsid w:val="004D2A43"/>
    <w:rsid w:val="004D4833"/>
    <w:rsid w:val="004E0B11"/>
    <w:rsid w:val="004E34A2"/>
    <w:rsid w:val="004F20CB"/>
    <w:rsid w:val="004F3839"/>
    <w:rsid w:val="004F3DD2"/>
    <w:rsid w:val="004F43FA"/>
    <w:rsid w:val="004F4E47"/>
    <w:rsid w:val="004F6FB0"/>
    <w:rsid w:val="004F7CB3"/>
    <w:rsid w:val="005002D6"/>
    <w:rsid w:val="0050118F"/>
    <w:rsid w:val="0050190D"/>
    <w:rsid w:val="0050200E"/>
    <w:rsid w:val="00502C2C"/>
    <w:rsid w:val="00503F26"/>
    <w:rsid w:val="00505ABE"/>
    <w:rsid w:val="00506549"/>
    <w:rsid w:val="00506BA1"/>
    <w:rsid w:val="0050768A"/>
    <w:rsid w:val="00511464"/>
    <w:rsid w:val="005121F7"/>
    <w:rsid w:val="005124C3"/>
    <w:rsid w:val="00513A01"/>
    <w:rsid w:val="00515EC5"/>
    <w:rsid w:val="005164D5"/>
    <w:rsid w:val="00516C5B"/>
    <w:rsid w:val="00522EBA"/>
    <w:rsid w:val="00524808"/>
    <w:rsid w:val="00525756"/>
    <w:rsid w:val="00526613"/>
    <w:rsid w:val="00531B9B"/>
    <w:rsid w:val="00531CC4"/>
    <w:rsid w:val="0053417D"/>
    <w:rsid w:val="00536270"/>
    <w:rsid w:val="0053789A"/>
    <w:rsid w:val="00537D43"/>
    <w:rsid w:val="00542DEF"/>
    <w:rsid w:val="0054347C"/>
    <w:rsid w:val="00545DD0"/>
    <w:rsid w:val="005464C2"/>
    <w:rsid w:val="00546832"/>
    <w:rsid w:val="005475E1"/>
    <w:rsid w:val="00547F67"/>
    <w:rsid w:val="00551116"/>
    <w:rsid w:val="00551E97"/>
    <w:rsid w:val="005528D2"/>
    <w:rsid w:val="005536BE"/>
    <w:rsid w:val="00554A34"/>
    <w:rsid w:val="00555D6D"/>
    <w:rsid w:val="0055797B"/>
    <w:rsid w:val="00557B14"/>
    <w:rsid w:val="00557D2E"/>
    <w:rsid w:val="00561556"/>
    <w:rsid w:val="00561BFF"/>
    <w:rsid w:val="00561DD1"/>
    <w:rsid w:val="00563715"/>
    <w:rsid w:val="00565074"/>
    <w:rsid w:val="00565C6C"/>
    <w:rsid w:val="0057273A"/>
    <w:rsid w:val="0057577E"/>
    <w:rsid w:val="00576F9A"/>
    <w:rsid w:val="005838BD"/>
    <w:rsid w:val="00584E84"/>
    <w:rsid w:val="00586BAD"/>
    <w:rsid w:val="005879AF"/>
    <w:rsid w:val="00587BA0"/>
    <w:rsid w:val="0059005D"/>
    <w:rsid w:val="00590DE5"/>
    <w:rsid w:val="00591A65"/>
    <w:rsid w:val="00593348"/>
    <w:rsid w:val="00593AB4"/>
    <w:rsid w:val="00596A8B"/>
    <w:rsid w:val="005A2107"/>
    <w:rsid w:val="005A2386"/>
    <w:rsid w:val="005A5003"/>
    <w:rsid w:val="005A5FFA"/>
    <w:rsid w:val="005B1759"/>
    <w:rsid w:val="005B641A"/>
    <w:rsid w:val="005B6912"/>
    <w:rsid w:val="005C1190"/>
    <w:rsid w:val="005C252B"/>
    <w:rsid w:val="005C3930"/>
    <w:rsid w:val="005C4081"/>
    <w:rsid w:val="005C4D32"/>
    <w:rsid w:val="005C569A"/>
    <w:rsid w:val="005C5957"/>
    <w:rsid w:val="005C7AB9"/>
    <w:rsid w:val="005C7E19"/>
    <w:rsid w:val="005D016E"/>
    <w:rsid w:val="005D1984"/>
    <w:rsid w:val="005D26A5"/>
    <w:rsid w:val="005D328E"/>
    <w:rsid w:val="005D3291"/>
    <w:rsid w:val="005D3AFE"/>
    <w:rsid w:val="005D3C3A"/>
    <w:rsid w:val="005D4323"/>
    <w:rsid w:val="005E056F"/>
    <w:rsid w:val="005E1240"/>
    <w:rsid w:val="005F00AC"/>
    <w:rsid w:val="005F0ED4"/>
    <w:rsid w:val="005F1618"/>
    <w:rsid w:val="005F34B2"/>
    <w:rsid w:val="00601B8C"/>
    <w:rsid w:val="00601D14"/>
    <w:rsid w:val="0060390A"/>
    <w:rsid w:val="00603E7D"/>
    <w:rsid w:val="00604F48"/>
    <w:rsid w:val="00606B0E"/>
    <w:rsid w:val="00607439"/>
    <w:rsid w:val="00612B5F"/>
    <w:rsid w:val="00616536"/>
    <w:rsid w:val="00616C4E"/>
    <w:rsid w:val="006172DB"/>
    <w:rsid w:val="006205C3"/>
    <w:rsid w:val="00626ABD"/>
    <w:rsid w:val="00627E6B"/>
    <w:rsid w:val="00630240"/>
    <w:rsid w:val="0063196B"/>
    <w:rsid w:val="0063199C"/>
    <w:rsid w:val="00631FEC"/>
    <w:rsid w:val="00632C99"/>
    <w:rsid w:val="00634012"/>
    <w:rsid w:val="00635D2E"/>
    <w:rsid w:val="00643028"/>
    <w:rsid w:val="00643B9E"/>
    <w:rsid w:val="00643CF0"/>
    <w:rsid w:val="00644070"/>
    <w:rsid w:val="00644E92"/>
    <w:rsid w:val="00645F4A"/>
    <w:rsid w:val="00646A64"/>
    <w:rsid w:val="00647213"/>
    <w:rsid w:val="00647950"/>
    <w:rsid w:val="00647AF0"/>
    <w:rsid w:val="00650BDE"/>
    <w:rsid w:val="00654942"/>
    <w:rsid w:val="00655932"/>
    <w:rsid w:val="00657701"/>
    <w:rsid w:val="00657E63"/>
    <w:rsid w:val="0066009B"/>
    <w:rsid w:val="00662DA9"/>
    <w:rsid w:val="00663A1B"/>
    <w:rsid w:val="00664C1E"/>
    <w:rsid w:val="006723A4"/>
    <w:rsid w:val="00673184"/>
    <w:rsid w:val="006734A8"/>
    <w:rsid w:val="00675547"/>
    <w:rsid w:val="00675A32"/>
    <w:rsid w:val="00676855"/>
    <w:rsid w:val="00677A1D"/>
    <w:rsid w:val="0068028E"/>
    <w:rsid w:val="00680B07"/>
    <w:rsid w:val="00681E37"/>
    <w:rsid w:val="00683506"/>
    <w:rsid w:val="006844C1"/>
    <w:rsid w:val="00684561"/>
    <w:rsid w:val="006845E7"/>
    <w:rsid w:val="00685066"/>
    <w:rsid w:val="006855A3"/>
    <w:rsid w:val="006869E0"/>
    <w:rsid w:val="0068770F"/>
    <w:rsid w:val="00687DE2"/>
    <w:rsid w:val="006908BF"/>
    <w:rsid w:val="00693493"/>
    <w:rsid w:val="00694943"/>
    <w:rsid w:val="006974B5"/>
    <w:rsid w:val="00697F7D"/>
    <w:rsid w:val="006A097D"/>
    <w:rsid w:val="006A1776"/>
    <w:rsid w:val="006A37DE"/>
    <w:rsid w:val="006A4F39"/>
    <w:rsid w:val="006B00A8"/>
    <w:rsid w:val="006B13BD"/>
    <w:rsid w:val="006B1E76"/>
    <w:rsid w:val="006B266F"/>
    <w:rsid w:val="006B288A"/>
    <w:rsid w:val="006B2D6C"/>
    <w:rsid w:val="006B412A"/>
    <w:rsid w:val="006B4F1F"/>
    <w:rsid w:val="006B5793"/>
    <w:rsid w:val="006B5C6C"/>
    <w:rsid w:val="006B63B6"/>
    <w:rsid w:val="006B7297"/>
    <w:rsid w:val="006B7673"/>
    <w:rsid w:val="006C1C09"/>
    <w:rsid w:val="006C771F"/>
    <w:rsid w:val="006D2AC0"/>
    <w:rsid w:val="006D5241"/>
    <w:rsid w:val="006D5864"/>
    <w:rsid w:val="006D7DC8"/>
    <w:rsid w:val="006E0854"/>
    <w:rsid w:val="006E1295"/>
    <w:rsid w:val="006E198A"/>
    <w:rsid w:val="006E38EF"/>
    <w:rsid w:val="006E4855"/>
    <w:rsid w:val="006E4C2C"/>
    <w:rsid w:val="006E6435"/>
    <w:rsid w:val="006E6D56"/>
    <w:rsid w:val="006F0E5F"/>
    <w:rsid w:val="006F1407"/>
    <w:rsid w:val="006F49EA"/>
    <w:rsid w:val="006F66DF"/>
    <w:rsid w:val="006F7AB6"/>
    <w:rsid w:val="00704F74"/>
    <w:rsid w:val="00707469"/>
    <w:rsid w:val="007079CB"/>
    <w:rsid w:val="007140DB"/>
    <w:rsid w:val="00715DE4"/>
    <w:rsid w:val="00720B84"/>
    <w:rsid w:val="00722134"/>
    <w:rsid w:val="007225E2"/>
    <w:rsid w:val="0072454B"/>
    <w:rsid w:val="00727360"/>
    <w:rsid w:val="00731268"/>
    <w:rsid w:val="007349A1"/>
    <w:rsid w:val="00735EE6"/>
    <w:rsid w:val="00740026"/>
    <w:rsid w:val="00740774"/>
    <w:rsid w:val="007421B9"/>
    <w:rsid w:val="00743664"/>
    <w:rsid w:val="007445E4"/>
    <w:rsid w:val="007448E7"/>
    <w:rsid w:val="00745635"/>
    <w:rsid w:val="0074607B"/>
    <w:rsid w:val="007511A5"/>
    <w:rsid w:val="0075292B"/>
    <w:rsid w:val="007553E4"/>
    <w:rsid w:val="00755B5D"/>
    <w:rsid w:val="00757DBD"/>
    <w:rsid w:val="00763E34"/>
    <w:rsid w:val="00764202"/>
    <w:rsid w:val="0076454D"/>
    <w:rsid w:val="007646BA"/>
    <w:rsid w:val="0076533F"/>
    <w:rsid w:val="00765488"/>
    <w:rsid w:val="00765772"/>
    <w:rsid w:val="00766E34"/>
    <w:rsid w:val="00766EA6"/>
    <w:rsid w:val="00767186"/>
    <w:rsid w:val="00767875"/>
    <w:rsid w:val="00772663"/>
    <w:rsid w:val="00773148"/>
    <w:rsid w:val="00773789"/>
    <w:rsid w:val="00773949"/>
    <w:rsid w:val="00774109"/>
    <w:rsid w:val="00774FC1"/>
    <w:rsid w:val="0077527A"/>
    <w:rsid w:val="007755C5"/>
    <w:rsid w:val="00781783"/>
    <w:rsid w:val="00782F7D"/>
    <w:rsid w:val="00783EA2"/>
    <w:rsid w:val="00786037"/>
    <w:rsid w:val="00786484"/>
    <w:rsid w:val="0078768A"/>
    <w:rsid w:val="00787C4A"/>
    <w:rsid w:val="0079179E"/>
    <w:rsid w:val="00791F9C"/>
    <w:rsid w:val="0079455D"/>
    <w:rsid w:val="007945F2"/>
    <w:rsid w:val="00795017"/>
    <w:rsid w:val="007A14AB"/>
    <w:rsid w:val="007A2056"/>
    <w:rsid w:val="007A6856"/>
    <w:rsid w:val="007B0A4C"/>
    <w:rsid w:val="007B12BC"/>
    <w:rsid w:val="007B1760"/>
    <w:rsid w:val="007B342E"/>
    <w:rsid w:val="007C0D79"/>
    <w:rsid w:val="007C10BE"/>
    <w:rsid w:val="007C203B"/>
    <w:rsid w:val="007C3C33"/>
    <w:rsid w:val="007C4D67"/>
    <w:rsid w:val="007C599D"/>
    <w:rsid w:val="007C67AA"/>
    <w:rsid w:val="007C72F2"/>
    <w:rsid w:val="007D0C4F"/>
    <w:rsid w:val="007D27ED"/>
    <w:rsid w:val="007D2C38"/>
    <w:rsid w:val="007D2DBC"/>
    <w:rsid w:val="007D2F66"/>
    <w:rsid w:val="007D522C"/>
    <w:rsid w:val="007E0474"/>
    <w:rsid w:val="007E0BFF"/>
    <w:rsid w:val="007E2105"/>
    <w:rsid w:val="007E2872"/>
    <w:rsid w:val="007E2F5A"/>
    <w:rsid w:val="007F01E2"/>
    <w:rsid w:val="007F0CC4"/>
    <w:rsid w:val="007F4789"/>
    <w:rsid w:val="007F60CA"/>
    <w:rsid w:val="0080170E"/>
    <w:rsid w:val="008026DC"/>
    <w:rsid w:val="00802775"/>
    <w:rsid w:val="00804529"/>
    <w:rsid w:val="00807FD5"/>
    <w:rsid w:val="00810793"/>
    <w:rsid w:val="00811277"/>
    <w:rsid w:val="0081293B"/>
    <w:rsid w:val="00813E6A"/>
    <w:rsid w:val="00814DC0"/>
    <w:rsid w:val="008157C7"/>
    <w:rsid w:val="00817CD7"/>
    <w:rsid w:val="00822DD3"/>
    <w:rsid w:val="00823393"/>
    <w:rsid w:val="008241E2"/>
    <w:rsid w:val="00824D56"/>
    <w:rsid w:val="008352EA"/>
    <w:rsid w:val="00836655"/>
    <w:rsid w:val="00837325"/>
    <w:rsid w:val="008377AD"/>
    <w:rsid w:val="0083792B"/>
    <w:rsid w:val="00840015"/>
    <w:rsid w:val="00840B6D"/>
    <w:rsid w:val="008411F3"/>
    <w:rsid w:val="00841BEB"/>
    <w:rsid w:val="00843440"/>
    <w:rsid w:val="00844BB0"/>
    <w:rsid w:val="0084625F"/>
    <w:rsid w:val="00847A45"/>
    <w:rsid w:val="00850016"/>
    <w:rsid w:val="008501E7"/>
    <w:rsid w:val="008524D9"/>
    <w:rsid w:val="008563EA"/>
    <w:rsid w:val="00856833"/>
    <w:rsid w:val="00860970"/>
    <w:rsid w:val="00862805"/>
    <w:rsid w:val="008662EA"/>
    <w:rsid w:val="00866A58"/>
    <w:rsid w:val="0087099E"/>
    <w:rsid w:val="008709EA"/>
    <w:rsid w:val="00871030"/>
    <w:rsid w:val="00871F8C"/>
    <w:rsid w:val="0087323A"/>
    <w:rsid w:val="008734AD"/>
    <w:rsid w:val="008749E5"/>
    <w:rsid w:val="00875485"/>
    <w:rsid w:val="008762E5"/>
    <w:rsid w:val="008775AE"/>
    <w:rsid w:val="00880BF7"/>
    <w:rsid w:val="0088110C"/>
    <w:rsid w:val="008811BF"/>
    <w:rsid w:val="0088238B"/>
    <w:rsid w:val="008830C3"/>
    <w:rsid w:val="00883CC3"/>
    <w:rsid w:val="008849C1"/>
    <w:rsid w:val="008859E1"/>
    <w:rsid w:val="00890578"/>
    <w:rsid w:val="00890C70"/>
    <w:rsid w:val="008918C5"/>
    <w:rsid w:val="0089383C"/>
    <w:rsid w:val="00894891"/>
    <w:rsid w:val="00894A0C"/>
    <w:rsid w:val="008A0227"/>
    <w:rsid w:val="008A047A"/>
    <w:rsid w:val="008A0F62"/>
    <w:rsid w:val="008A216C"/>
    <w:rsid w:val="008A3CC5"/>
    <w:rsid w:val="008A4AB4"/>
    <w:rsid w:val="008A6444"/>
    <w:rsid w:val="008B0A3E"/>
    <w:rsid w:val="008B111E"/>
    <w:rsid w:val="008B23CC"/>
    <w:rsid w:val="008B45A3"/>
    <w:rsid w:val="008B5BC4"/>
    <w:rsid w:val="008B614B"/>
    <w:rsid w:val="008B7DA8"/>
    <w:rsid w:val="008C0604"/>
    <w:rsid w:val="008C26B7"/>
    <w:rsid w:val="008C2902"/>
    <w:rsid w:val="008C2A26"/>
    <w:rsid w:val="008C409C"/>
    <w:rsid w:val="008C5240"/>
    <w:rsid w:val="008C59DC"/>
    <w:rsid w:val="008C5EA7"/>
    <w:rsid w:val="008C65EB"/>
    <w:rsid w:val="008D00F9"/>
    <w:rsid w:val="008D3C26"/>
    <w:rsid w:val="008D4020"/>
    <w:rsid w:val="008D4EC3"/>
    <w:rsid w:val="008D4FE0"/>
    <w:rsid w:val="008D5006"/>
    <w:rsid w:val="008D6356"/>
    <w:rsid w:val="008E0832"/>
    <w:rsid w:val="008E4F05"/>
    <w:rsid w:val="008E5CEB"/>
    <w:rsid w:val="008E7CA7"/>
    <w:rsid w:val="008F04A1"/>
    <w:rsid w:val="008F0533"/>
    <w:rsid w:val="008F1E46"/>
    <w:rsid w:val="008F4DF2"/>
    <w:rsid w:val="008F6961"/>
    <w:rsid w:val="008F6B9A"/>
    <w:rsid w:val="008F7D67"/>
    <w:rsid w:val="00901086"/>
    <w:rsid w:val="00901E02"/>
    <w:rsid w:val="009040E9"/>
    <w:rsid w:val="009051C1"/>
    <w:rsid w:val="0090587F"/>
    <w:rsid w:val="00906212"/>
    <w:rsid w:val="00906995"/>
    <w:rsid w:val="00910152"/>
    <w:rsid w:val="00911EFB"/>
    <w:rsid w:val="00913D40"/>
    <w:rsid w:val="00915AE3"/>
    <w:rsid w:val="00917B76"/>
    <w:rsid w:val="0092095D"/>
    <w:rsid w:val="0092252D"/>
    <w:rsid w:val="00924886"/>
    <w:rsid w:val="009252E5"/>
    <w:rsid w:val="009258E1"/>
    <w:rsid w:val="00926CAD"/>
    <w:rsid w:val="0093108B"/>
    <w:rsid w:val="009317EB"/>
    <w:rsid w:val="009319A3"/>
    <w:rsid w:val="00931E4C"/>
    <w:rsid w:val="009348FA"/>
    <w:rsid w:val="00940B87"/>
    <w:rsid w:val="0094222F"/>
    <w:rsid w:val="00942F18"/>
    <w:rsid w:val="009431A6"/>
    <w:rsid w:val="00944A98"/>
    <w:rsid w:val="009456F7"/>
    <w:rsid w:val="00946090"/>
    <w:rsid w:val="00951176"/>
    <w:rsid w:val="009515A8"/>
    <w:rsid w:val="00952076"/>
    <w:rsid w:val="00954D3D"/>
    <w:rsid w:val="00960F5C"/>
    <w:rsid w:val="00962BFA"/>
    <w:rsid w:val="00962F4D"/>
    <w:rsid w:val="00963C65"/>
    <w:rsid w:val="0096542A"/>
    <w:rsid w:val="00966684"/>
    <w:rsid w:val="00967349"/>
    <w:rsid w:val="009724AD"/>
    <w:rsid w:val="00972880"/>
    <w:rsid w:val="00974376"/>
    <w:rsid w:val="009755AC"/>
    <w:rsid w:val="00976209"/>
    <w:rsid w:val="00976656"/>
    <w:rsid w:val="009770A8"/>
    <w:rsid w:val="009773EB"/>
    <w:rsid w:val="00980103"/>
    <w:rsid w:val="00980C43"/>
    <w:rsid w:val="00982312"/>
    <w:rsid w:val="009836D1"/>
    <w:rsid w:val="009906BE"/>
    <w:rsid w:val="00991A4D"/>
    <w:rsid w:val="00991F69"/>
    <w:rsid w:val="00992E99"/>
    <w:rsid w:val="00995E1D"/>
    <w:rsid w:val="00996C46"/>
    <w:rsid w:val="009A0097"/>
    <w:rsid w:val="009A162C"/>
    <w:rsid w:val="009A44D6"/>
    <w:rsid w:val="009A6286"/>
    <w:rsid w:val="009A6F8A"/>
    <w:rsid w:val="009B02D9"/>
    <w:rsid w:val="009B287C"/>
    <w:rsid w:val="009B2BFE"/>
    <w:rsid w:val="009B568A"/>
    <w:rsid w:val="009B6060"/>
    <w:rsid w:val="009B6754"/>
    <w:rsid w:val="009C002E"/>
    <w:rsid w:val="009C0D49"/>
    <w:rsid w:val="009C15B3"/>
    <w:rsid w:val="009C16F0"/>
    <w:rsid w:val="009C2E68"/>
    <w:rsid w:val="009C471E"/>
    <w:rsid w:val="009C6212"/>
    <w:rsid w:val="009C631E"/>
    <w:rsid w:val="009C7757"/>
    <w:rsid w:val="009C7BDE"/>
    <w:rsid w:val="009D08F7"/>
    <w:rsid w:val="009D14FB"/>
    <w:rsid w:val="009D208C"/>
    <w:rsid w:val="009D6DB1"/>
    <w:rsid w:val="009D6FE9"/>
    <w:rsid w:val="009D7AF7"/>
    <w:rsid w:val="009D7B6E"/>
    <w:rsid w:val="009E0941"/>
    <w:rsid w:val="009E1BCF"/>
    <w:rsid w:val="009E26ED"/>
    <w:rsid w:val="009F247B"/>
    <w:rsid w:val="009F5542"/>
    <w:rsid w:val="009F5873"/>
    <w:rsid w:val="009F58E7"/>
    <w:rsid w:val="009F5E79"/>
    <w:rsid w:val="00A07ADC"/>
    <w:rsid w:val="00A12C88"/>
    <w:rsid w:val="00A13E75"/>
    <w:rsid w:val="00A144B7"/>
    <w:rsid w:val="00A15473"/>
    <w:rsid w:val="00A15F64"/>
    <w:rsid w:val="00A169EF"/>
    <w:rsid w:val="00A16BF0"/>
    <w:rsid w:val="00A20151"/>
    <w:rsid w:val="00A22383"/>
    <w:rsid w:val="00A23606"/>
    <w:rsid w:val="00A254E8"/>
    <w:rsid w:val="00A25988"/>
    <w:rsid w:val="00A25993"/>
    <w:rsid w:val="00A26D1E"/>
    <w:rsid w:val="00A30F66"/>
    <w:rsid w:val="00A33D84"/>
    <w:rsid w:val="00A33DF4"/>
    <w:rsid w:val="00A35405"/>
    <w:rsid w:val="00A3738A"/>
    <w:rsid w:val="00A400ED"/>
    <w:rsid w:val="00A42C16"/>
    <w:rsid w:val="00A43194"/>
    <w:rsid w:val="00A43A0D"/>
    <w:rsid w:val="00A46120"/>
    <w:rsid w:val="00A47809"/>
    <w:rsid w:val="00A50AF9"/>
    <w:rsid w:val="00A513B3"/>
    <w:rsid w:val="00A54656"/>
    <w:rsid w:val="00A60CBC"/>
    <w:rsid w:val="00A60F4B"/>
    <w:rsid w:val="00A616C3"/>
    <w:rsid w:val="00A62CCE"/>
    <w:rsid w:val="00A6332D"/>
    <w:rsid w:val="00A64042"/>
    <w:rsid w:val="00A64059"/>
    <w:rsid w:val="00A65FCB"/>
    <w:rsid w:val="00A71218"/>
    <w:rsid w:val="00A724E5"/>
    <w:rsid w:val="00A72BB0"/>
    <w:rsid w:val="00A73F4D"/>
    <w:rsid w:val="00A75861"/>
    <w:rsid w:val="00A76036"/>
    <w:rsid w:val="00A76571"/>
    <w:rsid w:val="00A77A25"/>
    <w:rsid w:val="00A82737"/>
    <w:rsid w:val="00A84BE0"/>
    <w:rsid w:val="00A84D9A"/>
    <w:rsid w:val="00A866D9"/>
    <w:rsid w:val="00A87626"/>
    <w:rsid w:val="00A87EDF"/>
    <w:rsid w:val="00A90A92"/>
    <w:rsid w:val="00A90F3A"/>
    <w:rsid w:val="00A924DF"/>
    <w:rsid w:val="00A936AB"/>
    <w:rsid w:val="00A95BB1"/>
    <w:rsid w:val="00AA0585"/>
    <w:rsid w:val="00AA0C15"/>
    <w:rsid w:val="00AA23A6"/>
    <w:rsid w:val="00AA2F2B"/>
    <w:rsid w:val="00AA3D09"/>
    <w:rsid w:val="00AA5335"/>
    <w:rsid w:val="00AA551E"/>
    <w:rsid w:val="00AA637F"/>
    <w:rsid w:val="00AA77A7"/>
    <w:rsid w:val="00AB0FEE"/>
    <w:rsid w:val="00AB4022"/>
    <w:rsid w:val="00AB438D"/>
    <w:rsid w:val="00AB4DCE"/>
    <w:rsid w:val="00AB5A2B"/>
    <w:rsid w:val="00AB7CA0"/>
    <w:rsid w:val="00AC039A"/>
    <w:rsid w:val="00AC0D9A"/>
    <w:rsid w:val="00AC36FB"/>
    <w:rsid w:val="00AC5B5C"/>
    <w:rsid w:val="00AC756C"/>
    <w:rsid w:val="00AD07CE"/>
    <w:rsid w:val="00AD1264"/>
    <w:rsid w:val="00AD1937"/>
    <w:rsid w:val="00AD1ECC"/>
    <w:rsid w:val="00AD28FC"/>
    <w:rsid w:val="00AD35A3"/>
    <w:rsid w:val="00AD4403"/>
    <w:rsid w:val="00AD6987"/>
    <w:rsid w:val="00AD7F31"/>
    <w:rsid w:val="00AE003A"/>
    <w:rsid w:val="00AE0D43"/>
    <w:rsid w:val="00AE2BB0"/>
    <w:rsid w:val="00AE3592"/>
    <w:rsid w:val="00AE3DE0"/>
    <w:rsid w:val="00AE4375"/>
    <w:rsid w:val="00AE5952"/>
    <w:rsid w:val="00AF29F2"/>
    <w:rsid w:val="00AF2F8F"/>
    <w:rsid w:val="00AF732E"/>
    <w:rsid w:val="00AF79F0"/>
    <w:rsid w:val="00B004A8"/>
    <w:rsid w:val="00B010F8"/>
    <w:rsid w:val="00B014ED"/>
    <w:rsid w:val="00B0170B"/>
    <w:rsid w:val="00B02638"/>
    <w:rsid w:val="00B06698"/>
    <w:rsid w:val="00B06CEA"/>
    <w:rsid w:val="00B11BEA"/>
    <w:rsid w:val="00B13B95"/>
    <w:rsid w:val="00B13E81"/>
    <w:rsid w:val="00B13F6E"/>
    <w:rsid w:val="00B1553B"/>
    <w:rsid w:val="00B15BB5"/>
    <w:rsid w:val="00B17B7F"/>
    <w:rsid w:val="00B21285"/>
    <w:rsid w:val="00B24366"/>
    <w:rsid w:val="00B247DA"/>
    <w:rsid w:val="00B259CF"/>
    <w:rsid w:val="00B31A24"/>
    <w:rsid w:val="00B32B00"/>
    <w:rsid w:val="00B32D64"/>
    <w:rsid w:val="00B34261"/>
    <w:rsid w:val="00B346C9"/>
    <w:rsid w:val="00B377AB"/>
    <w:rsid w:val="00B37F36"/>
    <w:rsid w:val="00B43A35"/>
    <w:rsid w:val="00B43B70"/>
    <w:rsid w:val="00B451DB"/>
    <w:rsid w:val="00B47191"/>
    <w:rsid w:val="00B506AF"/>
    <w:rsid w:val="00B518C7"/>
    <w:rsid w:val="00B51D6A"/>
    <w:rsid w:val="00B5467B"/>
    <w:rsid w:val="00B54A58"/>
    <w:rsid w:val="00B56182"/>
    <w:rsid w:val="00B61891"/>
    <w:rsid w:val="00B64177"/>
    <w:rsid w:val="00B641CA"/>
    <w:rsid w:val="00B65163"/>
    <w:rsid w:val="00B6563D"/>
    <w:rsid w:val="00B67416"/>
    <w:rsid w:val="00B70203"/>
    <w:rsid w:val="00B71418"/>
    <w:rsid w:val="00B75327"/>
    <w:rsid w:val="00B75CEA"/>
    <w:rsid w:val="00B768FF"/>
    <w:rsid w:val="00B77E31"/>
    <w:rsid w:val="00B80CA4"/>
    <w:rsid w:val="00B81B5F"/>
    <w:rsid w:val="00B82E12"/>
    <w:rsid w:val="00B840DF"/>
    <w:rsid w:val="00B843D4"/>
    <w:rsid w:val="00B8472D"/>
    <w:rsid w:val="00B8502A"/>
    <w:rsid w:val="00B857A2"/>
    <w:rsid w:val="00B85AF3"/>
    <w:rsid w:val="00B860FC"/>
    <w:rsid w:val="00B8748C"/>
    <w:rsid w:val="00B87E03"/>
    <w:rsid w:val="00B94F51"/>
    <w:rsid w:val="00B95328"/>
    <w:rsid w:val="00B96096"/>
    <w:rsid w:val="00B96F55"/>
    <w:rsid w:val="00B97108"/>
    <w:rsid w:val="00B97E31"/>
    <w:rsid w:val="00BA2720"/>
    <w:rsid w:val="00BA2F94"/>
    <w:rsid w:val="00BA3A4D"/>
    <w:rsid w:val="00BA5130"/>
    <w:rsid w:val="00BA5E7A"/>
    <w:rsid w:val="00BA6B47"/>
    <w:rsid w:val="00BA7534"/>
    <w:rsid w:val="00BB0D5F"/>
    <w:rsid w:val="00BB1586"/>
    <w:rsid w:val="00BB21CC"/>
    <w:rsid w:val="00BB55BC"/>
    <w:rsid w:val="00BB599F"/>
    <w:rsid w:val="00BB5F95"/>
    <w:rsid w:val="00BB6D57"/>
    <w:rsid w:val="00BC01A8"/>
    <w:rsid w:val="00BC19E3"/>
    <w:rsid w:val="00BC2150"/>
    <w:rsid w:val="00BC2FFC"/>
    <w:rsid w:val="00BC6745"/>
    <w:rsid w:val="00BC7024"/>
    <w:rsid w:val="00BC7B2C"/>
    <w:rsid w:val="00BC7C63"/>
    <w:rsid w:val="00BD173C"/>
    <w:rsid w:val="00BD1F90"/>
    <w:rsid w:val="00BD206C"/>
    <w:rsid w:val="00BD21A6"/>
    <w:rsid w:val="00BD3055"/>
    <w:rsid w:val="00BD448B"/>
    <w:rsid w:val="00BD71E6"/>
    <w:rsid w:val="00BE0FBA"/>
    <w:rsid w:val="00BE24D8"/>
    <w:rsid w:val="00BE5913"/>
    <w:rsid w:val="00BE5D3C"/>
    <w:rsid w:val="00BE6274"/>
    <w:rsid w:val="00BE6918"/>
    <w:rsid w:val="00BE7359"/>
    <w:rsid w:val="00BF0FB7"/>
    <w:rsid w:val="00BF10E2"/>
    <w:rsid w:val="00BF1197"/>
    <w:rsid w:val="00BF1564"/>
    <w:rsid w:val="00BF2C97"/>
    <w:rsid w:val="00BF3A38"/>
    <w:rsid w:val="00BF795E"/>
    <w:rsid w:val="00C005CB"/>
    <w:rsid w:val="00C01ACA"/>
    <w:rsid w:val="00C01AF6"/>
    <w:rsid w:val="00C01EE8"/>
    <w:rsid w:val="00C01FD9"/>
    <w:rsid w:val="00C03519"/>
    <w:rsid w:val="00C05CDF"/>
    <w:rsid w:val="00C074BD"/>
    <w:rsid w:val="00C07591"/>
    <w:rsid w:val="00C128DF"/>
    <w:rsid w:val="00C1551E"/>
    <w:rsid w:val="00C176F9"/>
    <w:rsid w:val="00C216A2"/>
    <w:rsid w:val="00C21DB1"/>
    <w:rsid w:val="00C21EB6"/>
    <w:rsid w:val="00C230F3"/>
    <w:rsid w:val="00C257B4"/>
    <w:rsid w:val="00C25CA7"/>
    <w:rsid w:val="00C263F3"/>
    <w:rsid w:val="00C2688F"/>
    <w:rsid w:val="00C27414"/>
    <w:rsid w:val="00C31B03"/>
    <w:rsid w:val="00C31FFF"/>
    <w:rsid w:val="00C36CE5"/>
    <w:rsid w:val="00C3755E"/>
    <w:rsid w:val="00C379C6"/>
    <w:rsid w:val="00C41EB8"/>
    <w:rsid w:val="00C424BA"/>
    <w:rsid w:val="00C43A33"/>
    <w:rsid w:val="00C444BC"/>
    <w:rsid w:val="00C44D96"/>
    <w:rsid w:val="00C4609B"/>
    <w:rsid w:val="00C52DF2"/>
    <w:rsid w:val="00C53BF3"/>
    <w:rsid w:val="00C54DA5"/>
    <w:rsid w:val="00C571E4"/>
    <w:rsid w:val="00C57389"/>
    <w:rsid w:val="00C57899"/>
    <w:rsid w:val="00C57D84"/>
    <w:rsid w:val="00C61EBD"/>
    <w:rsid w:val="00C62A2C"/>
    <w:rsid w:val="00C62A90"/>
    <w:rsid w:val="00C63EB7"/>
    <w:rsid w:val="00C713F9"/>
    <w:rsid w:val="00C72893"/>
    <w:rsid w:val="00C73F60"/>
    <w:rsid w:val="00C7517A"/>
    <w:rsid w:val="00C754CE"/>
    <w:rsid w:val="00C754D8"/>
    <w:rsid w:val="00C7606D"/>
    <w:rsid w:val="00C771DD"/>
    <w:rsid w:val="00C774EE"/>
    <w:rsid w:val="00C809F4"/>
    <w:rsid w:val="00C83262"/>
    <w:rsid w:val="00C8720E"/>
    <w:rsid w:val="00C90210"/>
    <w:rsid w:val="00C90DA0"/>
    <w:rsid w:val="00C92408"/>
    <w:rsid w:val="00C925AF"/>
    <w:rsid w:val="00C92A5B"/>
    <w:rsid w:val="00C92EA0"/>
    <w:rsid w:val="00C93F11"/>
    <w:rsid w:val="00C954F6"/>
    <w:rsid w:val="00C9701E"/>
    <w:rsid w:val="00C97221"/>
    <w:rsid w:val="00C97D6C"/>
    <w:rsid w:val="00CA153E"/>
    <w:rsid w:val="00CA195B"/>
    <w:rsid w:val="00CA1C49"/>
    <w:rsid w:val="00CA24D4"/>
    <w:rsid w:val="00CA3870"/>
    <w:rsid w:val="00CA4DA0"/>
    <w:rsid w:val="00CA52A6"/>
    <w:rsid w:val="00CB0BBD"/>
    <w:rsid w:val="00CB3240"/>
    <w:rsid w:val="00CB3D6E"/>
    <w:rsid w:val="00CB4A01"/>
    <w:rsid w:val="00CB745D"/>
    <w:rsid w:val="00CB777A"/>
    <w:rsid w:val="00CB78D1"/>
    <w:rsid w:val="00CB7D5E"/>
    <w:rsid w:val="00CC0C43"/>
    <w:rsid w:val="00CC1447"/>
    <w:rsid w:val="00CC23D3"/>
    <w:rsid w:val="00CC2EE3"/>
    <w:rsid w:val="00CC3C35"/>
    <w:rsid w:val="00CC46A2"/>
    <w:rsid w:val="00CC7249"/>
    <w:rsid w:val="00CD00FF"/>
    <w:rsid w:val="00CD0E55"/>
    <w:rsid w:val="00CD0F71"/>
    <w:rsid w:val="00CD2B64"/>
    <w:rsid w:val="00CD330E"/>
    <w:rsid w:val="00CD4E9A"/>
    <w:rsid w:val="00CD5FC2"/>
    <w:rsid w:val="00CD6DC4"/>
    <w:rsid w:val="00CD6EC5"/>
    <w:rsid w:val="00CE064E"/>
    <w:rsid w:val="00CE11C4"/>
    <w:rsid w:val="00CE1753"/>
    <w:rsid w:val="00CE2085"/>
    <w:rsid w:val="00CE2FBA"/>
    <w:rsid w:val="00CE33C4"/>
    <w:rsid w:val="00CE5469"/>
    <w:rsid w:val="00CE72D1"/>
    <w:rsid w:val="00CE7B65"/>
    <w:rsid w:val="00CF0618"/>
    <w:rsid w:val="00CF5B64"/>
    <w:rsid w:val="00CF6A03"/>
    <w:rsid w:val="00CF7DAB"/>
    <w:rsid w:val="00D00421"/>
    <w:rsid w:val="00D02809"/>
    <w:rsid w:val="00D02A76"/>
    <w:rsid w:val="00D04C71"/>
    <w:rsid w:val="00D05F2C"/>
    <w:rsid w:val="00D0639E"/>
    <w:rsid w:val="00D064D9"/>
    <w:rsid w:val="00D07FEA"/>
    <w:rsid w:val="00D13782"/>
    <w:rsid w:val="00D17D0F"/>
    <w:rsid w:val="00D2080C"/>
    <w:rsid w:val="00D20AAC"/>
    <w:rsid w:val="00D21284"/>
    <w:rsid w:val="00D23001"/>
    <w:rsid w:val="00D23C7E"/>
    <w:rsid w:val="00D2458F"/>
    <w:rsid w:val="00D25672"/>
    <w:rsid w:val="00D25C46"/>
    <w:rsid w:val="00D25E09"/>
    <w:rsid w:val="00D3168D"/>
    <w:rsid w:val="00D34262"/>
    <w:rsid w:val="00D357EC"/>
    <w:rsid w:val="00D410D1"/>
    <w:rsid w:val="00D4191F"/>
    <w:rsid w:val="00D46610"/>
    <w:rsid w:val="00D524C1"/>
    <w:rsid w:val="00D5594D"/>
    <w:rsid w:val="00D55A2A"/>
    <w:rsid w:val="00D57595"/>
    <w:rsid w:val="00D575FB"/>
    <w:rsid w:val="00D60AF3"/>
    <w:rsid w:val="00D610BB"/>
    <w:rsid w:val="00D64446"/>
    <w:rsid w:val="00D64D3B"/>
    <w:rsid w:val="00D6617E"/>
    <w:rsid w:val="00D717F5"/>
    <w:rsid w:val="00D720F0"/>
    <w:rsid w:val="00D72185"/>
    <w:rsid w:val="00D722E6"/>
    <w:rsid w:val="00D72B38"/>
    <w:rsid w:val="00D72F5D"/>
    <w:rsid w:val="00D76BFD"/>
    <w:rsid w:val="00D80CBA"/>
    <w:rsid w:val="00D81B04"/>
    <w:rsid w:val="00D81F9E"/>
    <w:rsid w:val="00D842AB"/>
    <w:rsid w:val="00D85405"/>
    <w:rsid w:val="00D85BA0"/>
    <w:rsid w:val="00D913D1"/>
    <w:rsid w:val="00D92C5B"/>
    <w:rsid w:val="00D937B9"/>
    <w:rsid w:val="00D955D3"/>
    <w:rsid w:val="00D96F1F"/>
    <w:rsid w:val="00DA055B"/>
    <w:rsid w:val="00DA340E"/>
    <w:rsid w:val="00DA5785"/>
    <w:rsid w:val="00DA6301"/>
    <w:rsid w:val="00DA6EDB"/>
    <w:rsid w:val="00DB0164"/>
    <w:rsid w:val="00DB031C"/>
    <w:rsid w:val="00DB0FA3"/>
    <w:rsid w:val="00DB4359"/>
    <w:rsid w:val="00DB7743"/>
    <w:rsid w:val="00DC0553"/>
    <w:rsid w:val="00DC0A2B"/>
    <w:rsid w:val="00DC2EC0"/>
    <w:rsid w:val="00DC3697"/>
    <w:rsid w:val="00DC39F8"/>
    <w:rsid w:val="00DC57EB"/>
    <w:rsid w:val="00DC6757"/>
    <w:rsid w:val="00DD06FE"/>
    <w:rsid w:val="00DD14B2"/>
    <w:rsid w:val="00DD15F2"/>
    <w:rsid w:val="00DD1D7E"/>
    <w:rsid w:val="00DD482F"/>
    <w:rsid w:val="00DD6A23"/>
    <w:rsid w:val="00DE16E5"/>
    <w:rsid w:val="00DE1AFB"/>
    <w:rsid w:val="00DE5D64"/>
    <w:rsid w:val="00DE6A14"/>
    <w:rsid w:val="00DF22D3"/>
    <w:rsid w:val="00DF2A45"/>
    <w:rsid w:val="00DF3197"/>
    <w:rsid w:val="00DF37C3"/>
    <w:rsid w:val="00DF404C"/>
    <w:rsid w:val="00DF5AF7"/>
    <w:rsid w:val="00DF7338"/>
    <w:rsid w:val="00E0007E"/>
    <w:rsid w:val="00E002F7"/>
    <w:rsid w:val="00E01B75"/>
    <w:rsid w:val="00E02EAA"/>
    <w:rsid w:val="00E039DB"/>
    <w:rsid w:val="00E06B96"/>
    <w:rsid w:val="00E103C0"/>
    <w:rsid w:val="00E10FEB"/>
    <w:rsid w:val="00E12475"/>
    <w:rsid w:val="00E12674"/>
    <w:rsid w:val="00E1313C"/>
    <w:rsid w:val="00E14604"/>
    <w:rsid w:val="00E16038"/>
    <w:rsid w:val="00E204F9"/>
    <w:rsid w:val="00E22E1E"/>
    <w:rsid w:val="00E23751"/>
    <w:rsid w:val="00E25791"/>
    <w:rsid w:val="00E2616F"/>
    <w:rsid w:val="00E30251"/>
    <w:rsid w:val="00E33447"/>
    <w:rsid w:val="00E35D32"/>
    <w:rsid w:val="00E4059A"/>
    <w:rsid w:val="00E4077A"/>
    <w:rsid w:val="00E41555"/>
    <w:rsid w:val="00E42E4F"/>
    <w:rsid w:val="00E43249"/>
    <w:rsid w:val="00E43860"/>
    <w:rsid w:val="00E468A2"/>
    <w:rsid w:val="00E4695E"/>
    <w:rsid w:val="00E500BB"/>
    <w:rsid w:val="00E509B9"/>
    <w:rsid w:val="00E51DBB"/>
    <w:rsid w:val="00E524CB"/>
    <w:rsid w:val="00E61D24"/>
    <w:rsid w:val="00E63258"/>
    <w:rsid w:val="00E644B1"/>
    <w:rsid w:val="00E71276"/>
    <w:rsid w:val="00E716B3"/>
    <w:rsid w:val="00E7227D"/>
    <w:rsid w:val="00E73E44"/>
    <w:rsid w:val="00E744E4"/>
    <w:rsid w:val="00E753AE"/>
    <w:rsid w:val="00E76F41"/>
    <w:rsid w:val="00E81982"/>
    <w:rsid w:val="00E81ABB"/>
    <w:rsid w:val="00E858E7"/>
    <w:rsid w:val="00E85E74"/>
    <w:rsid w:val="00E8629F"/>
    <w:rsid w:val="00E862A3"/>
    <w:rsid w:val="00E86419"/>
    <w:rsid w:val="00E868FA"/>
    <w:rsid w:val="00E86937"/>
    <w:rsid w:val="00E86DD5"/>
    <w:rsid w:val="00E91797"/>
    <w:rsid w:val="00E91C02"/>
    <w:rsid w:val="00E9393E"/>
    <w:rsid w:val="00E93CC4"/>
    <w:rsid w:val="00E949BB"/>
    <w:rsid w:val="00E9515F"/>
    <w:rsid w:val="00E96DD9"/>
    <w:rsid w:val="00E9732E"/>
    <w:rsid w:val="00EA046B"/>
    <w:rsid w:val="00EA04F4"/>
    <w:rsid w:val="00EA1A0A"/>
    <w:rsid w:val="00EA2366"/>
    <w:rsid w:val="00EA2A05"/>
    <w:rsid w:val="00EA3FBA"/>
    <w:rsid w:val="00EA7CB4"/>
    <w:rsid w:val="00EB0488"/>
    <w:rsid w:val="00EB0BF9"/>
    <w:rsid w:val="00EB470A"/>
    <w:rsid w:val="00EB628B"/>
    <w:rsid w:val="00EB6519"/>
    <w:rsid w:val="00EC0027"/>
    <w:rsid w:val="00EC08DF"/>
    <w:rsid w:val="00EC18CA"/>
    <w:rsid w:val="00EC1D4E"/>
    <w:rsid w:val="00EC28A6"/>
    <w:rsid w:val="00EC3E4D"/>
    <w:rsid w:val="00EC46D1"/>
    <w:rsid w:val="00EC5683"/>
    <w:rsid w:val="00EC5E36"/>
    <w:rsid w:val="00EC6B59"/>
    <w:rsid w:val="00ED0B07"/>
    <w:rsid w:val="00ED1EA6"/>
    <w:rsid w:val="00ED22F5"/>
    <w:rsid w:val="00ED5165"/>
    <w:rsid w:val="00ED7E2C"/>
    <w:rsid w:val="00EE080D"/>
    <w:rsid w:val="00EE0E57"/>
    <w:rsid w:val="00EE3553"/>
    <w:rsid w:val="00EE409F"/>
    <w:rsid w:val="00EE7B2F"/>
    <w:rsid w:val="00EF0064"/>
    <w:rsid w:val="00EF119F"/>
    <w:rsid w:val="00EF3503"/>
    <w:rsid w:val="00EF4151"/>
    <w:rsid w:val="00EF569B"/>
    <w:rsid w:val="00EF58C5"/>
    <w:rsid w:val="00EF780A"/>
    <w:rsid w:val="00F00293"/>
    <w:rsid w:val="00F00986"/>
    <w:rsid w:val="00F010AA"/>
    <w:rsid w:val="00F02509"/>
    <w:rsid w:val="00F02A57"/>
    <w:rsid w:val="00F03542"/>
    <w:rsid w:val="00F03EE4"/>
    <w:rsid w:val="00F0404F"/>
    <w:rsid w:val="00F0446F"/>
    <w:rsid w:val="00F04D66"/>
    <w:rsid w:val="00F05A1B"/>
    <w:rsid w:val="00F06935"/>
    <w:rsid w:val="00F06CC9"/>
    <w:rsid w:val="00F076C3"/>
    <w:rsid w:val="00F12EA8"/>
    <w:rsid w:val="00F15174"/>
    <w:rsid w:val="00F154C2"/>
    <w:rsid w:val="00F20157"/>
    <w:rsid w:val="00F20A31"/>
    <w:rsid w:val="00F20D17"/>
    <w:rsid w:val="00F20FC1"/>
    <w:rsid w:val="00F22BCF"/>
    <w:rsid w:val="00F25994"/>
    <w:rsid w:val="00F25A21"/>
    <w:rsid w:val="00F2700F"/>
    <w:rsid w:val="00F30A78"/>
    <w:rsid w:val="00F31516"/>
    <w:rsid w:val="00F32746"/>
    <w:rsid w:val="00F33AA2"/>
    <w:rsid w:val="00F340A3"/>
    <w:rsid w:val="00F359DB"/>
    <w:rsid w:val="00F378A5"/>
    <w:rsid w:val="00F42B30"/>
    <w:rsid w:val="00F42FDA"/>
    <w:rsid w:val="00F43C3F"/>
    <w:rsid w:val="00F44AD9"/>
    <w:rsid w:val="00F5202F"/>
    <w:rsid w:val="00F53E32"/>
    <w:rsid w:val="00F614C0"/>
    <w:rsid w:val="00F6558B"/>
    <w:rsid w:val="00F679E8"/>
    <w:rsid w:val="00F7509A"/>
    <w:rsid w:val="00F7539B"/>
    <w:rsid w:val="00F76814"/>
    <w:rsid w:val="00F87B30"/>
    <w:rsid w:val="00F91CEC"/>
    <w:rsid w:val="00F938C6"/>
    <w:rsid w:val="00F93E42"/>
    <w:rsid w:val="00F94CC6"/>
    <w:rsid w:val="00F963C1"/>
    <w:rsid w:val="00FA07BA"/>
    <w:rsid w:val="00FA09BC"/>
    <w:rsid w:val="00FA1CB0"/>
    <w:rsid w:val="00FA2057"/>
    <w:rsid w:val="00FA3D8C"/>
    <w:rsid w:val="00FA3EC8"/>
    <w:rsid w:val="00FB1F5F"/>
    <w:rsid w:val="00FB5A09"/>
    <w:rsid w:val="00FB647D"/>
    <w:rsid w:val="00FC093F"/>
    <w:rsid w:val="00FC1060"/>
    <w:rsid w:val="00FC26E3"/>
    <w:rsid w:val="00FC3EDC"/>
    <w:rsid w:val="00FC75A3"/>
    <w:rsid w:val="00FD1755"/>
    <w:rsid w:val="00FD1C23"/>
    <w:rsid w:val="00FD1DA0"/>
    <w:rsid w:val="00FD418D"/>
    <w:rsid w:val="00FD56E0"/>
    <w:rsid w:val="00FD5CD8"/>
    <w:rsid w:val="00FD781F"/>
    <w:rsid w:val="00FD7862"/>
    <w:rsid w:val="00FE01CF"/>
    <w:rsid w:val="00FE0A88"/>
    <w:rsid w:val="00FE5CA5"/>
    <w:rsid w:val="00FE7556"/>
    <w:rsid w:val="00FF0B06"/>
    <w:rsid w:val="00FF145C"/>
    <w:rsid w:val="00FF2E8E"/>
    <w:rsid w:val="00FF5805"/>
    <w:rsid w:val="00FF61D0"/>
    <w:rsid w:val="00FF6313"/>
    <w:rsid w:val="00FF7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42E4F"/>
    <w:pPr>
      <w:ind w:left="720"/>
      <w:contextualSpacing/>
    </w:pPr>
  </w:style>
  <w:style w:type="paragraph" w:styleId="Header">
    <w:name w:val="header"/>
    <w:basedOn w:val="Normal"/>
    <w:link w:val="HeaderChar"/>
    <w:uiPriority w:val="99"/>
    <w:unhideWhenUsed/>
    <w:rsid w:val="008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A8"/>
  </w:style>
  <w:style w:type="paragraph" w:styleId="Footer">
    <w:name w:val="footer"/>
    <w:basedOn w:val="Normal"/>
    <w:link w:val="FooterChar"/>
    <w:uiPriority w:val="99"/>
    <w:unhideWhenUsed/>
    <w:rsid w:val="008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A8"/>
  </w:style>
  <w:style w:type="table" w:styleId="TableGrid">
    <w:name w:val="Table Grid"/>
    <w:basedOn w:val="TableNormal"/>
    <w:uiPriority w:val="39"/>
    <w:rsid w:val="00DA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066"/>
    <w:rPr>
      <w:sz w:val="20"/>
      <w:szCs w:val="20"/>
    </w:rPr>
  </w:style>
  <w:style w:type="character" w:styleId="FootnoteReference">
    <w:name w:val="footnote reference"/>
    <w:basedOn w:val="DefaultParagraphFont"/>
    <w:uiPriority w:val="99"/>
    <w:semiHidden/>
    <w:unhideWhenUsed/>
    <w:rsid w:val="00685066"/>
    <w:rPr>
      <w:vertAlign w:val="superscript"/>
    </w:rPr>
  </w:style>
  <w:style w:type="paragraph" w:customStyle="1" w:styleId="char">
    <w:name w:val="char"/>
    <w:basedOn w:val="Normal"/>
    <w:rsid w:val="00B014ED"/>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49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7"/>
    <w:rPr>
      <w:rFonts w:ascii="Segoe UI" w:hAnsi="Segoe UI" w:cs="Segoe UI"/>
      <w:sz w:val="18"/>
      <w:szCs w:val="18"/>
    </w:rPr>
  </w:style>
  <w:style w:type="character" w:customStyle="1" w:styleId="ListParagraphChar">
    <w:name w:val="List Paragraph Char"/>
    <w:aliases w:val="List Paragraph 1 Char,Bullets Char,Table of contents numbered Char,footer text Char"/>
    <w:link w:val="ListParagraph"/>
    <w:uiPriority w:val="34"/>
    <w:locked/>
    <w:rsid w:val="00603E7D"/>
  </w:style>
  <w:style w:type="paragraph" w:customStyle="1" w:styleId="AGHeading1">
    <w:name w:val="AG Heading 1"/>
    <w:basedOn w:val="Normal"/>
    <w:next w:val="Normal"/>
    <w:rsid w:val="0044675E"/>
    <w:pPr>
      <w:spacing w:before="600" w:after="400" w:line="240" w:lineRule="auto"/>
      <w:jc w:val="left"/>
    </w:pPr>
    <w:rPr>
      <w:rFonts w:ascii="Arial Black" w:eastAsia="Times New Roman" w:hAnsi="Arial Black" w:cs="Times New Roman"/>
      <w:color w:val="000000"/>
      <w:sz w:val="32"/>
      <w:szCs w:val="24"/>
      <w:lang w:eastAsia="en-GB"/>
    </w:rPr>
  </w:style>
  <w:style w:type="paragraph" w:customStyle="1" w:styleId="bulletlist">
    <w:name w:val="bullet list"/>
    <w:basedOn w:val="Normal"/>
    <w:next w:val="Normal"/>
    <w:link w:val="bulletlistChar"/>
    <w:qFormat/>
    <w:rsid w:val="0044675E"/>
    <w:pPr>
      <w:numPr>
        <w:numId w:val="1"/>
      </w:numPr>
      <w:spacing w:before="120" w:after="120" w:line="240" w:lineRule="auto"/>
      <w:jc w:val="left"/>
    </w:pPr>
    <w:rPr>
      <w:rFonts w:ascii="Arial" w:hAnsi="Arial"/>
      <w:color w:val="7F7F7F" w:themeColor="text1" w:themeTint="80"/>
      <w:sz w:val="20"/>
      <w:lang w:val="en-US"/>
    </w:rPr>
  </w:style>
  <w:style w:type="character" w:customStyle="1" w:styleId="bulletlistChar">
    <w:name w:val="bullet list Char"/>
    <w:basedOn w:val="DefaultParagraphFont"/>
    <w:link w:val="bulletlist"/>
    <w:rsid w:val="0044675E"/>
    <w:rPr>
      <w:rFonts w:ascii="Arial" w:hAnsi="Arial"/>
      <w:color w:val="7F7F7F" w:themeColor="text1" w:themeTint="80"/>
      <w:sz w:val="20"/>
      <w:lang w:val="en-US"/>
    </w:rPr>
  </w:style>
  <w:style w:type="paragraph" w:customStyle="1" w:styleId="BodySingle">
    <w:name w:val="Body Single"/>
    <w:rsid w:val="0044675E"/>
    <w:pPr>
      <w:spacing w:after="0" w:line="240" w:lineRule="auto"/>
      <w:ind w:left="720"/>
    </w:pPr>
    <w:rPr>
      <w:rFonts w:ascii="Arial" w:eastAsia="Times New Roman" w:hAnsi="Arial" w:cs="Times New Roman"/>
      <w:i/>
      <w:noProof/>
      <w:sz w:val="20"/>
      <w:szCs w:val="20"/>
      <w:lang w:val="en-US"/>
    </w:rPr>
  </w:style>
  <w:style w:type="paragraph" w:customStyle="1" w:styleId="Default">
    <w:name w:val="Default"/>
    <w:rsid w:val="00781783"/>
    <w:pPr>
      <w:autoSpaceDE w:val="0"/>
      <w:autoSpaceDN w:val="0"/>
      <w:adjustRightInd w:val="0"/>
      <w:spacing w:after="0" w:line="240" w:lineRule="auto"/>
      <w:jc w:val="left"/>
    </w:pPr>
    <w:rPr>
      <w:rFonts w:ascii="Open Sans Light" w:hAnsi="Open Sans Light" w:cs="Open Sans Light"/>
      <w:color w:val="000000"/>
      <w:sz w:val="24"/>
      <w:szCs w:val="24"/>
    </w:rPr>
  </w:style>
  <w:style w:type="paragraph" w:customStyle="1" w:styleId="Pa11">
    <w:name w:val="Pa11"/>
    <w:basedOn w:val="Normal"/>
    <w:next w:val="Normal"/>
    <w:uiPriority w:val="99"/>
    <w:rsid w:val="00E0007E"/>
    <w:pPr>
      <w:autoSpaceDE w:val="0"/>
      <w:autoSpaceDN w:val="0"/>
      <w:adjustRightInd w:val="0"/>
      <w:spacing w:after="0" w:line="181" w:lineRule="atLeast"/>
      <w:jc w:val="left"/>
    </w:pPr>
    <w:rPr>
      <w:rFonts w:ascii="Open Sans Light" w:hAnsi="Open Sans Light"/>
      <w:sz w:val="24"/>
      <w:szCs w:val="24"/>
    </w:rPr>
  </w:style>
  <w:style w:type="paragraph" w:styleId="NormalWeb">
    <w:name w:val="Normal (Web)"/>
    <w:basedOn w:val="Normal"/>
    <w:uiPriority w:val="99"/>
    <w:unhideWhenUsed/>
    <w:rsid w:val="00E000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42">
    <w:name w:val="Pa42"/>
    <w:basedOn w:val="Normal"/>
    <w:next w:val="Normal"/>
    <w:uiPriority w:val="99"/>
    <w:rsid w:val="0088110C"/>
    <w:pPr>
      <w:autoSpaceDE w:val="0"/>
      <w:autoSpaceDN w:val="0"/>
      <w:adjustRightInd w:val="0"/>
      <w:spacing w:after="0" w:line="181" w:lineRule="atLeast"/>
      <w:jc w:val="left"/>
    </w:pPr>
    <w:rPr>
      <w:rFonts w:ascii="Open Sans Light" w:hAnsi="Open Sans Light"/>
      <w:sz w:val="24"/>
      <w:szCs w:val="24"/>
    </w:rPr>
  </w:style>
  <w:style w:type="paragraph" w:customStyle="1" w:styleId="Pa35">
    <w:name w:val="Pa35"/>
    <w:basedOn w:val="Default"/>
    <w:next w:val="Default"/>
    <w:uiPriority w:val="99"/>
    <w:rsid w:val="009B568A"/>
    <w:pPr>
      <w:spacing w:line="181" w:lineRule="atLeast"/>
    </w:pPr>
    <w:rPr>
      <w:rFonts w:cstheme="minorBidi"/>
      <w:color w:val="auto"/>
    </w:rPr>
  </w:style>
  <w:style w:type="character" w:styleId="CommentReference">
    <w:name w:val="annotation reference"/>
    <w:basedOn w:val="DefaultParagraphFont"/>
    <w:uiPriority w:val="99"/>
    <w:semiHidden/>
    <w:unhideWhenUsed/>
    <w:rsid w:val="00767875"/>
    <w:rPr>
      <w:sz w:val="16"/>
      <w:szCs w:val="16"/>
    </w:rPr>
  </w:style>
  <w:style w:type="paragraph" w:styleId="CommentText">
    <w:name w:val="annotation text"/>
    <w:basedOn w:val="Normal"/>
    <w:link w:val="CommentTextChar"/>
    <w:uiPriority w:val="99"/>
    <w:semiHidden/>
    <w:unhideWhenUsed/>
    <w:rsid w:val="00767875"/>
    <w:pPr>
      <w:spacing w:line="240" w:lineRule="auto"/>
    </w:pPr>
    <w:rPr>
      <w:sz w:val="20"/>
      <w:szCs w:val="20"/>
    </w:rPr>
  </w:style>
  <w:style w:type="character" w:customStyle="1" w:styleId="CommentTextChar">
    <w:name w:val="Comment Text Char"/>
    <w:basedOn w:val="DefaultParagraphFont"/>
    <w:link w:val="CommentText"/>
    <w:uiPriority w:val="99"/>
    <w:semiHidden/>
    <w:rsid w:val="00767875"/>
    <w:rPr>
      <w:sz w:val="20"/>
      <w:szCs w:val="20"/>
    </w:rPr>
  </w:style>
  <w:style w:type="paragraph" w:styleId="CommentSubject">
    <w:name w:val="annotation subject"/>
    <w:basedOn w:val="CommentText"/>
    <w:next w:val="CommentText"/>
    <w:link w:val="CommentSubjectChar"/>
    <w:uiPriority w:val="99"/>
    <w:semiHidden/>
    <w:unhideWhenUsed/>
    <w:rsid w:val="00767875"/>
    <w:rPr>
      <w:b/>
      <w:bCs/>
    </w:rPr>
  </w:style>
  <w:style w:type="character" w:customStyle="1" w:styleId="CommentSubjectChar">
    <w:name w:val="Comment Subject Char"/>
    <w:basedOn w:val="CommentTextChar"/>
    <w:link w:val="CommentSubject"/>
    <w:uiPriority w:val="99"/>
    <w:semiHidden/>
    <w:rsid w:val="007678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42E4F"/>
    <w:pPr>
      <w:ind w:left="720"/>
      <w:contextualSpacing/>
    </w:pPr>
  </w:style>
  <w:style w:type="paragraph" w:styleId="Header">
    <w:name w:val="header"/>
    <w:basedOn w:val="Normal"/>
    <w:link w:val="HeaderChar"/>
    <w:uiPriority w:val="99"/>
    <w:unhideWhenUsed/>
    <w:rsid w:val="008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A8"/>
  </w:style>
  <w:style w:type="paragraph" w:styleId="Footer">
    <w:name w:val="footer"/>
    <w:basedOn w:val="Normal"/>
    <w:link w:val="FooterChar"/>
    <w:uiPriority w:val="99"/>
    <w:unhideWhenUsed/>
    <w:rsid w:val="008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A8"/>
  </w:style>
  <w:style w:type="table" w:styleId="TableGrid">
    <w:name w:val="Table Grid"/>
    <w:basedOn w:val="TableNormal"/>
    <w:uiPriority w:val="39"/>
    <w:rsid w:val="00DA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066"/>
    <w:rPr>
      <w:sz w:val="20"/>
      <w:szCs w:val="20"/>
    </w:rPr>
  </w:style>
  <w:style w:type="character" w:styleId="FootnoteReference">
    <w:name w:val="footnote reference"/>
    <w:basedOn w:val="DefaultParagraphFont"/>
    <w:uiPriority w:val="99"/>
    <w:semiHidden/>
    <w:unhideWhenUsed/>
    <w:rsid w:val="00685066"/>
    <w:rPr>
      <w:vertAlign w:val="superscript"/>
    </w:rPr>
  </w:style>
  <w:style w:type="paragraph" w:customStyle="1" w:styleId="char">
    <w:name w:val="char"/>
    <w:basedOn w:val="Normal"/>
    <w:rsid w:val="00B014ED"/>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49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7"/>
    <w:rPr>
      <w:rFonts w:ascii="Segoe UI" w:hAnsi="Segoe UI" w:cs="Segoe UI"/>
      <w:sz w:val="18"/>
      <w:szCs w:val="18"/>
    </w:rPr>
  </w:style>
  <w:style w:type="character" w:customStyle="1" w:styleId="ListParagraphChar">
    <w:name w:val="List Paragraph Char"/>
    <w:aliases w:val="List Paragraph 1 Char,Bullets Char,Table of contents numbered Char,footer text Char"/>
    <w:link w:val="ListParagraph"/>
    <w:uiPriority w:val="34"/>
    <w:locked/>
    <w:rsid w:val="00603E7D"/>
  </w:style>
  <w:style w:type="paragraph" w:customStyle="1" w:styleId="AGHeading1">
    <w:name w:val="AG Heading 1"/>
    <w:basedOn w:val="Normal"/>
    <w:next w:val="Normal"/>
    <w:rsid w:val="0044675E"/>
    <w:pPr>
      <w:spacing w:before="600" w:after="400" w:line="240" w:lineRule="auto"/>
      <w:jc w:val="left"/>
    </w:pPr>
    <w:rPr>
      <w:rFonts w:ascii="Arial Black" w:eastAsia="Times New Roman" w:hAnsi="Arial Black" w:cs="Times New Roman"/>
      <w:color w:val="000000"/>
      <w:sz w:val="32"/>
      <w:szCs w:val="24"/>
      <w:lang w:eastAsia="en-GB"/>
    </w:rPr>
  </w:style>
  <w:style w:type="paragraph" w:customStyle="1" w:styleId="bulletlist">
    <w:name w:val="bullet list"/>
    <w:basedOn w:val="Normal"/>
    <w:next w:val="Normal"/>
    <w:link w:val="bulletlistChar"/>
    <w:qFormat/>
    <w:rsid w:val="0044675E"/>
    <w:pPr>
      <w:numPr>
        <w:numId w:val="1"/>
      </w:numPr>
      <w:spacing w:before="120" w:after="120" w:line="240" w:lineRule="auto"/>
      <w:jc w:val="left"/>
    </w:pPr>
    <w:rPr>
      <w:rFonts w:ascii="Arial" w:hAnsi="Arial"/>
      <w:color w:val="7F7F7F" w:themeColor="text1" w:themeTint="80"/>
      <w:sz w:val="20"/>
      <w:lang w:val="en-US"/>
    </w:rPr>
  </w:style>
  <w:style w:type="character" w:customStyle="1" w:styleId="bulletlistChar">
    <w:name w:val="bullet list Char"/>
    <w:basedOn w:val="DefaultParagraphFont"/>
    <w:link w:val="bulletlist"/>
    <w:rsid w:val="0044675E"/>
    <w:rPr>
      <w:rFonts w:ascii="Arial" w:hAnsi="Arial"/>
      <w:color w:val="7F7F7F" w:themeColor="text1" w:themeTint="80"/>
      <w:sz w:val="20"/>
      <w:lang w:val="en-US"/>
    </w:rPr>
  </w:style>
  <w:style w:type="paragraph" w:customStyle="1" w:styleId="BodySingle">
    <w:name w:val="Body Single"/>
    <w:rsid w:val="0044675E"/>
    <w:pPr>
      <w:spacing w:after="0" w:line="240" w:lineRule="auto"/>
      <w:ind w:left="720"/>
    </w:pPr>
    <w:rPr>
      <w:rFonts w:ascii="Arial" w:eastAsia="Times New Roman" w:hAnsi="Arial" w:cs="Times New Roman"/>
      <w:i/>
      <w:noProof/>
      <w:sz w:val="20"/>
      <w:szCs w:val="20"/>
      <w:lang w:val="en-US"/>
    </w:rPr>
  </w:style>
  <w:style w:type="paragraph" w:customStyle="1" w:styleId="Default">
    <w:name w:val="Default"/>
    <w:rsid w:val="00781783"/>
    <w:pPr>
      <w:autoSpaceDE w:val="0"/>
      <w:autoSpaceDN w:val="0"/>
      <w:adjustRightInd w:val="0"/>
      <w:spacing w:after="0" w:line="240" w:lineRule="auto"/>
      <w:jc w:val="left"/>
    </w:pPr>
    <w:rPr>
      <w:rFonts w:ascii="Open Sans Light" w:hAnsi="Open Sans Light" w:cs="Open Sans Light"/>
      <w:color w:val="000000"/>
      <w:sz w:val="24"/>
      <w:szCs w:val="24"/>
    </w:rPr>
  </w:style>
  <w:style w:type="paragraph" w:customStyle="1" w:styleId="Pa11">
    <w:name w:val="Pa11"/>
    <w:basedOn w:val="Normal"/>
    <w:next w:val="Normal"/>
    <w:uiPriority w:val="99"/>
    <w:rsid w:val="00E0007E"/>
    <w:pPr>
      <w:autoSpaceDE w:val="0"/>
      <w:autoSpaceDN w:val="0"/>
      <w:adjustRightInd w:val="0"/>
      <w:spacing w:after="0" w:line="181" w:lineRule="atLeast"/>
      <w:jc w:val="left"/>
    </w:pPr>
    <w:rPr>
      <w:rFonts w:ascii="Open Sans Light" w:hAnsi="Open Sans Light"/>
      <w:sz w:val="24"/>
      <w:szCs w:val="24"/>
    </w:rPr>
  </w:style>
  <w:style w:type="paragraph" w:styleId="NormalWeb">
    <w:name w:val="Normal (Web)"/>
    <w:basedOn w:val="Normal"/>
    <w:uiPriority w:val="99"/>
    <w:unhideWhenUsed/>
    <w:rsid w:val="00E000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42">
    <w:name w:val="Pa42"/>
    <w:basedOn w:val="Normal"/>
    <w:next w:val="Normal"/>
    <w:uiPriority w:val="99"/>
    <w:rsid w:val="0088110C"/>
    <w:pPr>
      <w:autoSpaceDE w:val="0"/>
      <w:autoSpaceDN w:val="0"/>
      <w:adjustRightInd w:val="0"/>
      <w:spacing w:after="0" w:line="181" w:lineRule="atLeast"/>
      <w:jc w:val="left"/>
    </w:pPr>
    <w:rPr>
      <w:rFonts w:ascii="Open Sans Light" w:hAnsi="Open Sans Light"/>
      <w:sz w:val="24"/>
      <w:szCs w:val="24"/>
    </w:rPr>
  </w:style>
  <w:style w:type="paragraph" w:customStyle="1" w:styleId="Pa35">
    <w:name w:val="Pa35"/>
    <w:basedOn w:val="Default"/>
    <w:next w:val="Default"/>
    <w:uiPriority w:val="99"/>
    <w:rsid w:val="009B568A"/>
    <w:pPr>
      <w:spacing w:line="181" w:lineRule="atLeast"/>
    </w:pPr>
    <w:rPr>
      <w:rFonts w:cstheme="minorBidi"/>
      <w:color w:val="auto"/>
    </w:rPr>
  </w:style>
  <w:style w:type="character" w:styleId="CommentReference">
    <w:name w:val="annotation reference"/>
    <w:basedOn w:val="DefaultParagraphFont"/>
    <w:uiPriority w:val="99"/>
    <w:semiHidden/>
    <w:unhideWhenUsed/>
    <w:rsid w:val="00767875"/>
    <w:rPr>
      <w:sz w:val="16"/>
      <w:szCs w:val="16"/>
    </w:rPr>
  </w:style>
  <w:style w:type="paragraph" w:styleId="CommentText">
    <w:name w:val="annotation text"/>
    <w:basedOn w:val="Normal"/>
    <w:link w:val="CommentTextChar"/>
    <w:uiPriority w:val="99"/>
    <w:semiHidden/>
    <w:unhideWhenUsed/>
    <w:rsid w:val="00767875"/>
    <w:pPr>
      <w:spacing w:line="240" w:lineRule="auto"/>
    </w:pPr>
    <w:rPr>
      <w:sz w:val="20"/>
      <w:szCs w:val="20"/>
    </w:rPr>
  </w:style>
  <w:style w:type="character" w:customStyle="1" w:styleId="CommentTextChar">
    <w:name w:val="Comment Text Char"/>
    <w:basedOn w:val="DefaultParagraphFont"/>
    <w:link w:val="CommentText"/>
    <w:uiPriority w:val="99"/>
    <w:semiHidden/>
    <w:rsid w:val="00767875"/>
    <w:rPr>
      <w:sz w:val="20"/>
      <w:szCs w:val="20"/>
    </w:rPr>
  </w:style>
  <w:style w:type="paragraph" w:styleId="CommentSubject">
    <w:name w:val="annotation subject"/>
    <w:basedOn w:val="CommentText"/>
    <w:next w:val="CommentText"/>
    <w:link w:val="CommentSubjectChar"/>
    <w:uiPriority w:val="99"/>
    <w:semiHidden/>
    <w:unhideWhenUsed/>
    <w:rsid w:val="00767875"/>
    <w:rPr>
      <w:b/>
      <w:bCs/>
    </w:rPr>
  </w:style>
  <w:style w:type="character" w:customStyle="1" w:styleId="CommentSubjectChar">
    <w:name w:val="Comment Subject Char"/>
    <w:basedOn w:val="CommentTextChar"/>
    <w:link w:val="CommentSubject"/>
    <w:uiPriority w:val="99"/>
    <w:semiHidden/>
    <w:rsid w:val="00767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1226">
      <w:bodyDiv w:val="1"/>
      <w:marLeft w:val="0"/>
      <w:marRight w:val="0"/>
      <w:marTop w:val="0"/>
      <w:marBottom w:val="0"/>
      <w:divBdr>
        <w:top w:val="none" w:sz="0" w:space="0" w:color="auto"/>
        <w:left w:val="none" w:sz="0" w:space="0" w:color="auto"/>
        <w:bottom w:val="none" w:sz="0" w:space="0" w:color="auto"/>
        <w:right w:val="none" w:sz="0" w:space="0" w:color="auto"/>
      </w:divBdr>
    </w:div>
    <w:div w:id="318583320">
      <w:bodyDiv w:val="1"/>
      <w:marLeft w:val="0"/>
      <w:marRight w:val="0"/>
      <w:marTop w:val="0"/>
      <w:marBottom w:val="0"/>
      <w:divBdr>
        <w:top w:val="none" w:sz="0" w:space="0" w:color="auto"/>
        <w:left w:val="none" w:sz="0" w:space="0" w:color="auto"/>
        <w:bottom w:val="none" w:sz="0" w:space="0" w:color="auto"/>
        <w:right w:val="none" w:sz="0" w:space="0" w:color="auto"/>
      </w:divBdr>
    </w:div>
    <w:div w:id="742144263">
      <w:bodyDiv w:val="1"/>
      <w:marLeft w:val="0"/>
      <w:marRight w:val="0"/>
      <w:marTop w:val="0"/>
      <w:marBottom w:val="0"/>
      <w:divBdr>
        <w:top w:val="none" w:sz="0" w:space="0" w:color="auto"/>
        <w:left w:val="none" w:sz="0" w:space="0" w:color="auto"/>
        <w:bottom w:val="none" w:sz="0" w:space="0" w:color="auto"/>
        <w:right w:val="none" w:sz="0" w:space="0" w:color="auto"/>
      </w:divBdr>
      <w:divsChild>
        <w:div w:id="1999724121">
          <w:marLeft w:val="720"/>
          <w:marRight w:val="0"/>
          <w:marTop w:val="0"/>
          <w:marBottom w:val="0"/>
          <w:divBdr>
            <w:top w:val="none" w:sz="0" w:space="0" w:color="auto"/>
            <w:left w:val="none" w:sz="0" w:space="0" w:color="auto"/>
            <w:bottom w:val="none" w:sz="0" w:space="0" w:color="auto"/>
            <w:right w:val="none" w:sz="0" w:space="0" w:color="auto"/>
          </w:divBdr>
        </w:div>
      </w:divsChild>
    </w:div>
    <w:div w:id="1398016084">
      <w:bodyDiv w:val="1"/>
      <w:marLeft w:val="0"/>
      <w:marRight w:val="0"/>
      <w:marTop w:val="0"/>
      <w:marBottom w:val="0"/>
      <w:divBdr>
        <w:top w:val="none" w:sz="0" w:space="0" w:color="auto"/>
        <w:left w:val="none" w:sz="0" w:space="0" w:color="auto"/>
        <w:bottom w:val="none" w:sz="0" w:space="0" w:color="auto"/>
        <w:right w:val="none" w:sz="0" w:space="0" w:color="auto"/>
      </w:divBdr>
    </w:div>
    <w:div w:id="1453018527">
      <w:bodyDiv w:val="1"/>
      <w:marLeft w:val="0"/>
      <w:marRight w:val="0"/>
      <w:marTop w:val="0"/>
      <w:marBottom w:val="0"/>
      <w:divBdr>
        <w:top w:val="none" w:sz="0" w:space="0" w:color="auto"/>
        <w:left w:val="none" w:sz="0" w:space="0" w:color="auto"/>
        <w:bottom w:val="none" w:sz="0" w:space="0" w:color="auto"/>
        <w:right w:val="none" w:sz="0" w:space="0" w:color="auto"/>
      </w:divBdr>
    </w:div>
    <w:div w:id="1548713935">
      <w:bodyDiv w:val="1"/>
      <w:marLeft w:val="0"/>
      <w:marRight w:val="0"/>
      <w:marTop w:val="0"/>
      <w:marBottom w:val="0"/>
      <w:divBdr>
        <w:top w:val="none" w:sz="0" w:space="0" w:color="auto"/>
        <w:left w:val="none" w:sz="0" w:space="0" w:color="auto"/>
        <w:bottom w:val="none" w:sz="0" w:space="0" w:color="auto"/>
        <w:right w:val="none" w:sz="0" w:space="0" w:color="auto"/>
      </w:divBdr>
      <w:divsChild>
        <w:div w:id="1607272246">
          <w:marLeft w:val="0"/>
          <w:marRight w:val="0"/>
          <w:marTop w:val="0"/>
          <w:marBottom w:val="0"/>
          <w:divBdr>
            <w:top w:val="none" w:sz="0" w:space="0" w:color="auto"/>
            <w:left w:val="none" w:sz="0" w:space="0" w:color="auto"/>
            <w:bottom w:val="none" w:sz="0" w:space="0" w:color="auto"/>
            <w:right w:val="none" w:sz="0" w:space="0" w:color="auto"/>
          </w:divBdr>
        </w:div>
        <w:div w:id="1069227876">
          <w:marLeft w:val="0"/>
          <w:marRight w:val="0"/>
          <w:marTop w:val="0"/>
          <w:marBottom w:val="0"/>
          <w:divBdr>
            <w:top w:val="none" w:sz="0" w:space="0" w:color="auto"/>
            <w:left w:val="none" w:sz="0" w:space="0" w:color="auto"/>
            <w:bottom w:val="none" w:sz="0" w:space="0" w:color="auto"/>
            <w:right w:val="none" w:sz="0" w:space="0" w:color="auto"/>
          </w:divBdr>
        </w:div>
        <w:div w:id="1309900056">
          <w:marLeft w:val="0"/>
          <w:marRight w:val="0"/>
          <w:marTop w:val="0"/>
          <w:marBottom w:val="0"/>
          <w:divBdr>
            <w:top w:val="none" w:sz="0" w:space="0" w:color="auto"/>
            <w:left w:val="none" w:sz="0" w:space="0" w:color="auto"/>
            <w:bottom w:val="none" w:sz="0" w:space="0" w:color="auto"/>
            <w:right w:val="none" w:sz="0" w:space="0" w:color="auto"/>
          </w:divBdr>
        </w:div>
        <w:div w:id="850880264">
          <w:marLeft w:val="0"/>
          <w:marRight w:val="0"/>
          <w:marTop w:val="0"/>
          <w:marBottom w:val="0"/>
          <w:divBdr>
            <w:top w:val="none" w:sz="0" w:space="0" w:color="auto"/>
            <w:left w:val="none" w:sz="0" w:space="0" w:color="auto"/>
            <w:bottom w:val="none" w:sz="0" w:space="0" w:color="auto"/>
            <w:right w:val="none" w:sz="0" w:space="0" w:color="auto"/>
          </w:divBdr>
        </w:div>
        <w:div w:id="1399401440">
          <w:marLeft w:val="0"/>
          <w:marRight w:val="0"/>
          <w:marTop w:val="0"/>
          <w:marBottom w:val="0"/>
          <w:divBdr>
            <w:top w:val="none" w:sz="0" w:space="0" w:color="auto"/>
            <w:left w:val="none" w:sz="0" w:space="0" w:color="auto"/>
            <w:bottom w:val="none" w:sz="0" w:space="0" w:color="auto"/>
            <w:right w:val="none" w:sz="0" w:space="0" w:color="auto"/>
          </w:divBdr>
        </w:div>
        <w:div w:id="1099641755">
          <w:marLeft w:val="0"/>
          <w:marRight w:val="0"/>
          <w:marTop w:val="0"/>
          <w:marBottom w:val="0"/>
          <w:divBdr>
            <w:top w:val="none" w:sz="0" w:space="0" w:color="auto"/>
            <w:left w:val="none" w:sz="0" w:space="0" w:color="auto"/>
            <w:bottom w:val="none" w:sz="0" w:space="0" w:color="auto"/>
            <w:right w:val="none" w:sz="0" w:space="0" w:color="auto"/>
          </w:divBdr>
        </w:div>
      </w:divsChild>
    </w:div>
    <w:div w:id="17915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2658-69A8-4D8D-B80E-5F7E23C8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19777</Words>
  <Characters>112731</Characters>
  <Application>Microsoft Office Word</Application>
  <DocSecurity>4</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Asanda</cp:lastModifiedBy>
  <cp:revision>2</cp:revision>
  <cp:lastPrinted>2017-10-17T15:06:00Z</cp:lastPrinted>
  <dcterms:created xsi:type="dcterms:W3CDTF">2017-10-19T09:56:00Z</dcterms:created>
  <dcterms:modified xsi:type="dcterms:W3CDTF">2017-10-19T09:56:00Z</dcterms:modified>
</cp:coreProperties>
</file>