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FA" w:rsidRPr="005373FA" w:rsidRDefault="005373FA" w:rsidP="005373FA">
      <w:pPr>
        <w:ind w:right="139"/>
        <w:jc w:val="both"/>
        <w:rPr>
          <w:rFonts w:ascii="Arial" w:hAnsi="Arial" w:cs="Arial"/>
          <w:b/>
          <w:sz w:val="22"/>
          <w:szCs w:val="22"/>
          <w:lang w:val="en-ZA"/>
        </w:rPr>
      </w:pPr>
      <w:bookmarkStart w:id="0" w:name="_GoBack"/>
      <w:bookmarkEnd w:id="0"/>
      <w:r w:rsidRPr="005373FA">
        <w:rPr>
          <w:rStyle w:val="Heading1Char"/>
          <w:rFonts w:ascii="Arial" w:hAnsi="Arial" w:cs="Arial"/>
          <w:color w:val="000000" w:themeColor="text1"/>
          <w:sz w:val="24"/>
        </w:rPr>
        <w:t>Response for</w:t>
      </w:r>
      <w:r w:rsidR="006A3CFD">
        <w:rPr>
          <w:rStyle w:val="Heading1Char"/>
          <w:rFonts w:ascii="Arial" w:hAnsi="Arial" w:cs="Arial"/>
          <w:color w:val="000000" w:themeColor="text1"/>
          <w:sz w:val="24"/>
        </w:rPr>
        <w:t xml:space="preserve"> Item 4 of 1</w:t>
      </w:r>
      <w:r w:rsidR="006A3CFD" w:rsidRPr="006A3CFD">
        <w:rPr>
          <w:rStyle w:val="Heading1Char"/>
          <w:rFonts w:ascii="Arial" w:hAnsi="Arial" w:cs="Arial"/>
          <w:color w:val="000000" w:themeColor="text1"/>
          <w:sz w:val="24"/>
          <w:vertAlign w:val="superscript"/>
        </w:rPr>
        <w:t>st</w:t>
      </w:r>
      <w:r w:rsidR="006A3CFD">
        <w:rPr>
          <w:rStyle w:val="Heading1Char"/>
          <w:rFonts w:ascii="Arial" w:hAnsi="Arial" w:cs="Arial"/>
          <w:color w:val="000000" w:themeColor="text1"/>
          <w:sz w:val="24"/>
        </w:rPr>
        <w:t xml:space="preserve"> attachment:</w:t>
      </w:r>
      <w:r w:rsidRPr="005373FA">
        <w:rPr>
          <w:rStyle w:val="Heading1Char"/>
          <w:rFonts w:ascii="Arial" w:hAnsi="Arial" w:cs="Arial"/>
          <w:color w:val="000000" w:themeColor="text1"/>
          <w:sz w:val="24"/>
        </w:rPr>
        <w:t xml:space="preserve"> Ethics workshops/session conducted in 2016/2017 financial year</w:t>
      </w:r>
      <w:r w:rsidRPr="005373FA">
        <w:rPr>
          <w:rFonts w:ascii="Arial" w:hAnsi="Arial" w:cs="Arial"/>
          <w:b/>
          <w:sz w:val="22"/>
          <w:szCs w:val="22"/>
          <w:lang w:val="en-ZA"/>
        </w:rPr>
        <w:t>.</w:t>
      </w:r>
    </w:p>
    <w:p w:rsidR="005373FA" w:rsidRDefault="005373FA" w:rsidP="005373FA">
      <w:pPr>
        <w:tabs>
          <w:tab w:val="left" w:pos="-709"/>
        </w:tabs>
        <w:ind w:left="-709" w:right="139"/>
        <w:jc w:val="both"/>
        <w:rPr>
          <w:rFonts w:ascii="Arial" w:hAnsi="Arial" w:cs="Arial"/>
          <w:sz w:val="22"/>
          <w:szCs w:val="22"/>
          <w:lang w:val="en-ZA"/>
        </w:rPr>
      </w:pPr>
    </w:p>
    <w:p w:rsidR="003F0504" w:rsidRDefault="004300BB" w:rsidP="00A279CE">
      <w:pPr>
        <w:tabs>
          <w:tab w:val="left" w:pos="0"/>
        </w:tabs>
        <w:spacing w:line="360" w:lineRule="auto"/>
        <w:ind w:right="139"/>
        <w:jc w:val="both"/>
        <w:rPr>
          <w:rFonts w:ascii="Arial" w:hAnsi="Arial" w:cs="Arial"/>
          <w:sz w:val="22"/>
          <w:szCs w:val="22"/>
          <w:lang w:val="en-ZA"/>
        </w:rPr>
      </w:pPr>
      <w:r w:rsidRPr="00C55E9B">
        <w:rPr>
          <w:rFonts w:ascii="Arial" w:hAnsi="Arial" w:cs="Arial"/>
          <w:b/>
          <w:sz w:val="22"/>
          <w:szCs w:val="22"/>
          <w:lang w:val="en-ZA"/>
        </w:rPr>
        <w:t>Seventeen (17) ethics training and education a</w:t>
      </w:r>
      <w:r w:rsidR="003F0504" w:rsidRPr="00C55E9B">
        <w:rPr>
          <w:rFonts w:ascii="Arial" w:hAnsi="Arial" w:cs="Arial"/>
          <w:b/>
          <w:sz w:val="22"/>
          <w:szCs w:val="22"/>
          <w:lang w:val="en-ZA"/>
        </w:rPr>
        <w:t>wareness session</w:t>
      </w:r>
      <w:r w:rsidRPr="00C55E9B">
        <w:rPr>
          <w:rFonts w:ascii="Arial" w:hAnsi="Arial" w:cs="Arial"/>
          <w:b/>
          <w:sz w:val="22"/>
          <w:szCs w:val="22"/>
          <w:lang w:val="en-ZA"/>
        </w:rPr>
        <w:t>s</w:t>
      </w:r>
      <w:r w:rsidR="003F0504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 xml:space="preserve">were </w:t>
      </w:r>
      <w:r w:rsidR="003F0504">
        <w:rPr>
          <w:rFonts w:ascii="Arial" w:hAnsi="Arial" w:cs="Arial"/>
          <w:sz w:val="22"/>
          <w:szCs w:val="22"/>
          <w:lang w:val="en-ZA"/>
        </w:rPr>
        <w:t>conducted</w:t>
      </w:r>
      <w:r w:rsidR="003F0504" w:rsidRPr="00B86158">
        <w:rPr>
          <w:rFonts w:ascii="Arial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  <w:lang w:val="en-ZA"/>
        </w:rPr>
        <w:t>in the first quarter of 2017/2018</w:t>
      </w:r>
      <w:r w:rsidR="00C55E9B">
        <w:rPr>
          <w:rFonts w:ascii="Arial" w:hAnsi="Arial" w:cs="Arial"/>
          <w:sz w:val="22"/>
          <w:szCs w:val="22"/>
          <w:lang w:val="en-ZA"/>
        </w:rPr>
        <w:t xml:space="preserve">; and </w:t>
      </w:r>
      <w:r w:rsidR="00C55E9B" w:rsidRPr="00C55E9B">
        <w:rPr>
          <w:rFonts w:ascii="Arial" w:hAnsi="Arial" w:cs="Arial"/>
          <w:b/>
          <w:sz w:val="22"/>
          <w:szCs w:val="22"/>
          <w:lang w:val="en-ZA"/>
        </w:rPr>
        <w:t>339 employees attended</w:t>
      </w:r>
      <w:r>
        <w:rPr>
          <w:rFonts w:ascii="Arial" w:hAnsi="Arial" w:cs="Arial"/>
          <w:sz w:val="22"/>
          <w:szCs w:val="22"/>
          <w:lang w:val="en-ZA"/>
        </w:rPr>
        <w:t xml:space="preserve">. The </w:t>
      </w:r>
      <w:r w:rsidR="003F0504">
        <w:rPr>
          <w:rFonts w:ascii="Arial" w:hAnsi="Arial" w:cs="Arial"/>
          <w:sz w:val="22"/>
          <w:szCs w:val="22"/>
          <w:lang w:val="en-ZA"/>
        </w:rPr>
        <w:t xml:space="preserve">presentations </w:t>
      </w:r>
      <w:r>
        <w:rPr>
          <w:rFonts w:ascii="Arial" w:hAnsi="Arial" w:cs="Arial"/>
          <w:sz w:val="22"/>
          <w:szCs w:val="22"/>
          <w:lang w:val="en-ZA"/>
        </w:rPr>
        <w:t xml:space="preserve">focused </w:t>
      </w:r>
      <w:r w:rsidR="003F0504">
        <w:rPr>
          <w:rFonts w:ascii="Arial" w:hAnsi="Arial" w:cs="Arial"/>
          <w:sz w:val="22"/>
          <w:szCs w:val="22"/>
          <w:lang w:val="en-ZA"/>
        </w:rPr>
        <w:t xml:space="preserve">on </w:t>
      </w:r>
      <w:r>
        <w:rPr>
          <w:rFonts w:ascii="Arial" w:hAnsi="Arial" w:cs="Arial"/>
          <w:sz w:val="22"/>
          <w:szCs w:val="22"/>
          <w:lang w:val="en-ZA"/>
        </w:rPr>
        <w:t xml:space="preserve">financial disclosures for the categories of designated employees, other remunerative work directive as well as the receiving or non-acceptance of gifts by employees in the department (DFI Chapter 20), </w:t>
      </w:r>
      <w:r w:rsidR="003F0504">
        <w:rPr>
          <w:rFonts w:ascii="Arial" w:hAnsi="Arial" w:cs="Arial"/>
          <w:sz w:val="22"/>
          <w:szCs w:val="22"/>
          <w:lang w:val="en-ZA"/>
        </w:rPr>
        <w:t>Whistle-blowing Policy</w:t>
      </w:r>
      <w:r>
        <w:rPr>
          <w:rFonts w:ascii="Arial" w:hAnsi="Arial" w:cs="Arial"/>
          <w:sz w:val="22"/>
          <w:szCs w:val="22"/>
          <w:lang w:val="en-ZA"/>
        </w:rPr>
        <w:t xml:space="preserve">. The intranet (Djini) was mainly utilised to communicate through circulars to the employees who are currently categorised and expected to disclose. These are Finance </w:t>
      </w:r>
      <w:r w:rsidR="00C55E9B">
        <w:rPr>
          <w:rFonts w:ascii="Arial" w:hAnsi="Arial" w:cs="Arial"/>
          <w:sz w:val="22"/>
          <w:szCs w:val="22"/>
          <w:lang w:val="en-ZA"/>
        </w:rPr>
        <w:t xml:space="preserve">Administration </w:t>
      </w:r>
      <w:r>
        <w:rPr>
          <w:rFonts w:ascii="Arial" w:hAnsi="Arial" w:cs="Arial"/>
          <w:sz w:val="22"/>
          <w:szCs w:val="22"/>
          <w:lang w:val="en-ZA"/>
        </w:rPr>
        <w:t>employees, Supply chain management practitioners, Middle Management Service members and Occupation Specific Dispensation members from salary level 11 upwards.</w:t>
      </w:r>
    </w:p>
    <w:p w:rsidR="003F0504" w:rsidRDefault="003F0504" w:rsidP="003F0504">
      <w:pPr>
        <w:tabs>
          <w:tab w:val="left" w:pos="1701"/>
        </w:tabs>
        <w:ind w:left="1985" w:right="139" w:hanging="815"/>
        <w:jc w:val="both"/>
        <w:rPr>
          <w:rFonts w:ascii="Arial" w:hAnsi="Arial" w:cs="Arial"/>
          <w:sz w:val="22"/>
          <w:szCs w:val="22"/>
          <w:lang w:val="en-ZA"/>
        </w:rPr>
      </w:pPr>
    </w:p>
    <w:p w:rsidR="003F0504" w:rsidRDefault="003F0504" w:rsidP="003F0504">
      <w:pPr>
        <w:tabs>
          <w:tab w:val="left" w:pos="0"/>
        </w:tabs>
        <w:spacing w:line="276" w:lineRule="auto"/>
        <w:ind w:right="139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The table below provide a synopsis of </w:t>
      </w:r>
      <w:r w:rsidRPr="00B86158">
        <w:rPr>
          <w:rFonts w:ascii="Arial" w:hAnsi="Arial" w:cs="Arial"/>
          <w:sz w:val="22"/>
          <w:szCs w:val="22"/>
          <w:lang w:val="en-ZA"/>
        </w:rPr>
        <w:t>the cumulati</w:t>
      </w:r>
      <w:r>
        <w:rPr>
          <w:rFonts w:ascii="Arial" w:hAnsi="Arial" w:cs="Arial"/>
          <w:sz w:val="22"/>
          <w:szCs w:val="22"/>
          <w:lang w:val="en-ZA"/>
        </w:rPr>
        <w:t xml:space="preserve">ve sessions conducted </w:t>
      </w:r>
      <w:r w:rsidR="00C55E9B">
        <w:rPr>
          <w:rFonts w:ascii="Arial" w:hAnsi="Arial" w:cs="Arial"/>
          <w:sz w:val="22"/>
          <w:szCs w:val="22"/>
          <w:lang w:val="en-ZA"/>
        </w:rPr>
        <w:t>from 1 April 2017 of the 2017</w:t>
      </w:r>
      <w:r w:rsidRPr="00B86158">
        <w:rPr>
          <w:rFonts w:ascii="Arial" w:hAnsi="Arial" w:cs="Arial"/>
          <w:sz w:val="22"/>
          <w:szCs w:val="22"/>
          <w:lang w:val="en-ZA"/>
        </w:rPr>
        <w:t>/201</w:t>
      </w:r>
      <w:r>
        <w:rPr>
          <w:rFonts w:ascii="Arial" w:hAnsi="Arial" w:cs="Arial"/>
          <w:sz w:val="22"/>
          <w:szCs w:val="22"/>
          <w:lang w:val="en-ZA"/>
        </w:rPr>
        <w:t>8</w:t>
      </w:r>
      <w:r w:rsidRPr="00B86158">
        <w:rPr>
          <w:rFonts w:ascii="Arial" w:hAnsi="Arial" w:cs="Arial"/>
          <w:sz w:val="22"/>
          <w:szCs w:val="22"/>
          <w:lang w:val="en-ZA"/>
        </w:rPr>
        <w:t xml:space="preserve"> financial year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528"/>
        <w:gridCol w:w="2977"/>
      </w:tblGrid>
      <w:tr w:rsidR="003F0504" w:rsidRPr="00B86158" w:rsidTr="00A279CE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:rsidR="003F0504" w:rsidRPr="003472F5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3472F5">
              <w:rPr>
                <w:rFonts w:ascii="Arial" w:hAnsi="Arial" w:cs="Arial"/>
                <w:b/>
                <w:bCs/>
                <w:color w:val="FFFFFF"/>
                <w:szCs w:val="20"/>
              </w:rPr>
              <w:t>MONTH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:rsidR="003F0504" w:rsidRPr="003472F5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3472F5">
              <w:rPr>
                <w:rFonts w:ascii="Arial" w:hAnsi="Arial" w:cs="Arial"/>
                <w:b/>
                <w:bCs/>
                <w:color w:val="FFFFFF"/>
                <w:szCs w:val="20"/>
              </w:rPr>
              <w:t>REGION/OFFICE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</w:tcPr>
          <w:p w:rsidR="003F0504" w:rsidRPr="003472F5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color w:val="FFFFFF"/>
                <w:szCs w:val="20"/>
              </w:rPr>
            </w:pPr>
            <w:r w:rsidRPr="003472F5">
              <w:rPr>
                <w:rFonts w:ascii="Arial" w:hAnsi="Arial" w:cs="Arial"/>
                <w:b/>
                <w:bCs/>
                <w:color w:val="FFFFFF"/>
                <w:szCs w:val="20"/>
              </w:rPr>
              <w:t>NUMBER OF OFFICIALS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 w:val="restart"/>
          </w:tcPr>
          <w:p w:rsidR="003F0504" w:rsidRDefault="00C55E9B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  <w:r w:rsidRPr="00B618F4">
              <w:rPr>
                <w:rFonts w:ascii="Arial" w:hAnsi="Arial" w:cs="Arial"/>
                <w:b/>
                <w:bCs/>
                <w:szCs w:val="20"/>
              </w:rPr>
              <w:t>April  201</w:t>
            </w:r>
            <w:r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Himeville Magistrate Court 08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Hlanganani Magistrate Court 08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Impendle Magistrate Court 08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Howick Magistrate Court 08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Master of the High Court Pietermaritzburg 09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Master of the High Court Pietermaritzburg 10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Pietermaritzburg Magistrate Court 11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 Advocate Pietermaritzburg 12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Pietermaritzburg Magistrate Court 12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 w:val="restart"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May 2017</w:t>
            </w: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Regional Office North West 16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 Law Centre 17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Family Advocate Kimberley 23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State Attorney Kimberley 25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Port Nolloth Magistrate Court 29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 Aar Magistrate Court 30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  <w:vMerge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Garies Magistrate Court 31 May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June 2017</w:t>
            </w:r>
          </w:p>
        </w:tc>
        <w:tc>
          <w:tcPr>
            <w:tcW w:w="5528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Calvinia Magistrate Court 01 June 2017</w:t>
            </w:r>
          </w:p>
        </w:tc>
        <w:tc>
          <w:tcPr>
            <w:tcW w:w="2977" w:type="dxa"/>
          </w:tcPr>
          <w:p w:rsidR="003F050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</w:tr>
      <w:tr w:rsidR="003F0504" w:rsidRPr="00B86158" w:rsidTr="00A279CE">
        <w:trPr>
          <w:trHeight w:val="473"/>
        </w:trPr>
        <w:tc>
          <w:tcPr>
            <w:tcW w:w="1384" w:type="dxa"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bCs/>
                <w:szCs w:val="20"/>
              </w:rPr>
            </w:pPr>
            <w:r w:rsidRPr="00B618F4">
              <w:rPr>
                <w:rFonts w:ascii="Arial" w:hAnsi="Arial" w:cs="Arial"/>
                <w:b/>
                <w:bCs/>
                <w:szCs w:val="20"/>
              </w:rPr>
              <w:t>TOTAL SESSIONS</w:t>
            </w:r>
          </w:p>
        </w:tc>
        <w:tc>
          <w:tcPr>
            <w:tcW w:w="5528" w:type="dxa"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2977" w:type="dxa"/>
          </w:tcPr>
          <w:p w:rsidR="003F0504" w:rsidRPr="00B618F4" w:rsidRDefault="003F0504" w:rsidP="00A279CE">
            <w:pPr>
              <w:tabs>
                <w:tab w:val="left" w:pos="1134"/>
                <w:tab w:val="left" w:pos="2160"/>
              </w:tabs>
              <w:spacing w:line="360" w:lineRule="auto"/>
              <w:ind w:right="139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339</w:t>
            </w:r>
          </w:p>
        </w:tc>
      </w:tr>
    </w:tbl>
    <w:p w:rsidR="003F0504" w:rsidRDefault="003F0504" w:rsidP="00A279CE">
      <w:pPr>
        <w:tabs>
          <w:tab w:val="left" w:pos="0"/>
        </w:tabs>
        <w:ind w:right="139"/>
        <w:jc w:val="both"/>
        <w:rPr>
          <w:rFonts w:ascii="Arial" w:hAnsi="Arial" w:cs="Arial"/>
          <w:sz w:val="22"/>
          <w:szCs w:val="22"/>
          <w:lang w:val="en-ZA"/>
        </w:rPr>
      </w:pPr>
    </w:p>
    <w:sectPr w:rsidR="003F0504" w:rsidSect="00A279CE">
      <w:footerReference w:type="default" r:id="rId6"/>
      <w:pgSz w:w="11906" w:h="16838"/>
      <w:pgMar w:top="851" w:right="42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55" w:rsidRDefault="000A2655" w:rsidP="005373FA">
      <w:r>
        <w:separator/>
      </w:r>
    </w:p>
  </w:endnote>
  <w:endnote w:type="continuationSeparator" w:id="0">
    <w:p w:rsidR="000A2655" w:rsidRDefault="000A2655" w:rsidP="0053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814018"/>
      <w:docPartObj>
        <w:docPartGallery w:val="Page Numbers (Bottom of Page)"/>
        <w:docPartUnique/>
      </w:docPartObj>
    </w:sdtPr>
    <w:sdtContent>
      <w:sdt>
        <w:sdtPr>
          <w:id w:val="1106313844"/>
          <w:docPartObj>
            <w:docPartGallery w:val="Page Numbers (Top of Page)"/>
            <w:docPartUnique/>
          </w:docPartObj>
        </w:sdtPr>
        <w:sdtContent>
          <w:p w:rsidR="005373FA" w:rsidRDefault="005373FA">
            <w:pPr>
              <w:pStyle w:val="Footer"/>
              <w:jc w:val="right"/>
            </w:pPr>
            <w:r w:rsidRPr="005373FA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 </w:t>
            </w:r>
            <w:r w:rsidRPr="005373FA">
              <w:rPr>
                <w:rFonts w:ascii="Arial" w:hAnsi="Arial" w:cs="Arial"/>
              </w:rPr>
              <w:t xml:space="preserve">sessions of ethics awareness in </w:t>
            </w:r>
            <w:r w:rsidR="00A279CE">
              <w:rPr>
                <w:rFonts w:ascii="Arial" w:hAnsi="Arial" w:cs="Arial"/>
              </w:rPr>
              <w:t xml:space="preserve">Q1 of </w:t>
            </w:r>
            <w:r w:rsidRPr="005373FA">
              <w:rPr>
                <w:rFonts w:ascii="Arial" w:hAnsi="Arial" w:cs="Arial"/>
              </w:rPr>
              <w:t>201</w:t>
            </w:r>
            <w:r w:rsidR="00A279CE">
              <w:rPr>
                <w:rFonts w:ascii="Arial" w:hAnsi="Arial" w:cs="Arial"/>
              </w:rPr>
              <w:t>7</w:t>
            </w:r>
            <w:r w:rsidRPr="005373FA">
              <w:rPr>
                <w:rFonts w:ascii="Arial" w:hAnsi="Arial" w:cs="Arial"/>
              </w:rPr>
              <w:t>/201</w:t>
            </w:r>
            <w:r w:rsidR="00A279CE">
              <w:rPr>
                <w:rFonts w:ascii="Arial" w:hAnsi="Arial" w:cs="Arial"/>
              </w:rPr>
              <w:t>8</w:t>
            </w:r>
            <w:r>
              <w:t xml:space="preserve"> Page </w:t>
            </w:r>
            <w:r w:rsidR="008A4DD1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A4DD1">
              <w:rPr>
                <w:b/>
                <w:bCs/>
                <w:sz w:val="24"/>
              </w:rPr>
              <w:fldChar w:fldCharType="separate"/>
            </w:r>
            <w:r w:rsidR="00560B29">
              <w:rPr>
                <w:b/>
                <w:bCs/>
                <w:noProof/>
              </w:rPr>
              <w:t>1</w:t>
            </w:r>
            <w:r w:rsidR="008A4DD1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8A4DD1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A4DD1">
              <w:rPr>
                <w:b/>
                <w:bCs/>
                <w:sz w:val="24"/>
              </w:rPr>
              <w:fldChar w:fldCharType="separate"/>
            </w:r>
            <w:r w:rsidR="00560B29">
              <w:rPr>
                <w:b/>
                <w:bCs/>
                <w:noProof/>
              </w:rPr>
              <w:t>1</w:t>
            </w:r>
            <w:r w:rsidR="008A4DD1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373FA" w:rsidRDefault="00537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55" w:rsidRDefault="000A2655" w:rsidP="005373FA">
      <w:r>
        <w:separator/>
      </w:r>
    </w:p>
  </w:footnote>
  <w:footnote w:type="continuationSeparator" w:id="0">
    <w:p w:rsidR="000A2655" w:rsidRDefault="000A2655" w:rsidP="0053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3FA"/>
    <w:rsid w:val="000058D7"/>
    <w:rsid w:val="00007285"/>
    <w:rsid w:val="000339A5"/>
    <w:rsid w:val="00052FF3"/>
    <w:rsid w:val="00053984"/>
    <w:rsid w:val="0005660E"/>
    <w:rsid w:val="0008117E"/>
    <w:rsid w:val="0008756A"/>
    <w:rsid w:val="00090616"/>
    <w:rsid w:val="000A2655"/>
    <w:rsid w:val="000A3023"/>
    <w:rsid w:val="000B39EA"/>
    <w:rsid w:val="000B3B04"/>
    <w:rsid w:val="000C02C8"/>
    <w:rsid w:val="000C45A9"/>
    <w:rsid w:val="000C5192"/>
    <w:rsid w:val="001040E1"/>
    <w:rsid w:val="001218B2"/>
    <w:rsid w:val="00132791"/>
    <w:rsid w:val="00147569"/>
    <w:rsid w:val="0015603E"/>
    <w:rsid w:val="001734B1"/>
    <w:rsid w:val="00193D63"/>
    <w:rsid w:val="001A7911"/>
    <w:rsid w:val="001B6E27"/>
    <w:rsid w:val="001C38BC"/>
    <w:rsid w:val="001C540D"/>
    <w:rsid w:val="001E0CB3"/>
    <w:rsid w:val="002034B5"/>
    <w:rsid w:val="00206BAB"/>
    <w:rsid w:val="00213E74"/>
    <w:rsid w:val="00233FCA"/>
    <w:rsid w:val="00246E1A"/>
    <w:rsid w:val="002502FD"/>
    <w:rsid w:val="00253224"/>
    <w:rsid w:val="00264B28"/>
    <w:rsid w:val="00267FD6"/>
    <w:rsid w:val="0027225C"/>
    <w:rsid w:val="00282FDB"/>
    <w:rsid w:val="00290790"/>
    <w:rsid w:val="002A23F9"/>
    <w:rsid w:val="002A2D45"/>
    <w:rsid w:val="002B01E6"/>
    <w:rsid w:val="002B240B"/>
    <w:rsid w:val="002B3AA3"/>
    <w:rsid w:val="002E017C"/>
    <w:rsid w:val="002F01DC"/>
    <w:rsid w:val="002F0585"/>
    <w:rsid w:val="00310394"/>
    <w:rsid w:val="003152E2"/>
    <w:rsid w:val="00320626"/>
    <w:rsid w:val="00337556"/>
    <w:rsid w:val="00372D65"/>
    <w:rsid w:val="0038799E"/>
    <w:rsid w:val="003902F3"/>
    <w:rsid w:val="00394AB7"/>
    <w:rsid w:val="0039669A"/>
    <w:rsid w:val="003B720C"/>
    <w:rsid w:val="003D39B7"/>
    <w:rsid w:val="003F0504"/>
    <w:rsid w:val="003F2466"/>
    <w:rsid w:val="003F5042"/>
    <w:rsid w:val="00415B75"/>
    <w:rsid w:val="00416B03"/>
    <w:rsid w:val="004209B3"/>
    <w:rsid w:val="004300BB"/>
    <w:rsid w:val="004317AE"/>
    <w:rsid w:val="0044503E"/>
    <w:rsid w:val="00446C48"/>
    <w:rsid w:val="00457E3E"/>
    <w:rsid w:val="00463DED"/>
    <w:rsid w:val="004653B9"/>
    <w:rsid w:val="004732DB"/>
    <w:rsid w:val="00486034"/>
    <w:rsid w:val="0048760B"/>
    <w:rsid w:val="00487BA0"/>
    <w:rsid w:val="004C456C"/>
    <w:rsid w:val="004D599C"/>
    <w:rsid w:val="004E347C"/>
    <w:rsid w:val="005017F3"/>
    <w:rsid w:val="00510016"/>
    <w:rsid w:val="005328AC"/>
    <w:rsid w:val="005373FA"/>
    <w:rsid w:val="00540D96"/>
    <w:rsid w:val="00545637"/>
    <w:rsid w:val="00560B29"/>
    <w:rsid w:val="00561B07"/>
    <w:rsid w:val="005630BF"/>
    <w:rsid w:val="005640F9"/>
    <w:rsid w:val="005667DE"/>
    <w:rsid w:val="005751DE"/>
    <w:rsid w:val="0058403F"/>
    <w:rsid w:val="005A430D"/>
    <w:rsid w:val="005D22E9"/>
    <w:rsid w:val="005D354B"/>
    <w:rsid w:val="005E3B70"/>
    <w:rsid w:val="00603C3A"/>
    <w:rsid w:val="00607694"/>
    <w:rsid w:val="00612854"/>
    <w:rsid w:val="00612E1A"/>
    <w:rsid w:val="006156D4"/>
    <w:rsid w:val="00627B22"/>
    <w:rsid w:val="0064624C"/>
    <w:rsid w:val="0066116A"/>
    <w:rsid w:val="00682BB8"/>
    <w:rsid w:val="00686986"/>
    <w:rsid w:val="006A3CFD"/>
    <w:rsid w:val="006A7624"/>
    <w:rsid w:val="006B1D9D"/>
    <w:rsid w:val="006B45F1"/>
    <w:rsid w:val="006D3AF2"/>
    <w:rsid w:val="006D47B3"/>
    <w:rsid w:val="00704DC0"/>
    <w:rsid w:val="00710E5C"/>
    <w:rsid w:val="007122FF"/>
    <w:rsid w:val="00713391"/>
    <w:rsid w:val="0072044D"/>
    <w:rsid w:val="00725ABD"/>
    <w:rsid w:val="00767E88"/>
    <w:rsid w:val="007757E8"/>
    <w:rsid w:val="007825FD"/>
    <w:rsid w:val="00782633"/>
    <w:rsid w:val="00787456"/>
    <w:rsid w:val="00795B7C"/>
    <w:rsid w:val="007A3D5D"/>
    <w:rsid w:val="007A7417"/>
    <w:rsid w:val="007B00AF"/>
    <w:rsid w:val="007B12B7"/>
    <w:rsid w:val="007B5CB6"/>
    <w:rsid w:val="007D5F3A"/>
    <w:rsid w:val="007E3E1E"/>
    <w:rsid w:val="007E5ED2"/>
    <w:rsid w:val="007F4D7C"/>
    <w:rsid w:val="007F5A77"/>
    <w:rsid w:val="00801C3E"/>
    <w:rsid w:val="0081227C"/>
    <w:rsid w:val="00814496"/>
    <w:rsid w:val="00831025"/>
    <w:rsid w:val="00831981"/>
    <w:rsid w:val="008460FC"/>
    <w:rsid w:val="0085184D"/>
    <w:rsid w:val="00851D15"/>
    <w:rsid w:val="00853329"/>
    <w:rsid w:val="008536C0"/>
    <w:rsid w:val="00863A42"/>
    <w:rsid w:val="00864ED3"/>
    <w:rsid w:val="00866230"/>
    <w:rsid w:val="008675E4"/>
    <w:rsid w:val="00867F59"/>
    <w:rsid w:val="008705F9"/>
    <w:rsid w:val="0087187A"/>
    <w:rsid w:val="00875F28"/>
    <w:rsid w:val="00880456"/>
    <w:rsid w:val="00882BEC"/>
    <w:rsid w:val="00886FD6"/>
    <w:rsid w:val="00887DA6"/>
    <w:rsid w:val="008A4DD1"/>
    <w:rsid w:val="008B33D0"/>
    <w:rsid w:val="008C7466"/>
    <w:rsid w:val="008D5EBA"/>
    <w:rsid w:val="008E06FC"/>
    <w:rsid w:val="008F0C59"/>
    <w:rsid w:val="008F2497"/>
    <w:rsid w:val="009011BB"/>
    <w:rsid w:val="009062B7"/>
    <w:rsid w:val="00921686"/>
    <w:rsid w:val="009218E1"/>
    <w:rsid w:val="009316C4"/>
    <w:rsid w:val="00934803"/>
    <w:rsid w:val="00942EAD"/>
    <w:rsid w:val="00945303"/>
    <w:rsid w:val="0095141A"/>
    <w:rsid w:val="00964C96"/>
    <w:rsid w:val="00975C1B"/>
    <w:rsid w:val="00983FB3"/>
    <w:rsid w:val="009A0561"/>
    <w:rsid w:val="009A2FC6"/>
    <w:rsid w:val="009A3AE2"/>
    <w:rsid w:val="009A7E99"/>
    <w:rsid w:val="009B07DE"/>
    <w:rsid w:val="009B5F9B"/>
    <w:rsid w:val="009E3213"/>
    <w:rsid w:val="009F11AD"/>
    <w:rsid w:val="00A05917"/>
    <w:rsid w:val="00A0795F"/>
    <w:rsid w:val="00A279CE"/>
    <w:rsid w:val="00A32624"/>
    <w:rsid w:val="00A36672"/>
    <w:rsid w:val="00A7236D"/>
    <w:rsid w:val="00A852CD"/>
    <w:rsid w:val="00A96554"/>
    <w:rsid w:val="00AA024D"/>
    <w:rsid w:val="00AA08C8"/>
    <w:rsid w:val="00AA7788"/>
    <w:rsid w:val="00AC70F6"/>
    <w:rsid w:val="00AC7286"/>
    <w:rsid w:val="00AD71C9"/>
    <w:rsid w:val="00B162EC"/>
    <w:rsid w:val="00B3719F"/>
    <w:rsid w:val="00B40ABA"/>
    <w:rsid w:val="00B47065"/>
    <w:rsid w:val="00B57C04"/>
    <w:rsid w:val="00B62E89"/>
    <w:rsid w:val="00B763AC"/>
    <w:rsid w:val="00B82791"/>
    <w:rsid w:val="00B843B3"/>
    <w:rsid w:val="00BB3015"/>
    <w:rsid w:val="00BD0C05"/>
    <w:rsid w:val="00C3278E"/>
    <w:rsid w:val="00C440C5"/>
    <w:rsid w:val="00C51DE0"/>
    <w:rsid w:val="00C55E9B"/>
    <w:rsid w:val="00C611BE"/>
    <w:rsid w:val="00C706F5"/>
    <w:rsid w:val="00C77AD7"/>
    <w:rsid w:val="00CB61A7"/>
    <w:rsid w:val="00CC0FE3"/>
    <w:rsid w:val="00CF2365"/>
    <w:rsid w:val="00D13348"/>
    <w:rsid w:val="00D154D7"/>
    <w:rsid w:val="00D4609D"/>
    <w:rsid w:val="00D80DB4"/>
    <w:rsid w:val="00D92DC8"/>
    <w:rsid w:val="00D9606F"/>
    <w:rsid w:val="00D9755D"/>
    <w:rsid w:val="00DA7701"/>
    <w:rsid w:val="00DB00D2"/>
    <w:rsid w:val="00DC7C98"/>
    <w:rsid w:val="00DD2BD2"/>
    <w:rsid w:val="00DF0560"/>
    <w:rsid w:val="00DF40EF"/>
    <w:rsid w:val="00E175D4"/>
    <w:rsid w:val="00E273B3"/>
    <w:rsid w:val="00E3622D"/>
    <w:rsid w:val="00E4211B"/>
    <w:rsid w:val="00E65DAE"/>
    <w:rsid w:val="00E90175"/>
    <w:rsid w:val="00E95C22"/>
    <w:rsid w:val="00E96415"/>
    <w:rsid w:val="00EB304E"/>
    <w:rsid w:val="00EB5C80"/>
    <w:rsid w:val="00EB6188"/>
    <w:rsid w:val="00ED6C24"/>
    <w:rsid w:val="00ED7796"/>
    <w:rsid w:val="00EE262B"/>
    <w:rsid w:val="00F06FEF"/>
    <w:rsid w:val="00F1503D"/>
    <w:rsid w:val="00F16FE4"/>
    <w:rsid w:val="00F27444"/>
    <w:rsid w:val="00F37B10"/>
    <w:rsid w:val="00F4128F"/>
    <w:rsid w:val="00F42EEB"/>
    <w:rsid w:val="00F63178"/>
    <w:rsid w:val="00F84520"/>
    <w:rsid w:val="00F913A7"/>
    <w:rsid w:val="00F93CD9"/>
    <w:rsid w:val="00FA4BC0"/>
    <w:rsid w:val="00FC14F7"/>
    <w:rsid w:val="00FC4171"/>
    <w:rsid w:val="00FD78C7"/>
    <w:rsid w:val="00FE73C0"/>
    <w:rsid w:val="00FF2236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3F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3FA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Ndala Morgan</dc:creator>
  <cp:lastModifiedBy>PUMZA</cp:lastModifiedBy>
  <cp:revision>2</cp:revision>
  <cp:lastPrinted>2017-09-05T13:35:00Z</cp:lastPrinted>
  <dcterms:created xsi:type="dcterms:W3CDTF">2017-09-08T09:15:00Z</dcterms:created>
  <dcterms:modified xsi:type="dcterms:W3CDTF">2017-09-08T09:15:00Z</dcterms:modified>
</cp:coreProperties>
</file>