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ABE5B" w14:textId="2BC3DC9C" w:rsidR="00D16F67" w:rsidRPr="0018755E" w:rsidRDefault="0033348E" w:rsidP="00A547BB">
      <w:pPr>
        <w:spacing w:line="360" w:lineRule="auto"/>
        <w:jc w:val="both"/>
        <w:rPr>
          <w:rFonts w:ascii="Times New Roman" w:hAnsi="Times New Roman"/>
          <w:b/>
          <w:spacing w:val="0"/>
          <w:sz w:val="24"/>
          <w:szCs w:val="24"/>
          <w:lang w:val="en-US"/>
        </w:rPr>
      </w:pPr>
      <w:r>
        <w:rPr>
          <w:rFonts w:ascii="Times New Roman" w:hAnsi="Times New Roman"/>
          <w:b/>
          <w:spacing w:val="0"/>
          <w:sz w:val="24"/>
          <w:szCs w:val="24"/>
          <w:lang w:val="en-US"/>
        </w:rPr>
        <w:t xml:space="preserve">4. </w:t>
      </w:r>
      <w:bookmarkStart w:id="0" w:name="_GoBack"/>
      <w:r w:rsidR="00D16F67" w:rsidRPr="0018755E">
        <w:rPr>
          <w:rFonts w:ascii="Times New Roman" w:hAnsi="Times New Roman"/>
          <w:b/>
          <w:spacing w:val="0"/>
          <w:sz w:val="24"/>
          <w:szCs w:val="24"/>
          <w:lang w:val="en-US"/>
        </w:rPr>
        <w:t xml:space="preserve">REPORT OF THE PORTFOLIO COMMITTEE ON ARTS AND CULTURE ON BUDGET VOTE </w:t>
      </w:r>
      <w:r w:rsidR="006568F3" w:rsidRPr="0018755E">
        <w:rPr>
          <w:rFonts w:ascii="Times New Roman" w:hAnsi="Times New Roman"/>
          <w:b/>
          <w:spacing w:val="0"/>
          <w:sz w:val="24"/>
          <w:szCs w:val="24"/>
          <w:lang w:val="en-US"/>
        </w:rPr>
        <w:t>37</w:t>
      </w:r>
      <w:r w:rsidR="00D16F67" w:rsidRPr="0018755E">
        <w:rPr>
          <w:rFonts w:ascii="Times New Roman" w:hAnsi="Times New Roman"/>
          <w:b/>
          <w:spacing w:val="0"/>
          <w:sz w:val="24"/>
          <w:szCs w:val="24"/>
          <w:lang w:val="en-US"/>
        </w:rPr>
        <w:t>: DEPARTMENT OF ARTS AND CULTURE</w:t>
      </w:r>
      <w:r w:rsidR="001642F7">
        <w:rPr>
          <w:rFonts w:ascii="Times New Roman" w:hAnsi="Times New Roman"/>
          <w:b/>
          <w:spacing w:val="0"/>
          <w:sz w:val="24"/>
          <w:szCs w:val="24"/>
          <w:lang w:val="en-US"/>
        </w:rPr>
        <w:t xml:space="preserve">, DATED </w:t>
      </w:r>
      <w:r w:rsidR="0056211F">
        <w:rPr>
          <w:rFonts w:ascii="Times New Roman" w:hAnsi="Times New Roman"/>
          <w:b/>
          <w:spacing w:val="0"/>
          <w:sz w:val="24"/>
          <w:szCs w:val="24"/>
          <w:lang w:val="en-US"/>
        </w:rPr>
        <w:t>18 MAY 2017</w:t>
      </w:r>
      <w:r w:rsidR="001642F7">
        <w:rPr>
          <w:rFonts w:ascii="Times New Roman" w:hAnsi="Times New Roman"/>
          <w:b/>
          <w:spacing w:val="0"/>
          <w:sz w:val="24"/>
          <w:szCs w:val="24"/>
          <w:lang w:val="en-US"/>
        </w:rPr>
        <w:t xml:space="preserve"> </w:t>
      </w:r>
      <w:bookmarkEnd w:id="0"/>
    </w:p>
    <w:p w14:paraId="756599E6" w14:textId="77777777" w:rsidR="00D16F67" w:rsidRPr="0018755E" w:rsidRDefault="00D16F67" w:rsidP="00A547BB">
      <w:pPr>
        <w:spacing w:line="360" w:lineRule="auto"/>
        <w:jc w:val="both"/>
        <w:rPr>
          <w:rFonts w:ascii="Times New Roman" w:hAnsi="Times New Roman"/>
          <w:b/>
          <w:spacing w:val="0"/>
          <w:sz w:val="24"/>
          <w:szCs w:val="24"/>
          <w:lang w:val="en-US"/>
        </w:rPr>
      </w:pPr>
    </w:p>
    <w:p w14:paraId="55CDFBAC" w14:textId="77777777" w:rsidR="00D16F67" w:rsidRPr="0018755E" w:rsidRDefault="00D16F67" w:rsidP="00A547BB">
      <w:pPr>
        <w:spacing w:line="360" w:lineRule="auto"/>
        <w:jc w:val="both"/>
        <w:rPr>
          <w:rFonts w:ascii="Times New Roman" w:hAnsi="Times New Roman"/>
          <w:spacing w:val="0"/>
          <w:sz w:val="24"/>
          <w:szCs w:val="24"/>
          <w:lang w:val="en-US"/>
        </w:rPr>
      </w:pPr>
      <w:r w:rsidRPr="0018755E">
        <w:rPr>
          <w:rFonts w:ascii="Times New Roman" w:hAnsi="Times New Roman"/>
          <w:spacing w:val="0"/>
          <w:sz w:val="24"/>
          <w:szCs w:val="24"/>
          <w:lang w:val="en-US"/>
        </w:rPr>
        <w:t xml:space="preserve">The Portfolio Committee on Arts and Culture, having considered the </w:t>
      </w:r>
      <w:r w:rsidR="006568F3" w:rsidRPr="0018755E">
        <w:rPr>
          <w:rFonts w:ascii="Times New Roman" w:hAnsi="Times New Roman"/>
          <w:spacing w:val="0"/>
          <w:sz w:val="24"/>
          <w:szCs w:val="24"/>
          <w:lang w:val="en-US"/>
        </w:rPr>
        <w:t>201</w:t>
      </w:r>
      <w:r w:rsidR="001313CC">
        <w:rPr>
          <w:rFonts w:ascii="Times New Roman" w:hAnsi="Times New Roman"/>
          <w:spacing w:val="0"/>
          <w:sz w:val="24"/>
          <w:szCs w:val="24"/>
          <w:lang w:val="en-US"/>
        </w:rPr>
        <w:t>7/18</w:t>
      </w:r>
      <w:r w:rsidRPr="0018755E">
        <w:rPr>
          <w:rFonts w:ascii="Times New Roman" w:hAnsi="Times New Roman"/>
          <w:spacing w:val="0"/>
          <w:sz w:val="24"/>
          <w:szCs w:val="24"/>
          <w:lang w:val="en-US"/>
        </w:rPr>
        <w:t xml:space="preserve"> budget and the Annual Performance Plan (APP) of the Department of Arts and Culture, Vote </w:t>
      </w:r>
      <w:r w:rsidR="006568F3" w:rsidRPr="0018755E">
        <w:rPr>
          <w:rFonts w:ascii="Times New Roman" w:hAnsi="Times New Roman"/>
          <w:spacing w:val="0"/>
          <w:sz w:val="24"/>
          <w:szCs w:val="24"/>
          <w:lang w:val="en-US"/>
        </w:rPr>
        <w:t>37</w:t>
      </w:r>
      <w:r w:rsidRPr="0018755E">
        <w:rPr>
          <w:rFonts w:ascii="Times New Roman" w:hAnsi="Times New Roman"/>
          <w:spacing w:val="0"/>
          <w:sz w:val="24"/>
          <w:szCs w:val="24"/>
          <w:lang w:val="en-US"/>
        </w:rPr>
        <w:t>, reports as follows:</w:t>
      </w:r>
    </w:p>
    <w:p w14:paraId="5A3CDDB5" w14:textId="77777777" w:rsidR="00D16F67" w:rsidRPr="0018755E" w:rsidRDefault="00D16F67" w:rsidP="00A547BB">
      <w:pPr>
        <w:spacing w:line="360" w:lineRule="auto"/>
        <w:jc w:val="both"/>
        <w:rPr>
          <w:rFonts w:ascii="Times New Roman" w:hAnsi="Times New Roman"/>
          <w:b/>
          <w:spacing w:val="0"/>
          <w:sz w:val="24"/>
          <w:szCs w:val="24"/>
          <w:lang w:val="en-US"/>
        </w:rPr>
      </w:pPr>
    </w:p>
    <w:p w14:paraId="6C125BFE" w14:textId="77777777" w:rsidR="00D16F67" w:rsidRPr="0018755E" w:rsidRDefault="00D16F67" w:rsidP="00A547BB">
      <w:pPr>
        <w:spacing w:line="360" w:lineRule="auto"/>
        <w:jc w:val="both"/>
        <w:rPr>
          <w:rFonts w:ascii="Times New Roman" w:hAnsi="Times New Roman"/>
          <w:b/>
          <w:spacing w:val="0"/>
          <w:sz w:val="24"/>
          <w:szCs w:val="24"/>
          <w:lang w:val="en-US"/>
        </w:rPr>
      </w:pPr>
      <w:r w:rsidRPr="0018755E">
        <w:rPr>
          <w:rFonts w:ascii="Times New Roman" w:hAnsi="Times New Roman"/>
          <w:b/>
          <w:spacing w:val="0"/>
          <w:sz w:val="24"/>
          <w:szCs w:val="24"/>
          <w:lang w:val="en-US"/>
        </w:rPr>
        <w:t>1.</w:t>
      </w:r>
      <w:r w:rsidRPr="0018755E">
        <w:rPr>
          <w:rFonts w:ascii="Times New Roman" w:hAnsi="Times New Roman"/>
          <w:b/>
          <w:spacing w:val="0"/>
          <w:sz w:val="24"/>
          <w:szCs w:val="24"/>
          <w:lang w:val="en-US"/>
        </w:rPr>
        <w:tab/>
        <w:t xml:space="preserve"> Introduction</w:t>
      </w:r>
    </w:p>
    <w:p w14:paraId="1760070D" w14:textId="77777777" w:rsidR="00D16F67" w:rsidRPr="0018755E" w:rsidRDefault="00D16F67" w:rsidP="00A547BB">
      <w:pPr>
        <w:spacing w:line="360" w:lineRule="auto"/>
        <w:jc w:val="both"/>
        <w:rPr>
          <w:rFonts w:ascii="Times New Roman" w:hAnsi="Times New Roman"/>
          <w:spacing w:val="0"/>
          <w:sz w:val="24"/>
          <w:szCs w:val="24"/>
          <w:lang w:val="en-US"/>
        </w:rPr>
      </w:pPr>
    </w:p>
    <w:p w14:paraId="59FB473A" w14:textId="77777777" w:rsidR="00D16F67" w:rsidRPr="0018755E" w:rsidRDefault="00D16F67" w:rsidP="00A547BB">
      <w:pPr>
        <w:numPr>
          <w:ilvl w:val="1"/>
          <w:numId w:val="18"/>
        </w:numPr>
        <w:spacing w:line="360" w:lineRule="auto"/>
        <w:jc w:val="both"/>
        <w:rPr>
          <w:rFonts w:ascii="Times New Roman" w:hAnsi="Times New Roman"/>
          <w:spacing w:val="0"/>
          <w:sz w:val="24"/>
          <w:szCs w:val="24"/>
          <w:lang w:val="en-US"/>
        </w:rPr>
      </w:pPr>
      <w:r w:rsidRPr="0018755E">
        <w:rPr>
          <w:rFonts w:ascii="Times New Roman" w:hAnsi="Times New Roman"/>
          <w:spacing w:val="0"/>
          <w:sz w:val="24"/>
          <w:szCs w:val="24"/>
          <w:lang w:val="en-US"/>
        </w:rPr>
        <w:t xml:space="preserve">The Portfolio Committee on Arts and Culture (hereafter referred to as the “Committee”) considered the </w:t>
      </w:r>
      <w:r w:rsidR="00B64964" w:rsidRPr="0018755E">
        <w:rPr>
          <w:rFonts w:ascii="Times New Roman" w:hAnsi="Times New Roman"/>
          <w:spacing w:val="0"/>
          <w:sz w:val="24"/>
          <w:szCs w:val="24"/>
          <w:lang w:val="en-US"/>
        </w:rPr>
        <w:t>2017</w:t>
      </w:r>
      <w:r w:rsidR="001313CC">
        <w:rPr>
          <w:rFonts w:ascii="Times New Roman" w:hAnsi="Times New Roman"/>
          <w:spacing w:val="0"/>
          <w:sz w:val="24"/>
          <w:szCs w:val="24"/>
          <w:lang w:val="en-US"/>
        </w:rPr>
        <w:t>/18</w:t>
      </w:r>
      <w:r w:rsidRPr="0018755E">
        <w:rPr>
          <w:rFonts w:ascii="Times New Roman" w:hAnsi="Times New Roman"/>
          <w:spacing w:val="0"/>
          <w:sz w:val="24"/>
          <w:szCs w:val="24"/>
          <w:lang w:val="en-US"/>
        </w:rPr>
        <w:t xml:space="preserve"> budget of the Department of Arts and Culture (DAC) as part of its oversight function over the Department as mandated by Public Finance Management Act (Act No 1 of 1999) and Money Bills Amendment Procedure and Related Matters Act (Act No 9 of 2009). The Department briefed the Committee on its </w:t>
      </w:r>
      <w:r w:rsidR="00B64964" w:rsidRPr="0018755E">
        <w:rPr>
          <w:rFonts w:ascii="Times New Roman" w:hAnsi="Times New Roman"/>
          <w:spacing w:val="0"/>
          <w:sz w:val="24"/>
          <w:szCs w:val="24"/>
          <w:lang w:val="en-US"/>
        </w:rPr>
        <w:t>20</w:t>
      </w:r>
      <w:r w:rsidR="001313CC">
        <w:rPr>
          <w:rFonts w:ascii="Times New Roman" w:hAnsi="Times New Roman"/>
          <w:spacing w:val="0"/>
          <w:sz w:val="24"/>
          <w:szCs w:val="24"/>
          <w:lang w:val="en-US"/>
        </w:rPr>
        <w:t xml:space="preserve">17/18 </w:t>
      </w:r>
      <w:r w:rsidRPr="0018755E">
        <w:rPr>
          <w:rFonts w:ascii="Times New Roman" w:hAnsi="Times New Roman"/>
          <w:spacing w:val="0"/>
          <w:sz w:val="24"/>
          <w:szCs w:val="24"/>
          <w:lang w:val="en-US"/>
        </w:rPr>
        <w:t xml:space="preserve">budget on </w:t>
      </w:r>
      <w:r w:rsidR="001313CC">
        <w:rPr>
          <w:rFonts w:ascii="Times New Roman" w:hAnsi="Times New Roman"/>
          <w:spacing w:val="0"/>
          <w:sz w:val="24"/>
          <w:szCs w:val="24"/>
          <w:lang w:val="en-US"/>
        </w:rPr>
        <w:t xml:space="preserve">09 </w:t>
      </w:r>
      <w:r w:rsidR="00682764">
        <w:rPr>
          <w:rFonts w:ascii="Times New Roman" w:hAnsi="Times New Roman"/>
          <w:spacing w:val="0"/>
          <w:sz w:val="24"/>
          <w:szCs w:val="24"/>
          <w:lang w:val="en-US"/>
        </w:rPr>
        <w:t xml:space="preserve">May </w:t>
      </w:r>
      <w:r w:rsidR="00D65B14">
        <w:rPr>
          <w:rFonts w:ascii="Times New Roman" w:hAnsi="Times New Roman"/>
          <w:spacing w:val="0"/>
          <w:sz w:val="24"/>
          <w:szCs w:val="24"/>
          <w:lang w:val="en-US"/>
        </w:rPr>
        <w:t xml:space="preserve">2017 </w:t>
      </w:r>
      <w:r w:rsidR="00682764" w:rsidRPr="0018755E">
        <w:rPr>
          <w:rFonts w:ascii="Times New Roman" w:hAnsi="Times New Roman"/>
          <w:spacing w:val="0"/>
          <w:sz w:val="24"/>
          <w:szCs w:val="24"/>
          <w:lang w:val="en-US"/>
        </w:rPr>
        <w:t>and</w:t>
      </w:r>
      <w:r w:rsidR="00B64964" w:rsidRPr="0018755E">
        <w:rPr>
          <w:rFonts w:ascii="Times New Roman" w:hAnsi="Times New Roman"/>
          <w:spacing w:val="0"/>
          <w:sz w:val="24"/>
          <w:szCs w:val="24"/>
          <w:lang w:val="en-US"/>
        </w:rPr>
        <w:t xml:space="preserve"> the entities briefed the Committee on the </w:t>
      </w:r>
      <w:r w:rsidR="001313CC">
        <w:rPr>
          <w:rFonts w:ascii="Times New Roman" w:hAnsi="Times New Roman"/>
          <w:spacing w:val="0"/>
          <w:sz w:val="24"/>
          <w:szCs w:val="24"/>
          <w:lang w:val="en-US"/>
        </w:rPr>
        <w:t>02</w:t>
      </w:r>
      <w:r w:rsidR="00D65B14">
        <w:rPr>
          <w:rFonts w:ascii="Times New Roman" w:hAnsi="Times New Roman"/>
          <w:spacing w:val="0"/>
          <w:sz w:val="24"/>
          <w:szCs w:val="24"/>
          <w:lang w:val="en-US"/>
        </w:rPr>
        <w:t xml:space="preserve">, </w:t>
      </w:r>
      <w:r w:rsidR="001313CC">
        <w:rPr>
          <w:rFonts w:ascii="Times New Roman" w:hAnsi="Times New Roman"/>
          <w:spacing w:val="0"/>
          <w:sz w:val="24"/>
          <w:szCs w:val="24"/>
          <w:lang w:val="en-US"/>
        </w:rPr>
        <w:t xml:space="preserve">04 and 09 May </w:t>
      </w:r>
      <w:r w:rsidR="00682764">
        <w:rPr>
          <w:rFonts w:ascii="Times New Roman" w:hAnsi="Times New Roman"/>
          <w:spacing w:val="0"/>
          <w:sz w:val="24"/>
          <w:szCs w:val="24"/>
          <w:lang w:val="en-US"/>
        </w:rPr>
        <w:t xml:space="preserve">2017 </w:t>
      </w:r>
      <w:r w:rsidR="00682764" w:rsidRPr="0018755E">
        <w:rPr>
          <w:rFonts w:ascii="Times New Roman" w:hAnsi="Times New Roman"/>
          <w:spacing w:val="0"/>
          <w:sz w:val="24"/>
          <w:szCs w:val="24"/>
          <w:lang w:val="en-US"/>
        </w:rPr>
        <w:t>respectively</w:t>
      </w:r>
      <w:r w:rsidR="00B64964" w:rsidRPr="0018755E">
        <w:rPr>
          <w:rFonts w:ascii="Times New Roman" w:hAnsi="Times New Roman"/>
          <w:spacing w:val="0"/>
          <w:sz w:val="24"/>
          <w:szCs w:val="24"/>
          <w:lang w:val="en-US"/>
        </w:rPr>
        <w:t xml:space="preserve">. </w:t>
      </w:r>
    </w:p>
    <w:p w14:paraId="17E85D2E" w14:textId="77777777" w:rsidR="00D16F67" w:rsidRPr="0018755E" w:rsidRDefault="00D16F67" w:rsidP="00A547BB">
      <w:pPr>
        <w:spacing w:line="360" w:lineRule="auto"/>
        <w:ind w:left="720"/>
        <w:jc w:val="both"/>
        <w:rPr>
          <w:rFonts w:ascii="Times New Roman" w:hAnsi="Times New Roman"/>
          <w:spacing w:val="0"/>
          <w:sz w:val="24"/>
          <w:szCs w:val="24"/>
          <w:lang w:val="en-US"/>
        </w:rPr>
      </w:pPr>
    </w:p>
    <w:p w14:paraId="484B70C6" w14:textId="77777777" w:rsidR="00D16F67" w:rsidRPr="0018755E" w:rsidRDefault="00D16F67" w:rsidP="00A547BB">
      <w:pPr>
        <w:spacing w:line="360" w:lineRule="auto"/>
        <w:jc w:val="both"/>
        <w:rPr>
          <w:rFonts w:ascii="Times New Roman" w:hAnsi="Times New Roman"/>
          <w:b/>
          <w:spacing w:val="0"/>
          <w:sz w:val="24"/>
          <w:szCs w:val="24"/>
          <w:lang w:val="en-US"/>
        </w:rPr>
      </w:pPr>
      <w:r w:rsidRPr="0018755E">
        <w:rPr>
          <w:rFonts w:ascii="Times New Roman" w:hAnsi="Times New Roman"/>
          <w:b/>
          <w:spacing w:val="0"/>
          <w:sz w:val="24"/>
          <w:szCs w:val="24"/>
          <w:lang w:val="en-US"/>
        </w:rPr>
        <w:t>2.</w:t>
      </w:r>
      <w:r w:rsidRPr="0018755E">
        <w:rPr>
          <w:rFonts w:ascii="Times New Roman" w:hAnsi="Times New Roman"/>
          <w:b/>
          <w:spacing w:val="0"/>
          <w:sz w:val="24"/>
          <w:szCs w:val="24"/>
          <w:lang w:val="en-US"/>
        </w:rPr>
        <w:tab/>
        <w:t>Background</w:t>
      </w:r>
    </w:p>
    <w:p w14:paraId="11322536" w14:textId="77777777" w:rsidR="00D16F67" w:rsidRPr="0018755E" w:rsidRDefault="00D16F67" w:rsidP="00A547BB">
      <w:pPr>
        <w:spacing w:line="360" w:lineRule="auto"/>
        <w:jc w:val="both"/>
        <w:rPr>
          <w:rFonts w:ascii="Times New Roman" w:hAnsi="Times New Roman"/>
          <w:b/>
          <w:spacing w:val="0"/>
          <w:sz w:val="24"/>
          <w:szCs w:val="24"/>
          <w:lang w:val="en-US"/>
        </w:rPr>
      </w:pPr>
    </w:p>
    <w:p w14:paraId="4BCA54D2" w14:textId="77777777" w:rsidR="00D16F67" w:rsidRPr="0018755E" w:rsidRDefault="00D16F67" w:rsidP="00A547BB">
      <w:pPr>
        <w:spacing w:line="360" w:lineRule="auto"/>
        <w:ind w:left="720" w:hanging="720"/>
        <w:jc w:val="both"/>
        <w:rPr>
          <w:rFonts w:ascii="Times New Roman" w:hAnsi="Times New Roman"/>
          <w:spacing w:val="0"/>
          <w:sz w:val="24"/>
          <w:szCs w:val="24"/>
          <w:lang w:val="en-US"/>
        </w:rPr>
      </w:pPr>
      <w:r w:rsidRPr="0018755E">
        <w:rPr>
          <w:rFonts w:ascii="Times New Roman" w:hAnsi="Times New Roman"/>
          <w:spacing w:val="0"/>
          <w:sz w:val="24"/>
          <w:szCs w:val="24"/>
          <w:lang w:val="en-US"/>
        </w:rPr>
        <w:t>2.1</w:t>
      </w:r>
      <w:r w:rsidRPr="0018755E">
        <w:rPr>
          <w:rFonts w:ascii="Times New Roman" w:hAnsi="Times New Roman"/>
          <w:spacing w:val="0"/>
          <w:sz w:val="24"/>
          <w:szCs w:val="24"/>
          <w:lang w:val="en-US"/>
        </w:rPr>
        <w:tab/>
        <w:t xml:space="preserve">The aim of the report is to present an intensive analysis of the </w:t>
      </w:r>
      <w:r w:rsidR="00B64964" w:rsidRPr="0018755E">
        <w:rPr>
          <w:rFonts w:ascii="Times New Roman" w:hAnsi="Times New Roman"/>
          <w:spacing w:val="0"/>
          <w:sz w:val="24"/>
          <w:szCs w:val="24"/>
          <w:lang w:val="en-US"/>
        </w:rPr>
        <w:t>2017</w:t>
      </w:r>
      <w:r w:rsidR="001313CC">
        <w:rPr>
          <w:rFonts w:ascii="Times New Roman" w:hAnsi="Times New Roman"/>
          <w:spacing w:val="0"/>
          <w:sz w:val="24"/>
          <w:szCs w:val="24"/>
          <w:lang w:val="en-US"/>
        </w:rPr>
        <w:t>/18</w:t>
      </w:r>
      <w:r w:rsidRPr="0018755E">
        <w:rPr>
          <w:rFonts w:ascii="Times New Roman" w:hAnsi="Times New Roman"/>
          <w:spacing w:val="0"/>
          <w:sz w:val="24"/>
          <w:szCs w:val="24"/>
          <w:lang w:val="en-US"/>
        </w:rPr>
        <w:t xml:space="preserve"> budget of the Department of Arts and Culture. This will assist the Committee to fulfill its monitoring and oversight functions effectively. This analysis particularly enables the Committee to monitor and oversee the Department’s expenditure of public funds and the impact of service delivery.</w:t>
      </w:r>
    </w:p>
    <w:p w14:paraId="2C24CBB7" w14:textId="77777777" w:rsidR="00D16F67" w:rsidRPr="0018755E" w:rsidRDefault="00D16F67" w:rsidP="00A547BB">
      <w:pPr>
        <w:spacing w:line="360" w:lineRule="auto"/>
        <w:jc w:val="both"/>
        <w:rPr>
          <w:rFonts w:ascii="Times New Roman" w:hAnsi="Times New Roman"/>
          <w:spacing w:val="0"/>
          <w:sz w:val="24"/>
          <w:szCs w:val="24"/>
          <w:lang w:val="en-US"/>
        </w:rPr>
      </w:pPr>
    </w:p>
    <w:p w14:paraId="1AA7F3A4" w14:textId="77777777" w:rsidR="00D16F67" w:rsidRPr="0018755E" w:rsidRDefault="00D16F67" w:rsidP="00A547BB">
      <w:pPr>
        <w:numPr>
          <w:ilvl w:val="1"/>
          <w:numId w:val="19"/>
        </w:numPr>
        <w:spacing w:line="360" w:lineRule="auto"/>
        <w:jc w:val="both"/>
        <w:rPr>
          <w:rFonts w:ascii="Times New Roman" w:hAnsi="Times New Roman"/>
          <w:spacing w:val="0"/>
          <w:sz w:val="24"/>
          <w:szCs w:val="24"/>
          <w:lang w:val="en-US"/>
        </w:rPr>
      </w:pPr>
      <w:r w:rsidRPr="0018755E">
        <w:rPr>
          <w:rFonts w:ascii="Times New Roman" w:hAnsi="Times New Roman"/>
          <w:spacing w:val="0"/>
          <w:sz w:val="24"/>
          <w:szCs w:val="24"/>
          <w:lang w:val="en-US"/>
        </w:rPr>
        <w:t xml:space="preserve">Information contained in the report is based on the Department’s </w:t>
      </w:r>
      <w:r w:rsidR="00B64964" w:rsidRPr="0018755E">
        <w:rPr>
          <w:rFonts w:ascii="Times New Roman" w:hAnsi="Times New Roman"/>
          <w:spacing w:val="0"/>
          <w:sz w:val="24"/>
          <w:szCs w:val="24"/>
          <w:lang w:val="en-US"/>
        </w:rPr>
        <w:t>2017</w:t>
      </w:r>
      <w:r w:rsidR="004A40A1">
        <w:rPr>
          <w:rFonts w:ascii="Times New Roman" w:hAnsi="Times New Roman"/>
          <w:spacing w:val="0"/>
          <w:sz w:val="24"/>
          <w:szCs w:val="24"/>
          <w:lang w:val="en-US"/>
        </w:rPr>
        <w:t>/18</w:t>
      </w:r>
      <w:r w:rsidRPr="0018755E">
        <w:rPr>
          <w:rFonts w:ascii="Times New Roman" w:hAnsi="Times New Roman"/>
          <w:spacing w:val="0"/>
          <w:sz w:val="24"/>
          <w:szCs w:val="24"/>
          <w:lang w:val="en-US"/>
        </w:rPr>
        <w:t xml:space="preserve"> APP, </w:t>
      </w:r>
      <w:r w:rsidR="00B64964" w:rsidRPr="0018755E">
        <w:rPr>
          <w:rFonts w:ascii="Times New Roman" w:hAnsi="Times New Roman"/>
          <w:spacing w:val="0"/>
          <w:sz w:val="24"/>
          <w:szCs w:val="24"/>
          <w:lang w:val="en-US"/>
        </w:rPr>
        <w:t>2017</w:t>
      </w:r>
      <w:r w:rsidR="004A40A1">
        <w:rPr>
          <w:rFonts w:ascii="Times New Roman" w:hAnsi="Times New Roman"/>
          <w:spacing w:val="0"/>
          <w:sz w:val="24"/>
          <w:szCs w:val="24"/>
          <w:lang w:val="en-US"/>
        </w:rPr>
        <w:t>/18</w:t>
      </w:r>
      <w:r w:rsidRPr="0018755E">
        <w:rPr>
          <w:rFonts w:ascii="Times New Roman" w:hAnsi="Times New Roman"/>
          <w:spacing w:val="0"/>
          <w:sz w:val="24"/>
          <w:szCs w:val="24"/>
          <w:lang w:val="en-US"/>
        </w:rPr>
        <w:t xml:space="preserve"> budget, as well as the 201</w:t>
      </w:r>
      <w:r w:rsidR="004A40A1">
        <w:rPr>
          <w:rFonts w:ascii="Times New Roman" w:hAnsi="Times New Roman"/>
          <w:spacing w:val="0"/>
          <w:sz w:val="24"/>
          <w:szCs w:val="24"/>
          <w:lang w:val="en-US"/>
        </w:rPr>
        <w:t>7</w:t>
      </w:r>
      <w:r w:rsidRPr="0018755E">
        <w:rPr>
          <w:rFonts w:ascii="Times New Roman" w:hAnsi="Times New Roman"/>
          <w:spacing w:val="0"/>
          <w:sz w:val="24"/>
          <w:szCs w:val="24"/>
          <w:lang w:val="en-US"/>
        </w:rPr>
        <w:t xml:space="preserve"> Estimates of National Expenditure (ENE) as tabled in the National Assembly.</w:t>
      </w:r>
    </w:p>
    <w:p w14:paraId="383A8AFC" w14:textId="77777777" w:rsidR="00D16F67" w:rsidRPr="0018755E" w:rsidRDefault="00D16F67" w:rsidP="00A547BB">
      <w:pPr>
        <w:spacing w:line="360" w:lineRule="auto"/>
        <w:jc w:val="both"/>
        <w:rPr>
          <w:rFonts w:ascii="Times New Roman" w:hAnsi="Times New Roman"/>
          <w:spacing w:val="0"/>
          <w:sz w:val="24"/>
          <w:szCs w:val="24"/>
          <w:lang w:val="en-US"/>
        </w:rPr>
      </w:pPr>
    </w:p>
    <w:p w14:paraId="38F2A610" w14:textId="77777777" w:rsidR="00D16F67" w:rsidRPr="0018755E" w:rsidRDefault="00D16F67" w:rsidP="00A547BB">
      <w:pPr>
        <w:spacing w:line="360" w:lineRule="auto"/>
        <w:ind w:left="720" w:hanging="720"/>
        <w:jc w:val="both"/>
        <w:rPr>
          <w:rFonts w:ascii="Times New Roman" w:hAnsi="Times New Roman"/>
          <w:spacing w:val="0"/>
          <w:sz w:val="24"/>
          <w:szCs w:val="24"/>
          <w:lang w:val="en-US"/>
        </w:rPr>
      </w:pPr>
      <w:r w:rsidRPr="0018755E">
        <w:rPr>
          <w:rFonts w:ascii="Times New Roman" w:hAnsi="Times New Roman"/>
          <w:spacing w:val="0"/>
          <w:sz w:val="24"/>
          <w:szCs w:val="24"/>
          <w:lang w:val="en-US"/>
        </w:rPr>
        <w:t>2.3</w:t>
      </w:r>
      <w:r w:rsidRPr="0018755E">
        <w:rPr>
          <w:rFonts w:ascii="Times New Roman" w:hAnsi="Times New Roman"/>
          <w:spacing w:val="0"/>
          <w:sz w:val="24"/>
          <w:szCs w:val="24"/>
          <w:lang w:val="en-US"/>
        </w:rPr>
        <w:tab/>
        <w:t>The Report presents a programme-by-programme summary of the Department of Arts and Culture Budget, an overview of the key observations and recommendations made by the Committee.</w:t>
      </w:r>
    </w:p>
    <w:p w14:paraId="4FD97659" w14:textId="77777777" w:rsidR="00D16F67" w:rsidRDefault="00D16F67" w:rsidP="00A547BB">
      <w:pPr>
        <w:spacing w:line="360" w:lineRule="auto"/>
        <w:jc w:val="both"/>
        <w:rPr>
          <w:rFonts w:ascii="Times New Roman" w:hAnsi="Times New Roman"/>
          <w:spacing w:val="0"/>
          <w:sz w:val="24"/>
          <w:szCs w:val="24"/>
          <w:lang w:val="en-US"/>
        </w:rPr>
      </w:pPr>
    </w:p>
    <w:p w14:paraId="649E198F" w14:textId="77777777" w:rsidR="00D65B14" w:rsidRPr="0018755E" w:rsidRDefault="00D65B14" w:rsidP="00A547BB">
      <w:pPr>
        <w:spacing w:line="360" w:lineRule="auto"/>
        <w:jc w:val="both"/>
        <w:rPr>
          <w:rFonts w:ascii="Times New Roman" w:hAnsi="Times New Roman"/>
          <w:spacing w:val="0"/>
          <w:sz w:val="24"/>
          <w:szCs w:val="24"/>
          <w:lang w:val="en-US"/>
        </w:rPr>
      </w:pPr>
    </w:p>
    <w:p w14:paraId="20476C00" w14:textId="203DEB98" w:rsidR="00D16F67" w:rsidRPr="0018755E" w:rsidRDefault="00D16F67" w:rsidP="00A547BB">
      <w:pPr>
        <w:spacing w:line="360" w:lineRule="auto"/>
        <w:jc w:val="both"/>
        <w:rPr>
          <w:rFonts w:ascii="Times New Roman" w:hAnsi="Times New Roman"/>
          <w:b/>
          <w:color w:val="auto"/>
          <w:spacing w:val="0"/>
          <w:sz w:val="24"/>
          <w:szCs w:val="24"/>
          <w:lang w:val="en-US"/>
        </w:rPr>
      </w:pPr>
      <w:r w:rsidRPr="0018755E">
        <w:rPr>
          <w:rFonts w:ascii="Times New Roman" w:hAnsi="Times New Roman"/>
          <w:b/>
          <w:color w:val="auto"/>
          <w:spacing w:val="0"/>
          <w:sz w:val="24"/>
          <w:szCs w:val="24"/>
          <w:lang w:val="en-US"/>
        </w:rPr>
        <w:t>3.</w:t>
      </w:r>
      <w:r w:rsidRPr="0018755E">
        <w:rPr>
          <w:rFonts w:ascii="Times New Roman" w:hAnsi="Times New Roman"/>
          <w:b/>
          <w:color w:val="auto"/>
          <w:spacing w:val="0"/>
          <w:sz w:val="24"/>
          <w:szCs w:val="24"/>
          <w:lang w:val="en-US"/>
        </w:rPr>
        <w:tab/>
      </w:r>
      <w:r w:rsidR="00542999" w:rsidRPr="0018755E">
        <w:rPr>
          <w:rFonts w:ascii="Times New Roman" w:hAnsi="Times New Roman"/>
          <w:b/>
          <w:color w:val="auto"/>
          <w:spacing w:val="0"/>
          <w:sz w:val="24"/>
          <w:szCs w:val="24"/>
          <w:lang w:val="en-US"/>
        </w:rPr>
        <w:t>Committee observation</w:t>
      </w:r>
      <w:r w:rsidR="00895C48">
        <w:rPr>
          <w:rFonts w:ascii="Times New Roman" w:hAnsi="Times New Roman"/>
          <w:b/>
          <w:color w:val="auto"/>
          <w:spacing w:val="0"/>
          <w:sz w:val="24"/>
          <w:szCs w:val="24"/>
          <w:lang w:val="en-US"/>
        </w:rPr>
        <w:t>s</w:t>
      </w:r>
    </w:p>
    <w:p w14:paraId="6F0708CD" w14:textId="77777777" w:rsidR="00D16F67" w:rsidRPr="0018755E" w:rsidRDefault="00D16F67" w:rsidP="00A547BB">
      <w:pPr>
        <w:spacing w:line="360" w:lineRule="auto"/>
        <w:jc w:val="both"/>
        <w:rPr>
          <w:rFonts w:ascii="Times New Roman" w:hAnsi="Times New Roman"/>
          <w:color w:val="auto"/>
          <w:spacing w:val="0"/>
          <w:sz w:val="24"/>
          <w:szCs w:val="24"/>
          <w:lang w:val="en-US"/>
        </w:rPr>
      </w:pPr>
    </w:p>
    <w:p w14:paraId="7BE98147" w14:textId="77777777" w:rsidR="00D16F67" w:rsidRPr="0018755E" w:rsidRDefault="00D16F67" w:rsidP="00A547BB">
      <w:pPr>
        <w:spacing w:line="360" w:lineRule="auto"/>
        <w:ind w:left="720" w:hanging="720"/>
        <w:jc w:val="both"/>
        <w:rPr>
          <w:rFonts w:ascii="Times New Roman" w:hAnsi="Times New Roman"/>
          <w:color w:val="auto"/>
          <w:spacing w:val="0"/>
          <w:sz w:val="24"/>
          <w:szCs w:val="24"/>
          <w:lang w:val="en-US"/>
        </w:rPr>
      </w:pPr>
      <w:r w:rsidRPr="0018755E">
        <w:rPr>
          <w:rFonts w:ascii="Times New Roman" w:hAnsi="Times New Roman"/>
          <w:color w:val="auto"/>
          <w:spacing w:val="0"/>
          <w:sz w:val="24"/>
          <w:szCs w:val="24"/>
          <w:lang w:val="en-US"/>
        </w:rPr>
        <w:t>3.1</w:t>
      </w:r>
      <w:r w:rsidRPr="0018755E">
        <w:rPr>
          <w:rFonts w:ascii="Times New Roman" w:hAnsi="Times New Roman"/>
          <w:color w:val="auto"/>
          <w:spacing w:val="0"/>
          <w:sz w:val="24"/>
          <w:szCs w:val="24"/>
          <w:lang w:val="en-US"/>
        </w:rPr>
        <w:tab/>
        <w:t xml:space="preserve">The Department derives its mandate from the Constitution of the Republic of South Africa (Act No. 108 of 1996) with specific focus on language and culture, access to information and, to some extent, education. </w:t>
      </w:r>
    </w:p>
    <w:p w14:paraId="481174B5" w14:textId="77777777" w:rsidR="00D16F67" w:rsidRPr="0018755E" w:rsidRDefault="00D16F67" w:rsidP="00A547BB">
      <w:pPr>
        <w:spacing w:line="360" w:lineRule="auto"/>
        <w:jc w:val="both"/>
        <w:rPr>
          <w:rFonts w:ascii="Times New Roman" w:hAnsi="Times New Roman"/>
          <w:color w:val="auto"/>
          <w:spacing w:val="0"/>
          <w:sz w:val="24"/>
          <w:szCs w:val="24"/>
          <w:lang w:val="en-US"/>
        </w:rPr>
      </w:pPr>
    </w:p>
    <w:p w14:paraId="60B71D97" w14:textId="77777777" w:rsidR="00D16F67" w:rsidRPr="0018755E" w:rsidRDefault="00D16F67" w:rsidP="00A547BB">
      <w:pPr>
        <w:spacing w:line="360" w:lineRule="auto"/>
        <w:ind w:left="720" w:hanging="720"/>
        <w:jc w:val="both"/>
        <w:rPr>
          <w:rFonts w:ascii="Times New Roman" w:hAnsi="Times New Roman"/>
          <w:color w:val="auto"/>
          <w:spacing w:val="0"/>
          <w:sz w:val="24"/>
          <w:szCs w:val="24"/>
          <w:lang w:val="en-US"/>
        </w:rPr>
      </w:pPr>
      <w:r w:rsidRPr="0018755E">
        <w:rPr>
          <w:rFonts w:ascii="Times New Roman" w:hAnsi="Times New Roman"/>
          <w:color w:val="auto"/>
          <w:spacing w:val="0"/>
          <w:sz w:val="24"/>
          <w:szCs w:val="24"/>
          <w:lang w:val="en-US"/>
        </w:rPr>
        <w:t>3.2</w:t>
      </w:r>
      <w:r w:rsidRPr="0018755E">
        <w:rPr>
          <w:rFonts w:ascii="Times New Roman" w:hAnsi="Times New Roman"/>
          <w:color w:val="auto"/>
          <w:spacing w:val="0"/>
          <w:sz w:val="24"/>
          <w:szCs w:val="24"/>
          <w:lang w:val="en-US"/>
        </w:rPr>
        <w:tab/>
        <w:t>The work of the Department is central to the implementation of Chapter 15</w:t>
      </w:r>
      <w:r w:rsidR="006E37D4" w:rsidRPr="0018755E">
        <w:rPr>
          <w:rFonts w:ascii="Times New Roman" w:hAnsi="Times New Roman"/>
          <w:color w:val="auto"/>
          <w:spacing w:val="0"/>
          <w:sz w:val="24"/>
          <w:szCs w:val="24"/>
          <w:lang w:val="en-US"/>
        </w:rPr>
        <w:t>, Nation</w:t>
      </w:r>
      <w:r w:rsidRPr="0018755E">
        <w:rPr>
          <w:rFonts w:ascii="Times New Roman" w:hAnsi="Times New Roman"/>
          <w:i/>
          <w:color w:val="auto"/>
          <w:spacing w:val="0"/>
          <w:sz w:val="24"/>
          <w:szCs w:val="24"/>
          <w:lang w:val="en-US"/>
        </w:rPr>
        <w:t xml:space="preserve"> Building and Social Cohesion</w:t>
      </w:r>
      <w:r w:rsidR="006E37D4" w:rsidRPr="0018755E">
        <w:rPr>
          <w:rFonts w:ascii="Times New Roman" w:hAnsi="Times New Roman"/>
          <w:i/>
          <w:color w:val="auto"/>
          <w:spacing w:val="0"/>
          <w:sz w:val="24"/>
          <w:szCs w:val="24"/>
          <w:lang w:val="en-US"/>
        </w:rPr>
        <w:t>,</w:t>
      </w:r>
      <w:r w:rsidRPr="0018755E">
        <w:rPr>
          <w:rFonts w:ascii="Times New Roman" w:hAnsi="Times New Roman"/>
          <w:color w:val="auto"/>
          <w:spacing w:val="0"/>
          <w:sz w:val="24"/>
          <w:szCs w:val="24"/>
          <w:lang w:val="en-US"/>
        </w:rPr>
        <w:t xml:space="preserve"> of the National Development Plan (NDP) Vision 2030. The Department has been assigned by the President the responsibility to lead Outcome 14: </w:t>
      </w:r>
      <w:r w:rsidRPr="0018755E">
        <w:rPr>
          <w:rFonts w:ascii="Times New Roman" w:hAnsi="Times New Roman"/>
          <w:color w:val="auto"/>
          <w:spacing w:val="0"/>
          <w:sz w:val="24"/>
          <w:szCs w:val="24"/>
          <w:lang w:val="en-ZA"/>
        </w:rPr>
        <w:t>Transforming society and uniting the country</w:t>
      </w:r>
      <w:r w:rsidRPr="0018755E">
        <w:rPr>
          <w:rFonts w:ascii="Times New Roman" w:hAnsi="Times New Roman"/>
          <w:color w:val="auto"/>
          <w:spacing w:val="0"/>
          <w:sz w:val="24"/>
          <w:szCs w:val="24"/>
          <w:lang w:val="en-US"/>
        </w:rPr>
        <w:t>.</w:t>
      </w:r>
    </w:p>
    <w:p w14:paraId="6BF721E3" w14:textId="77777777" w:rsidR="00D16F67" w:rsidRPr="0018755E" w:rsidRDefault="00D16F67" w:rsidP="00A547BB">
      <w:pPr>
        <w:spacing w:line="360" w:lineRule="auto"/>
        <w:jc w:val="both"/>
        <w:rPr>
          <w:rFonts w:ascii="Times New Roman" w:hAnsi="Times New Roman"/>
          <w:i/>
          <w:color w:val="auto"/>
          <w:spacing w:val="0"/>
          <w:sz w:val="24"/>
          <w:szCs w:val="24"/>
          <w:lang w:val="en-US"/>
        </w:rPr>
      </w:pPr>
    </w:p>
    <w:p w14:paraId="02DC0139" w14:textId="77777777" w:rsidR="00D16F67" w:rsidRPr="0018755E" w:rsidRDefault="00D16F67" w:rsidP="00A547BB">
      <w:pPr>
        <w:spacing w:line="360" w:lineRule="auto"/>
        <w:ind w:left="720" w:hanging="720"/>
        <w:jc w:val="both"/>
        <w:rPr>
          <w:rFonts w:ascii="Times New Roman" w:hAnsi="Times New Roman"/>
          <w:color w:val="auto"/>
          <w:spacing w:val="0"/>
          <w:sz w:val="24"/>
          <w:szCs w:val="24"/>
        </w:rPr>
      </w:pPr>
      <w:r w:rsidRPr="0018755E">
        <w:rPr>
          <w:rFonts w:ascii="Times New Roman" w:hAnsi="Times New Roman"/>
          <w:color w:val="auto"/>
          <w:spacing w:val="0"/>
          <w:sz w:val="24"/>
          <w:szCs w:val="24"/>
          <w:lang w:val="en-US"/>
        </w:rPr>
        <w:t>3.3</w:t>
      </w:r>
      <w:r w:rsidRPr="0018755E">
        <w:rPr>
          <w:rFonts w:ascii="Times New Roman" w:hAnsi="Times New Roman"/>
          <w:color w:val="auto"/>
          <w:spacing w:val="0"/>
          <w:sz w:val="24"/>
          <w:szCs w:val="24"/>
          <w:lang w:val="en-US"/>
        </w:rPr>
        <w:tab/>
      </w:r>
      <w:r w:rsidRPr="0018755E">
        <w:rPr>
          <w:rFonts w:ascii="Times New Roman" w:hAnsi="Times New Roman"/>
          <w:color w:val="auto"/>
          <w:spacing w:val="0"/>
          <w:sz w:val="24"/>
          <w:szCs w:val="24"/>
        </w:rPr>
        <w:t xml:space="preserve">Through the implementation of the Mzansi Golden Economy (MGE) strategy, a strategy developed during the 2009-2014 term, the Department aims to contribute to national priorities of job creation and economic development. </w:t>
      </w:r>
    </w:p>
    <w:p w14:paraId="4D278FA5" w14:textId="77777777" w:rsidR="00D16F67" w:rsidRPr="0018755E" w:rsidRDefault="00D16F67" w:rsidP="00A547BB">
      <w:pPr>
        <w:spacing w:line="360" w:lineRule="auto"/>
        <w:jc w:val="both"/>
        <w:rPr>
          <w:rFonts w:ascii="Times New Roman" w:hAnsi="Times New Roman"/>
          <w:color w:val="auto"/>
          <w:spacing w:val="0"/>
          <w:sz w:val="24"/>
          <w:szCs w:val="24"/>
          <w:lang w:val="en-US"/>
        </w:rPr>
      </w:pPr>
    </w:p>
    <w:p w14:paraId="01BE7FAB" w14:textId="77777777" w:rsidR="00D16F67" w:rsidRPr="0018755E" w:rsidRDefault="00D16F67" w:rsidP="00A547BB">
      <w:pPr>
        <w:spacing w:line="360" w:lineRule="auto"/>
        <w:ind w:left="720" w:hanging="720"/>
        <w:jc w:val="both"/>
        <w:rPr>
          <w:rFonts w:ascii="Times New Roman" w:hAnsi="Times New Roman"/>
          <w:color w:val="auto"/>
          <w:spacing w:val="0"/>
          <w:sz w:val="24"/>
          <w:szCs w:val="24"/>
          <w:lang w:val="en-US"/>
        </w:rPr>
      </w:pPr>
      <w:r w:rsidRPr="0018755E">
        <w:rPr>
          <w:rFonts w:ascii="Times New Roman" w:hAnsi="Times New Roman"/>
          <w:color w:val="auto"/>
          <w:spacing w:val="0"/>
          <w:sz w:val="24"/>
          <w:szCs w:val="24"/>
          <w:lang w:val="en-US"/>
        </w:rPr>
        <w:t>3.4</w:t>
      </w:r>
      <w:r w:rsidRPr="0018755E">
        <w:rPr>
          <w:rFonts w:ascii="Times New Roman" w:hAnsi="Times New Roman"/>
          <w:color w:val="auto"/>
          <w:spacing w:val="0"/>
          <w:sz w:val="24"/>
          <w:szCs w:val="24"/>
          <w:lang w:val="en-US"/>
        </w:rPr>
        <w:tab/>
        <w:t>Going forward into the medium-term, the Department aligns its work with the NDP as well as the Medium Term Strategic Framework through contributing to quality education and rural development.</w:t>
      </w:r>
    </w:p>
    <w:p w14:paraId="04347B9F" w14:textId="77777777" w:rsidR="00D16F67" w:rsidRPr="0018755E" w:rsidRDefault="00D16F67" w:rsidP="00A547BB">
      <w:pPr>
        <w:spacing w:line="360" w:lineRule="auto"/>
        <w:ind w:left="720" w:hanging="720"/>
        <w:jc w:val="both"/>
        <w:rPr>
          <w:rFonts w:ascii="Times New Roman" w:hAnsi="Times New Roman"/>
          <w:color w:val="auto"/>
          <w:spacing w:val="0"/>
          <w:sz w:val="24"/>
          <w:szCs w:val="24"/>
          <w:lang w:val="en-US"/>
        </w:rPr>
      </w:pPr>
    </w:p>
    <w:p w14:paraId="6C773497" w14:textId="77777777" w:rsidR="00D16F67" w:rsidRPr="0018755E" w:rsidRDefault="00D16F67" w:rsidP="00A547BB">
      <w:pPr>
        <w:spacing w:line="360" w:lineRule="auto"/>
        <w:ind w:left="720" w:hanging="720"/>
        <w:jc w:val="both"/>
        <w:rPr>
          <w:rFonts w:ascii="Times New Roman" w:hAnsi="Times New Roman"/>
          <w:color w:val="auto"/>
          <w:spacing w:val="0"/>
          <w:sz w:val="24"/>
          <w:szCs w:val="24"/>
          <w:lang w:val="en-US"/>
        </w:rPr>
      </w:pPr>
      <w:r w:rsidRPr="0018755E">
        <w:rPr>
          <w:rFonts w:ascii="Times New Roman" w:hAnsi="Times New Roman"/>
          <w:color w:val="auto"/>
          <w:spacing w:val="0"/>
          <w:sz w:val="24"/>
          <w:szCs w:val="24"/>
          <w:lang w:val="en-US"/>
        </w:rPr>
        <w:t>3.5</w:t>
      </w:r>
      <w:r w:rsidRPr="0018755E">
        <w:rPr>
          <w:rFonts w:ascii="Times New Roman" w:hAnsi="Times New Roman"/>
          <w:color w:val="auto"/>
          <w:spacing w:val="0"/>
          <w:sz w:val="24"/>
          <w:szCs w:val="24"/>
          <w:lang w:val="en-US"/>
        </w:rPr>
        <w:tab/>
        <w:t>The Department will work towards achieving the above findings by continuing with programmes which place artists in schools to improve the teaching of arts in basic education and by building arts, culture and heritage infrastructure in rural areas. This infrastructure includes community libraries, arts centres</w:t>
      </w:r>
      <w:r w:rsidR="00D65B14">
        <w:rPr>
          <w:rFonts w:ascii="Times New Roman" w:hAnsi="Times New Roman"/>
          <w:color w:val="auto"/>
          <w:spacing w:val="0"/>
          <w:sz w:val="24"/>
          <w:szCs w:val="24"/>
          <w:lang w:val="en-US"/>
        </w:rPr>
        <w:t xml:space="preserve"> and</w:t>
      </w:r>
      <w:r w:rsidR="00D65B14" w:rsidRPr="0018755E">
        <w:rPr>
          <w:rFonts w:ascii="Times New Roman" w:hAnsi="Times New Roman"/>
          <w:color w:val="auto"/>
          <w:spacing w:val="0"/>
          <w:sz w:val="24"/>
          <w:szCs w:val="24"/>
          <w:lang w:val="en-US"/>
        </w:rPr>
        <w:t xml:space="preserve"> </w:t>
      </w:r>
      <w:r w:rsidRPr="0018755E">
        <w:rPr>
          <w:rFonts w:ascii="Times New Roman" w:hAnsi="Times New Roman"/>
          <w:color w:val="auto"/>
          <w:spacing w:val="0"/>
          <w:sz w:val="24"/>
          <w:szCs w:val="24"/>
          <w:lang w:val="en-US"/>
        </w:rPr>
        <w:t>building heritage infrastructure monuments.</w:t>
      </w:r>
    </w:p>
    <w:p w14:paraId="34296DAC" w14:textId="77777777" w:rsidR="007556E8" w:rsidRPr="0018755E" w:rsidRDefault="007556E8" w:rsidP="00A547BB">
      <w:pPr>
        <w:spacing w:line="360" w:lineRule="auto"/>
        <w:ind w:left="720" w:hanging="720"/>
        <w:jc w:val="both"/>
        <w:rPr>
          <w:rFonts w:ascii="Times New Roman" w:hAnsi="Times New Roman"/>
          <w:color w:val="auto"/>
          <w:spacing w:val="0"/>
          <w:sz w:val="24"/>
          <w:szCs w:val="24"/>
          <w:lang w:val="en-US"/>
        </w:rPr>
      </w:pPr>
    </w:p>
    <w:p w14:paraId="34612E89" w14:textId="77777777" w:rsidR="007556E8" w:rsidRPr="0018755E" w:rsidRDefault="007556E8" w:rsidP="00A547BB">
      <w:pPr>
        <w:spacing w:line="360" w:lineRule="auto"/>
        <w:ind w:left="720" w:hanging="720"/>
        <w:jc w:val="both"/>
        <w:rPr>
          <w:rFonts w:ascii="Times New Roman" w:hAnsi="Times New Roman"/>
          <w:color w:val="auto"/>
          <w:spacing w:val="0"/>
          <w:sz w:val="24"/>
          <w:szCs w:val="24"/>
          <w:lang w:val="en-US"/>
        </w:rPr>
      </w:pPr>
      <w:r w:rsidRPr="0018755E">
        <w:rPr>
          <w:rFonts w:ascii="Times New Roman" w:hAnsi="Times New Roman"/>
          <w:color w:val="auto"/>
          <w:spacing w:val="0"/>
          <w:sz w:val="24"/>
          <w:szCs w:val="24"/>
          <w:lang w:val="en-US"/>
        </w:rPr>
        <w:t>3.6</w:t>
      </w:r>
      <w:r w:rsidRPr="0018755E">
        <w:rPr>
          <w:rFonts w:ascii="Times New Roman" w:hAnsi="Times New Roman"/>
          <w:color w:val="auto"/>
          <w:spacing w:val="0"/>
          <w:sz w:val="24"/>
          <w:szCs w:val="24"/>
          <w:lang w:val="en-US"/>
        </w:rPr>
        <w:tab/>
        <w:t>The Department has ensured that all entities reporting to it have submitted annual performance plans (APPs) for the 2017</w:t>
      </w:r>
      <w:r w:rsidR="004A40A1">
        <w:rPr>
          <w:rFonts w:ascii="Times New Roman" w:hAnsi="Times New Roman"/>
          <w:color w:val="auto"/>
          <w:spacing w:val="0"/>
          <w:sz w:val="24"/>
          <w:szCs w:val="24"/>
          <w:lang w:val="en-US"/>
        </w:rPr>
        <w:t>/18</w:t>
      </w:r>
      <w:r w:rsidRPr="0018755E">
        <w:rPr>
          <w:rFonts w:ascii="Times New Roman" w:hAnsi="Times New Roman"/>
          <w:color w:val="auto"/>
          <w:spacing w:val="0"/>
          <w:sz w:val="24"/>
          <w:szCs w:val="24"/>
          <w:lang w:val="en-US"/>
        </w:rPr>
        <w:t xml:space="preserve"> financial year. These include:</w:t>
      </w:r>
    </w:p>
    <w:p w14:paraId="0F430973" w14:textId="77777777" w:rsidR="007556E8" w:rsidRPr="0018755E" w:rsidRDefault="007556E8" w:rsidP="00A547BB">
      <w:pPr>
        <w:pStyle w:val="ListParagraph"/>
        <w:numPr>
          <w:ilvl w:val="0"/>
          <w:numId w:val="44"/>
        </w:numPr>
        <w:spacing w:line="360" w:lineRule="auto"/>
        <w:jc w:val="both"/>
        <w:rPr>
          <w:rFonts w:ascii="Times New Roman" w:hAnsi="Times New Roman"/>
          <w:color w:val="auto"/>
          <w:spacing w:val="0"/>
          <w:sz w:val="24"/>
          <w:szCs w:val="24"/>
          <w:lang w:val="en-US"/>
        </w:rPr>
      </w:pPr>
      <w:r w:rsidRPr="0018755E">
        <w:rPr>
          <w:rFonts w:ascii="Times New Roman" w:hAnsi="Times New Roman"/>
          <w:color w:val="auto"/>
          <w:spacing w:val="0"/>
          <w:sz w:val="24"/>
          <w:szCs w:val="24"/>
          <w:lang w:val="en-US"/>
        </w:rPr>
        <w:t xml:space="preserve">The Afrikaanse Taal-Museum and </w:t>
      </w:r>
      <w:r w:rsidR="0018755E" w:rsidRPr="0018755E">
        <w:rPr>
          <w:rFonts w:ascii="Times New Roman" w:hAnsi="Times New Roman"/>
          <w:color w:val="auto"/>
          <w:spacing w:val="0"/>
          <w:sz w:val="24"/>
          <w:szCs w:val="24"/>
          <w:lang w:val="en-US"/>
        </w:rPr>
        <w:t>Monument</w:t>
      </w:r>
    </w:p>
    <w:p w14:paraId="19CE45CA" w14:textId="77777777" w:rsidR="007556E8" w:rsidRPr="0018755E" w:rsidRDefault="007556E8" w:rsidP="00A547BB">
      <w:pPr>
        <w:pStyle w:val="ListParagraph"/>
        <w:numPr>
          <w:ilvl w:val="0"/>
          <w:numId w:val="44"/>
        </w:numPr>
        <w:spacing w:line="360" w:lineRule="auto"/>
        <w:jc w:val="both"/>
        <w:rPr>
          <w:rFonts w:ascii="Times New Roman" w:hAnsi="Times New Roman"/>
          <w:color w:val="auto"/>
          <w:spacing w:val="0"/>
          <w:sz w:val="24"/>
          <w:szCs w:val="24"/>
          <w:lang w:val="en-US"/>
        </w:rPr>
      </w:pPr>
      <w:r w:rsidRPr="0018755E">
        <w:rPr>
          <w:rFonts w:ascii="Times New Roman" w:hAnsi="Times New Roman"/>
          <w:color w:val="auto"/>
          <w:spacing w:val="0"/>
          <w:sz w:val="24"/>
          <w:szCs w:val="24"/>
          <w:lang w:val="en-US"/>
        </w:rPr>
        <w:t>Iziko Museums of South Africa</w:t>
      </w:r>
    </w:p>
    <w:p w14:paraId="19581507" w14:textId="77777777" w:rsidR="007556E8" w:rsidRPr="0018755E" w:rsidRDefault="007556E8" w:rsidP="00A547BB">
      <w:pPr>
        <w:pStyle w:val="ListParagraph"/>
        <w:numPr>
          <w:ilvl w:val="0"/>
          <w:numId w:val="44"/>
        </w:numPr>
        <w:spacing w:line="360" w:lineRule="auto"/>
        <w:jc w:val="both"/>
        <w:rPr>
          <w:rFonts w:ascii="Times New Roman" w:hAnsi="Times New Roman"/>
          <w:color w:val="auto"/>
          <w:spacing w:val="0"/>
          <w:sz w:val="24"/>
          <w:szCs w:val="24"/>
          <w:lang w:val="en-US"/>
        </w:rPr>
      </w:pPr>
      <w:r w:rsidRPr="0018755E">
        <w:rPr>
          <w:rFonts w:ascii="Times New Roman" w:hAnsi="Times New Roman"/>
          <w:color w:val="auto"/>
          <w:spacing w:val="0"/>
          <w:sz w:val="24"/>
          <w:szCs w:val="24"/>
          <w:lang w:val="en-US"/>
        </w:rPr>
        <w:lastRenderedPageBreak/>
        <w:t>National English Literary Museum</w:t>
      </w:r>
    </w:p>
    <w:p w14:paraId="632B5B53" w14:textId="77777777" w:rsidR="007556E8" w:rsidRPr="0018755E" w:rsidRDefault="007556E8" w:rsidP="00A547BB">
      <w:pPr>
        <w:pStyle w:val="ListParagraph"/>
        <w:numPr>
          <w:ilvl w:val="0"/>
          <w:numId w:val="44"/>
        </w:numPr>
        <w:spacing w:line="360" w:lineRule="auto"/>
        <w:jc w:val="both"/>
        <w:rPr>
          <w:rFonts w:ascii="Times New Roman" w:hAnsi="Times New Roman"/>
          <w:color w:val="auto"/>
          <w:spacing w:val="0"/>
          <w:sz w:val="24"/>
          <w:szCs w:val="24"/>
          <w:lang w:val="en-US"/>
        </w:rPr>
      </w:pPr>
      <w:r w:rsidRPr="0018755E">
        <w:rPr>
          <w:rFonts w:ascii="Times New Roman" w:hAnsi="Times New Roman"/>
          <w:color w:val="auto"/>
          <w:spacing w:val="0"/>
          <w:sz w:val="24"/>
          <w:szCs w:val="24"/>
          <w:lang w:val="en-US"/>
        </w:rPr>
        <w:t>KwaZulu-Natal Museum</w:t>
      </w:r>
    </w:p>
    <w:p w14:paraId="115B5852" w14:textId="77777777" w:rsidR="007556E8" w:rsidRPr="0018755E" w:rsidRDefault="007556E8" w:rsidP="00A547BB">
      <w:pPr>
        <w:pStyle w:val="ListParagraph"/>
        <w:numPr>
          <w:ilvl w:val="0"/>
          <w:numId w:val="44"/>
        </w:numPr>
        <w:spacing w:line="360" w:lineRule="auto"/>
        <w:jc w:val="both"/>
        <w:rPr>
          <w:rFonts w:ascii="Times New Roman" w:hAnsi="Times New Roman"/>
          <w:color w:val="auto"/>
          <w:spacing w:val="0"/>
          <w:sz w:val="24"/>
          <w:szCs w:val="24"/>
          <w:lang w:val="en-US"/>
        </w:rPr>
      </w:pPr>
      <w:r w:rsidRPr="0018755E">
        <w:rPr>
          <w:rFonts w:ascii="Times New Roman" w:hAnsi="Times New Roman"/>
          <w:color w:val="auto"/>
          <w:spacing w:val="0"/>
          <w:sz w:val="24"/>
          <w:szCs w:val="24"/>
          <w:lang w:val="en-US"/>
        </w:rPr>
        <w:t>Msunduzi/Voortrekker and Ncome Museums</w:t>
      </w:r>
    </w:p>
    <w:p w14:paraId="7857FB1B" w14:textId="77777777" w:rsidR="007556E8" w:rsidRPr="0018755E" w:rsidRDefault="007556E8" w:rsidP="00A547BB">
      <w:pPr>
        <w:pStyle w:val="ListParagraph"/>
        <w:numPr>
          <w:ilvl w:val="0"/>
          <w:numId w:val="44"/>
        </w:numPr>
        <w:spacing w:line="360" w:lineRule="auto"/>
        <w:jc w:val="both"/>
        <w:rPr>
          <w:rFonts w:ascii="Times New Roman" w:hAnsi="Times New Roman"/>
          <w:color w:val="auto"/>
          <w:spacing w:val="0"/>
          <w:sz w:val="24"/>
          <w:szCs w:val="24"/>
          <w:lang w:val="en-US"/>
        </w:rPr>
      </w:pPr>
      <w:r w:rsidRPr="0018755E">
        <w:rPr>
          <w:rFonts w:ascii="Times New Roman" w:hAnsi="Times New Roman"/>
          <w:color w:val="auto"/>
          <w:spacing w:val="0"/>
          <w:sz w:val="24"/>
          <w:szCs w:val="24"/>
          <w:lang w:val="en-US"/>
        </w:rPr>
        <w:t>National Museum Bloemfontein</w:t>
      </w:r>
    </w:p>
    <w:p w14:paraId="62493949" w14:textId="77777777" w:rsidR="007556E8" w:rsidRPr="0018755E" w:rsidRDefault="007556E8" w:rsidP="00A547BB">
      <w:pPr>
        <w:pStyle w:val="ListParagraph"/>
        <w:numPr>
          <w:ilvl w:val="0"/>
          <w:numId w:val="44"/>
        </w:numPr>
        <w:spacing w:line="360" w:lineRule="auto"/>
        <w:jc w:val="both"/>
        <w:rPr>
          <w:rFonts w:ascii="Times New Roman" w:hAnsi="Times New Roman"/>
          <w:color w:val="auto"/>
          <w:spacing w:val="0"/>
          <w:sz w:val="24"/>
          <w:szCs w:val="24"/>
          <w:lang w:val="en-US"/>
        </w:rPr>
      </w:pPr>
      <w:r w:rsidRPr="0018755E">
        <w:rPr>
          <w:rFonts w:ascii="Times New Roman" w:hAnsi="Times New Roman"/>
          <w:color w:val="auto"/>
          <w:spacing w:val="0"/>
          <w:sz w:val="24"/>
          <w:szCs w:val="24"/>
          <w:lang w:val="en-US"/>
        </w:rPr>
        <w:t>Ditsong Museums of South Africa</w:t>
      </w:r>
    </w:p>
    <w:p w14:paraId="2E2796BD" w14:textId="77777777" w:rsidR="007556E8" w:rsidRPr="0018755E" w:rsidRDefault="007556E8" w:rsidP="00A547BB">
      <w:pPr>
        <w:pStyle w:val="ListParagraph"/>
        <w:numPr>
          <w:ilvl w:val="0"/>
          <w:numId w:val="44"/>
        </w:numPr>
        <w:spacing w:line="360" w:lineRule="auto"/>
        <w:jc w:val="both"/>
        <w:rPr>
          <w:rFonts w:ascii="Times New Roman" w:hAnsi="Times New Roman"/>
          <w:color w:val="auto"/>
          <w:spacing w:val="0"/>
          <w:sz w:val="24"/>
          <w:szCs w:val="24"/>
          <w:lang w:val="en-US"/>
        </w:rPr>
      </w:pPr>
      <w:r w:rsidRPr="0018755E">
        <w:rPr>
          <w:rFonts w:ascii="Times New Roman" w:hAnsi="Times New Roman"/>
          <w:color w:val="auto"/>
          <w:spacing w:val="0"/>
          <w:sz w:val="24"/>
          <w:szCs w:val="24"/>
          <w:lang w:val="en-US"/>
        </w:rPr>
        <w:t>Robben Island Museum</w:t>
      </w:r>
    </w:p>
    <w:p w14:paraId="3FCE95BF" w14:textId="77777777" w:rsidR="007556E8" w:rsidRPr="0018755E" w:rsidRDefault="007556E8" w:rsidP="00A547BB">
      <w:pPr>
        <w:pStyle w:val="ListParagraph"/>
        <w:numPr>
          <w:ilvl w:val="0"/>
          <w:numId w:val="44"/>
        </w:numPr>
        <w:spacing w:line="360" w:lineRule="auto"/>
        <w:jc w:val="both"/>
        <w:rPr>
          <w:rFonts w:ascii="Times New Roman" w:hAnsi="Times New Roman"/>
          <w:color w:val="auto"/>
          <w:spacing w:val="0"/>
          <w:sz w:val="24"/>
          <w:szCs w:val="24"/>
          <w:lang w:val="en-US"/>
        </w:rPr>
      </w:pPr>
      <w:r w:rsidRPr="0018755E">
        <w:rPr>
          <w:rFonts w:ascii="Times New Roman" w:hAnsi="Times New Roman"/>
          <w:color w:val="auto"/>
          <w:spacing w:val="0"/>
          <w:sz w:val="24"/>
          <w:szCs w:val="24"/>
          <w:lang w:val="en-US"/>
        </w:rPr>
        <w:t>War Museum of the Boer Republics</w:t>
      </w:r>
    </w:p>
    <w:p w14:paraId="735385FE" w14:textId="77777777" w:rsidR="007556E8" w:rsidRPr="0018755E" w:rsidRDefault="007556E8" w:rsidP="00A547BB">
      <w:pPr>
        <w:pStyle w:val="ListParagraph"/>
        <w:numPr>
          <w:ilvl w:val="0"/>
          <w:numId w:val="44"/>
        </w:numPr>
        <w:spacing w:line="360" w:lineRule="auto"/>
        <w:jc w:val="both"/>
        <w:rPr>
          <w:rFonts w:ascii="Times New Roman" w:hAnsi="Times New Roman"/>
          <w:color w:val="auto"/>
          <w:spacing w:val="0"/>
          <w:sz w:val="24"/>
          <w:szCs w:val="24"/>
          <w:lang w:val="en-US"/>
        </w:rPr>
      </w:pPr>
      <w:r w:rsidRPr="0018755E">
        <w:rPr>
          <w:rFonts w:ascii="Times New Roman" w:hAnsi="Times New Roman"/>
          <w:color w:val="auto"/>
          <w:spacing w:val="0"/>
          <w:sz w:val="24"/>
          <w:szCs w:val="24"/>
          <w:lang w:val="en-US"/>
        </w:rPr>
        <w:t>William Humphreys Art Gallery</w:t>
      </w:r>
    </w:p>
    <w:p w14:paraId="664857A8" w14:textId="77777777" w:rsidR="007556E8" w:rsidRPr="0018755E" w:rsidRDefault="007556E8" w:rsidP="00A547BB">
      <w:pPr>
        <w:pStyle w:val="ListParagraph"/>
        <w:numPr>
          <w:ilvl w:val="0"/>
          <w:numId w:val="44"/>
        </w:numPr>
        <w:spacing w:line="360" w:lineRule="auto"/>
        <w:jc w:val="both"/>
        <w:rPr>
          <w:rFonts w:ascii="Times New Roman" w:hAnsi="Times New Roman"/>
          <w:color w:val="auto"/>
          <w:spacing w:val="0"/>
          <w:sz w:val="24"/>
          <w:szCs w:val="24"/>
          <w:lang w:val="en-US"/>
        </w:rPr>
      </w:pPr>
      <w:r w:rsidRPr="0018755E">
        <w:rPr>
          <w:rFonts w:ascii="Times New Roman" w:hAnsi="Times New Roman"/>
          <w:color w:val="auto"/>
          <w:spacing w:val="0"/>
          <w:sz w:val="24"/>
          <w:szCs w:val="24"/>
          <w:lang w:val="en-US"/>
        </w:rPr>
        <w:t>Freedom Park</w:t>
      </w:r>
    </w:p>
    <w:p w14:paraId="0057C7F0" w14:textId="77777777" w:rsidR="007556E8" w:rsidRPr="0018755E" w:rsidRDefault="007556E8" w:rsidP="00A547BB">
      <w:pPr>
        <w:pStyle w:val="ListParagraph"/>
        <w:numPr>
          <w:ilvl w:val="0"/>
          <w:numId w:val="44"/>
        </w:numPr>
        <w:spacing w:line="360" w:lineRule="auto"/>
        <w:jc w:val="both"/>
        <w:rPr>
          <w:rFonts w:ascii="Times New Roman" w:hAnsi="Times New Roman"/>
          <w:color w:val="auto"/>
          <w:spacing w:val="0"/>
          <w:sz w:val="24"/>
          <w:szCs w:val="24"/>
          <w:lang w:val="en-US"/>
        </w:rPr>
      </w:pPr>
      <w:r w:rsidRPr="0018755E">
        <w:rPr>
          <w:rFonts w:ascii="Times New Roman" w:hAnsi="Times New Roman"/>
          <w:color w:val="auto"/>
          <w:spacing w:val="0"/>
          <w:sz w:val="24"/>
          <w:szCs w:val="24"/>
          <w:lang w:val="en-US"/>
        </w:rPr>
        <w:t>National Heritage Council</w:t>
      </w:r>
    </w:p>
    <w:p w14:paraId="429DF7FC" w14:textId="77777777" w:rsidR="007556E8" w:rsidRPr="0018755E" w:rsidRDefault="007556E8" w:rsidP="00A547BB">
      <w:pPr>
        <w:pStyle w:val="ListParagraph"/>
        <w:numPr>
          <w:ilvl w:val="0"/>
          <w:numId w:val="44"/>
        </w:numPr>
        <w:spacing w:line="360" w:lineRule="auto"/>
        <w:jc w:val="both"/>
        <w:rPr>
          <w:rFonts w:ascii="Times New Roman" w:hAnsi="Times New Roman"/>
          <w:color w:val="auto"/>
          <w:spacing w:val="0"/>
          <w:sz w:val="24"/>
          <w:szCs w:val="24"/>
          <w:lang w:val="en-US"/>
        </w:rPr>
      </w:pPr>
      <w:r w:rsidRPr="0018755E">
        <w:rPr>
          <w:rFonts w:ascii="Times New Roman" w:hAnsi="Times New Roman"/>
          <w:color w:val="auto"/>
          <w:spacing w:val="0"/>
          <w:sz w:val="24"/>
          <w:szCs w:val="24"/>
          <w:lang w:val="en-US"/>
        </w:rPr>
        <w:t>National Film and Video Foundation</w:t>
      </w:r>
      <w:r w:rsidR="00BD0620" w:rsidRPr="0018755E">
        <w:rPr>
          <w:rFonts w:ascii="Times New Roman" w:hAnsi="Times New Roman"/>
          <w:color w:val="auto"/>
          <w:spacing w:val="0"/>
          <w:sz w:val="24"/>
          <w:szCs w:val="24"/>
          <w:lang w:val="en-US"/>
        </w:rPr>
        <w:t xml:space="preserve"> (NFVF)</w:t>
      </w:r>
    </w:p>
    <w:p w14:paraId="413F686C" w14:textId="77777777" w:rsidR="007556E8" w:rsidRPr="0018755E" w:rsidRDefault="007556E8" w:rsidP="00A547BB">
      <w:pPr>
        <w:pStyle w:val="ListParagraph"/>
        <w:numPr>
          <w:ilvl w:val="0"/>
          <w:numId w:val="44"/>
        </w:numPr>
        <w:spacing w:line="360" w:lineRule="auto"/>
        <w:jc w:val="both"/>
        <w:rPr>
          <w:rFonts w:ascii="Times New Roman" w:hAnsi="Times New Roman"/>
          <w:color w:val="auto"/>
          <w:spacing w:val="0"/>
          <w:sz w:val="24"/>
          <w:szCs w:val="24"/>
          <w:lang w:val="en-US"/>
        </w:rPr>
      </w:pPr>
      <w:r w:rsidRPr="0018755E">
        <w:rPr>
          <w:rFonts w:ascii="Times New Roman" w:hAnsi="Times New Roman"/>
          <w:color w:val="auto"/>
          <w:spacing w:val="0"/>
          <w:sz w:val="24"/>
          <w:szCs w:val="24"/>
          <w:lang w:val="en-US"/>
        </w:rPr>
        <w:t>National Arts Council</w:t>
      </w:r>
    </w:p>
    <w:p w14:paraId="3895D259" w14:textId="77777777" w:rsidR="007556E8" w:rsidRPr="0018755E" w:rsidRDefault="007556E8" w:rsidP="00A547BB">
      <w:pPr>
        <w:pStyle w:val="ListParagraph"/>
        <w:numPr>
          <w:ilvl w:val="0"/>
          <w:numId w:val="44"/>
        </w:numPr>
        <w:spacing w:line="360" w:lineRule="auto"/>
        <w:jc w:val="both"/>
        <w:rPr>
          <w:rFonts w:ascii="Times New Roman" w:hAnsi="Times New Roman"/>
          <w:color w:val="auto"/>
          <w:spacing w:val="0"/>
          <w:sz w:val="24"/>
          <w:szCs w:val="24"/>
          <w:lang w:val="en-US"/>
        </w:rPr>
      </w:pPr>
      <w:r w:rsidRPr="0018755E">
        <w:rPr>
          <w:rFonts w:ascii="Times New Roman" w:hAnsi="Times New Roman"/>
          <w:color w:val="auto"/>
          <w:spacing w:val="0"/>
          <w:sz w:val="24"/>
          <w:szCs w:val="24"/>
          <w:lang w:val="en-US"/>
        </w:rPr>
        <w:t>South African Heritage Resources Agency</w:t>
      </w:r>
    </w:p>
    <w:p w14:paraId="66B37560" w14:textId="77777777" w:rsidR="007556E8" w:rsidRPr="0018755E" w:rsidRDefault="007556E8" w:rsidP="00A547BB">
      <w:pPr>
        <w:pStyle w:val="ListParagraph"/>
        <w:numPr>
          <w:ilvl w:val="0"/>
          <w:numId w:val="44"/>
        </w:numPr>
        <w:spacing w:line="360" w:lineRule="auto"/>
        <w:jc w:val="both"/>
        <w:rPr>
          <w:rFonts w:ascii="Times New Roman" w:hAnsi="Times New Roman"/>
          <w:color w:val="auto"/>
          <w:spacing w:val="0"/>
          <w:sz w:val="24"/>
          <w:szCs w:val="24"/>
          <w:lang w:val="en-US"/>
        </w:rPr>
      </w:pPr>
      <w:r w:rsidRPr="0018755E">
        <w:rPr>
          <w:rFonts w:ascii="Times New Roman" w:hAnsi="Times New Roman"/>
          <w:color w:val="auto"/>
          <w:spacing w:val="0"/>
          <w:sz w:val="24"/>
          <w:szCs w:val="24"/>
          <w:lang w:val="en-US"/>
        </w:rPr>
        <w:t>South African Library for the Blind</w:t>
      </w:r>
    </w:p>
    <w:p w14:paraId="0DAAC3F0" w14:textId="77777777" w:rsidR="007556E8" w:rsidRPr="0018755E" w:rsidRDefault="007556E8" w:rsidP="00A547BB">
      <w:pPr>
        <w:pStyle w:val="ListParagraph"/>
        <w:numPr>
          <w:ilvl w:val="0"/>
          <w:numId w:val="44"/>
        </w:numPr>
        <w:spacing w:line="360" w:lineRule="auto"/>
        <w:jc w:val="both"/>
        <w:rPr>
          <w:rFonts w:ascii="Times New Roman" w:hAnsi="Times New Roman"/>
          <w:color w:val="auto"/>
          <w:spacing w:val="0"/>
          <w:sz w:val="24"/>
          <w:szCs w:val="24"/>
          <w:lang w:val="en-US"/>
        </w:rPr>
      </w:pPr>
      <w:r w:rsidRPr="0018755E">
        <w:rPr>
          <w:rFonts w:ascii="Times New Roman" w:hAnsi="Times New Roman"/>
          <w:color w:val="auto"/>
          <w:spacing w:val="0"/>
          <w:sz w:val="24"/>
          <w:szCs w:val="24"/>
          <w:lang w:val="en-US"/>
        </w:rPr>
        <w:t>National Library of South Africa</w:t>
      </w:r>
    </w:p>
    <w:p w14:paraId="6B2B7C6A" w14:textId="77777777" w:rsidR="007556E8" w:rsidRPr="0018755E" w:rsidRDefault="007556E8" w:rsidP="00A547BB">
      <w:pPr>
        <w:pStyle w:val="ListParagraph"/>
        <w:numPr>
          <w:ilvl w:val="0"/>
          <w:numId w:val="44"/>
        </w:numPr>
        <w:spacing w:line="360" w:lineRule="auto"/>
        <w:jc w:val="both"/>
        <w:rPr>
          <w:rFonts w:ascii="Times New Roman" w:hAnsi="Times New Roman"/>
          <w:color w:val="auto"/>
          <w:spacing w:val="0"/>
          <w:sz w:val="24"/>
          <w:szCs w:val="24"/>
          <w:lang w:val="en-US"/>
        </w:rPr>
      </w:pPr>
      <w:r w:rsidRPr="0018755E">
        <w:rPr>
          <w:rFonts w:ascii="Times New Roman" w:hAnsi="Times New Roman"/>
          <w:color w:val="auto"/>
          <w:spacing w:val="0"/>
          <w:sz w:val="24"/>
          <w:szCs w:val="24"/>
          <w:lang w:val="en-US"/>
        </w:rPr>
        <w:t>Artscape</w:t>
      </w:r>
    </w:p>
    <w:p w14:paraId="7E50F17B" w14:textId="77777777" w:rsidR="007556E8" w:rsidRPr="0018755E" w:rsidRDefault="007556E8" w:rsidP="00A547BB">
      <w:pPr>
        <w:pStyle w:val="ListParagraph"/>
        <w:numPr>
          <w:ilvl w:val="0"/>
          <w:numId w:val="44"/>
        </w:numPr>
        <w:spacing w:line="360" w:lineRule="auto"/>
        <w:jc w:val="both"/>
        <w:rPr>
          <w:rFonts w:ascii="Times New Roman" w:hAnsi="Times New Roman"/>
          <w:color w:val="auto"/>
          <w:spacing w:val="0"/>
          <w:sz w:val="24"/>
          <w:szCs w:val="24"/>
          <w:lang w:val="en-US"/>
        </w:rPr>
      </w:pPr>
      <w:r w:rsidRPr="0018755E">
        <w:rPr>
          <w:rFonts w:ascii="Times New Roman" w:hAnsi="Times New Roman"/>
          <w:color w:val="auto"/>
          <w:spacing w:val="0"/>
          <w:sz w:val="24"/>
          <w:szCs w:val="24"/>
          <w:lang w:val="en-US"/>
        </w:rPr>
        <w:t>Performing Arts Council of the Free State</w:t>
      </w:r>
      <w:r w:rsidR="00316A8D" w:rsidRPr="0018755E">
        <w:rPr>
          <w:rFonts w:ascii="Times New Roman" w:hAnsi="Times New Roman"/>
          <w:color w:val="auto"/>
          <w:spacing w:val="0"/>
          <w:sz w:val="24"/>
          <w:szCs w:val="24"/>
          <w:lang w:val="en-US"/>
        </w:rPr>
        <w:t xml:space="preserve"> (PACOFS)</w:t>
      </w:r>
    </w:p>
    <w:p w14:paraId="024CE902" w14:textId="77777777" w:rsidR="00376FFF" w:rsidRPr="0018755E" w:rsidRDefault="00376FFF" w:rsidP="00A547BB">
      <w:pPr>
        <w:pStyle w:val="ListParagraph"/>
        <w:numPr>
          <w:ilvl w:val="0"/>
          <w:numId w:val="44"/>
        </w:numPr>
        <w:spacing w:line="360" w:lineRule="auto"/>
        <w:jc w:val="both"/>
        <w:rPr>
          <w:rFonts w:ascii="Times New Roman" w:hAnsi="Times New Roman"/>
          <w:color w:val="auto"/>
          <w:spacing w:val="0"/>
          <w:sz w:val="24"/>
          <w:szCs w:val="24"/>
          <w:lang w:val="en-US"/>
        </w:rPr>
      </w:pPr>
      <w:r w:rsidRPr="0018755E">
        <w:rPr>
          <w:rFonts w:ascii="Times New Roman" w:hAnsi="Times New Roman"/>
          <w:color w:val="auto"/>
          <w:spacing w:val="0"/>
          <w:sz w:val="24"/>
          <w:szCs w:val="24"/>
          <w:lang w:val="en-US"/>
        </w:rPr>
        <w:t>South African State Theatre</w:t>
      </w:r>
    </w:p>
    <w:p w14:paraId="5B93A5CD" w14:textId="77777777" w:rsidR="007556E8" w:rsidRPr="0018755E" w:rsidRDefault="007556E8" w:rsidP="00A547BB">
      <w:pPr>
        <w:pStyle w:val="ListParagraph"/>
        <w:numPr>
          <w:ilvl w:val="0"/>
          <w:numId w:val="44"/>
        </w:numPr>
        <w:spacing w:line="360" w:lineRule="auto"/>
        <w:jc w:val="both"/>
        <w:rPr>
          <w:rFonts w:ascii="Times New Roman" w:hAnsi="Times New Roman"/>
          <w:color w:val="auto"/>
          <w:spacing w:val="0"/>
          <w:sz w:val="24"/>
          <w:szCs w:val="24"/>
          <w:lang w:val="en-US"/>
        </w:rPr>
      </w:pPr>
      <w:r w:rsidRPr="0018755E">
        <w:rPr>
          <w:rFonts w:ascii="Times New Roman" w:hAnsi="Times New Roman"/>
          <w:color w:val="auto"/>
          <w:spacing w:val="0"/>
          <w:sz w:val="24"/>
          <w:szCs w:val="24"/>
          <w:lang w:val="en-US"/>
        </w:rPr>
        <w:t>Playhouse Company</w:t>
      </w:r>
    </w:p>
    <w:p w14:paraId="4A4C8C88" w14:textId="77777777" w:rsidR="007556E8" w:rsidRPr="0018755E" w:rsidRDefault="007556E8" w:rsidP="00A547BB">
      <w:pPr>
        <w:pStyle w:val="ListParagraph"/>
        <w:numPr>
          <w:ilvl w:val="0"/>
          <w:numId w:val="44"/>
        </w:numPr>
        <w:spacing w:line="360" w:lineRule="auto"/>
        <w:jc w:val="both"/>
        <w:rPr>
          <w:rFonts w:ascii="Times New Roman" w:hAnsi="Times New Roman"/>
          <w:color w:val="auto"/>
          <w:spacing w:val="0"/>
          <w:sz w:val="24"/>
          <w:szCs w:val="24"/>
          <w:lang w:val="en-US"/>
        </w:rPr>
      </w:pPr>
      <w:r w:rsidRPr="0018755E">
        <w:rPr>
          <w:rFonts w:ascii="Times New Roman" w:hAnsi="Times New Roman"/>
          <w:color w:val="auto"/>
          <w:spacing w:val="0"/>
          <w:sz w:val="24"/>
          <w:szCs w:val="24"/>
          <w:lang w:val="en-US"/>
        </w:rPr>
        <w:t>Luthuli Museum</w:t>
      </w:r>
    </w:p>
    <w:p w14:paraId="75B80CD4" w14:textId="77777777" w:rsidR="007556E8" w:rsidRPr="0018755E" w:rsidRDefault="007556E8" w:rsidP="00A547BB">
      <w:pPr>
        <w:pStyle w:val="ListParagraph"/>
        <w:numPr>
          <w:ilvl w:val="0"/>
          <w:numId w:val="44"/>
        </w:numPr>
        <w:spacing w:line="360" w:lineRule="auto"/>
        <w:jc w:val="both"/>
        <w:rPr>
          <w:rFonts w:ascii="Times New Roman" w:hAnsi="Times New Roman"/>
          <w:color w:val="auto"/>
          <w:spacing w:val="0"/>
          <w:sz w:val="24"/>
          <w:szCs w:val="24"/>
          <w:lang w:val="en-US"/>
        </w:rPr>
      </w:pPr>
      <w:r w:rsidRPr="0018755E">
        <w:rPr>
          <w:rFonts w:ascii="Times New Roman" w:hAnsi="Times New Roman"/>
          <w:color w:val="auto"/>
          <w:spacing w:val="0"/>
          <w:sz w:val="24"/>
          <w:szCs w:val="24"/>
          <w:lang w:val="en-US"/>
        </w:rPr>
        <w:t>Nelson Mandela Museum</w:t>
      </w:r>
    </w:p>
    <w:p w14:paraId="30D10F89" w14:textId="77777777" w:rsidR="007556E8" w:rsidRPr="0018755E" w:rsidRDefault="007556E8" w:rsidP="00A547BB">
      <w:pPr>
        <w:pStyle w:val="ListParagraph"/>
        <w:numPr>
          <w:ilvl w:val="0"/>
          <w:numId w:val="44"/>
        </w:numPr>
        <w:spacing w:line="360" w:lineRule="auto"/>
        <w:jc w:val="both"/>
        <w:rPr>
          <w:rFonts w:ascii="Times New Roman" w:hAnsi="Times New Roman"/>
          <w:color w:val="auto"/>
          <w:spacing w:val="0"/>
          <w:sz w:val="24"/>
          <w:szCs w:val="24"/>
          <w:lang w:val="en-US"/>
        </w:rPr>
      </w:pPr>
      <w:r w:rsidRPr="0018755E">
        <w:rPr>
          <w:rFonts w:ascii="Times New Roman" w:hAnsi="Times New Roman"/>
          <w:color w:val="auto"/>
          <w:spacing w:val="0"/>
          <w:sz w:val="24"/>
          <w:szCs w:val="24"/>
          <w:lang w:val="en-US"/>
        </w:rPr>
        <w:t>Market Theatre</w:t>
      </w:r>
    </w:p>
    <w:p w14:paraId="5F4DD19C" w14:textId="77777777" w:rsidR="007556E8" w:rsidRPr="0018755E" w:rsidRDefault="007556E8" w:rsidP="00A547BB">
      <w:pPr>
        <w:pStyle w:val="ListParagraph"/>
        <w:numPr>
          <w:ilvl w:val="0"/>
          <w:numId w:val="44"/>
        </w:numPr>
        <w:spacing w:line="360" w:lineRule="auto"/>
        <w:jc w:val="both"/>
        <w:rPr>
          <w:rFonts w:ascii="Times New Roman" w:hAnsi="Times New Roman"/>
          <w:color w:val="auto"/>
          <w:spacing w:val="0"/>
          <w:sz w:val="24"/>
          <w:szCs w:val="24"/>
          <w:lang w:val="en-US"/>
        </w:rPr>
      </w:pPr>
      <w:r w:rsidRPr="0018755E">
        <w:rPr>
          <w:rFonts w:ascii="Times New Roman" w:hAnsi="Times New Roman"/>
          <w:color w:val="auto"/>
          <w:spacing w:val="0"/>
          <w:sz w:val="24"/>
          <w:szCs w:val="24"/>
          <w:lang w:val="en-US"/>
        </w:rPr>
        <w:t xml:space="preserve">Pan South African Language Board (PanSALB) </w:t>
      </w:r>
    </w:p>
    <w:p w14:paraId="476F3B84" w14:textId="77777777" w:rsidR="00E565AB" w:rsidRDefault="00E565AB" w:rsidP="00A547BB">
      <w:pPr>
        <w:spacing w:line="360" w:lineRule="auto"/>
        <w:ind w:left="720" w:hanging="720"/>
        <w:jc w:val="both"/>
        <w:rPr>
          <w:rFonts w:ascii="Times New Roman" w:hAnsi="Times New Roman"/>
          <w:color w:val="FF0000"/>
          <w:spacing w:val="0"/>
          <w:sz w:val="24"/>
          <w:szCs w:val="24"/>
          <w:lang w:val="en-US"/>
        </w:rPr>
      </w:pPr>
    </w:p>
    <w:p w14:paraId="114B1BBC" w14:textId="77777777" w:rsidR="00A547BB" w:rsidRPr="0018755E" w:rsidRDefault="00A547BB" w:rsidP="00A547BB">
      <w:pPr>
        <w:spacing w:line="360" w:lineRule="auto"/>
        <w:ind w:left="720" w:hanging="720"/>
        <w:jc w:val="both"/>
        <w:rPr>
          <w:rFonts w:ascii="Times New Roman" w:hAnsi="Times New Roman"/>
          <w:color w:val="FF0000"/>
          <w:spacing w:val="0"/>
          <w:sz w:val="24"/>
          <w:szCs w:val="24"/>
          <w:lang w:val="en-US"/>
        </w:rPr>
      </w:pPr>
    </w:p>
    <w:p w14:paraId="0973BA8A" w14:textId="77777777" w:rsidR="00D16F67" w:rsidRPr="0018755E" w:rsidRDefault="0090129F" w:rsidP="00A547BB">
      <w:pPr>
        <w:spacing w:line="360" w:lineRule="auto"/>
        <w:jc w:val="both"/>
        <w:rPr>
          <w:rFonts w:ascii="Times New Roman" w:hAnsi="Times New Roman"/>
          <w:b/>
          <w:spacing w:val="0"/>
          <w:sz w:val="24"/>
          <w:szCs w:val="24"/>
          <w:lang w:val="en-US"/>
        </w:rPr>
      </w:pPr>
      <w:r w:rsidRPr="0018755E">
        <w:rPr>
          <w:rFonts w:ascii="Times New Roman" w:hAnsi="Times New Roman"/>
          <w:b/>
          <w:spacing w:val="0"/>
          <w:sz w:val="24"/>
          <w:szCs w:val="24"/>
          <w:lang w:val="en-US"/>
        </w:rPr>
        <w:t>4.</w:t>
      </w:r>
      <w:r w:rsidRPr="0018755E">
        <w:rPr>
          <w:rFonts w:ascii="Times New Roman" w:hAnsi="Times New Roman"/>
          <w:b/>
          <w:spacing w:val="0"/>
          <w:sz w:val="24"/>
          <w:szCs w:val="24"/>
          <w:lang w:val="en-US"/>
        </w:rPr>
        <w:tab/>
      </w:r>
      <w:r w:rsidR="00E565AB" w:rsidRPr="0018755E">
        <w:rPr>
          <w:rFonts w:ascii="Times New Roman" w:hAnsi="Times New Roman"/>
          <w:b/>
          <w:spacing w:val="0"/>
          <w:sz w:val="24"/>
          <w:szCs w:val="24"/>
          <w:lang w:val="en-US"/>
        </w:rPr>
        <w:t>O</w:t>
      </w:r>
      <w:r w:rsidR="00D16F67" w:rsidRPr="0018755E">
        <w:rPr>
          <w:rFonts w:ascii="Times New Roman" w:hAnsi="Times New Roman"/>
          <w:b/>
          <w:spacing w:val="0"/>
          <w:sz w:val="24"/>
          <w:szCs w:val="24"/>
          <w:lang w:val="en-US"/>
        </w:rPr>
        <w:t>verview of the 201</w:t>
      </w:r>
      <w:r w:rsidR="00881D8B">
        <w:rPr>
          <w:rFonts w:ascii="Times New Roman" w:hAnsi="Times New Roman"/>
          <w:b/>
          <w:spacing w:val="0"/>
          <w:sz w:val="24"/>
          <w:szCs w:val="24"/>
          <w:lang w:val="en-US"/>
        </w:rPr>
        <w:t>6</w:t>
      </w:r>
      <w:r w:rsidR="004C1D42" w:rsidRPr="0018755E">
        <w:rPr>
          <w:rFonts w:ascii="Times New Roman" w:hAnsi="Times New Roman"/>
          <w:b/>
          <w:spacing w:val="0"/>
          <w:sz w:val="24"/>
          <w:szCs w:val="24"/>
          <w:lang w:val="en-US"/>
        </w:rPr>
        <w:t>/1</w:t>
      </w:r>
      <w:r w:rsidR="00881D8B">
        <w:rPr>
          <w:rFonts w:ascii="Times New Roman" w:hAnsi="Times New Roman"/>
          <w:b/>
          <w:spacing w:val="0"/>
          <w:sz w:val="24"/>
          <w:szCs w:val="24"/>
          <w:lang w:val="en-US"/>
        </w:rPr>
        <w:t>7</w:t>
      </w:r>
      <w:r w:rsidR="008607BA" w:rsidRPr="0018755E">
        <w:rPr>
          <w:rFonts w:ascii="Times New Roman" w:hAnsi="Times New Roman"/>
          <w:b/>
          <w:spacing w:val="0"/>
          <w:sz w:val="24"/>
          <w:szCs w:val="24"/>
          <w:lang w:val="en-US"/>
        </w:rPr>
        <w:t xml:space="preserve"> </w:t>
      </w:r>
      <w:r w:rsidR="004C1D42" w:rsidRPr="0018755E">
        <w:rPr>
          <w:rFonts w:ascii="Times New Roman" w:hAnsi="Times New Roman"/>
          <w:b/>
          <w:spacing w:val="0"/>
          <w:sz w:val="24"/>
          <w:szCs w:val="24"/>
          <w:lang w:val="en-US"/>
        </w:rPr>
        <w:t>financial year</w:t>
      </w:r>
    </w:p>
    <w:p w14:paraId="37C7FF4C" w14:textId="77777777" w:rsidR="00CC0A77" w:rsidRPr="0018755E" w:rsidRDefault="00CC0A77" w:rsidP="00A547BB">
      <w:pPr>
        <w:spacing w:line="360" w:lineRule="auto"/>
        <w:jc w:val="both"/>
        <w:rPr>
          <w:rFonts w:ascii="Times New Roman" w:hAnsi="Times New Roman"/>
          <w:b/>
          <w:spacing w:val="0"/>
          <w:sz w:val="24"/>
          <w:szCs w:val="24"/>
          <w:lang w:val="en-US"/>
        </w:rPr>
      </w:pPr>
    </w:p>
    <w:p w14:paraId="0E99E52C"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lastRenderedPageBreak/>
        <w:t>The Department derives its mandate firstly from the Constitution of the Republic of South Africa and a number of key pieces of legislation which provide the primary legislative framework. This framework, and subsequently the Department’s mandate, has remained unchanged:</w:t>
      </w:r>
      <w:r w:rsidRPr="00B1373C">
        <w:rPr>
          <w:rFonts w:ascii="Times New Roman" w:hAnsi="Times New Roman"/>
          <w:spacing w:val="0"/>
          <w:sz w:val="24"/>
          <w:szCs w:val="22"/>
          <w:vertAlign w:val="superscript"/>
          <w:lang w:val="en-ZA"/>
        </w:rPr>
        <w:footnoteReference w:id="1"/>
      </w:r>
    </w:p>
    <w:p w14:paraId="40F9854D" w14:textId="77777777" w:rsidR="00B1373C" w:rsidRPr="00B1373C" w:rsidRDefault="00B1373C" w:rsidP="00B1373C">
      <w:pPr>
        <w:spacing w:line="360" w:lineRule="auto"/>
        <w:jc w:val="both"/>
        <w:rPr>
          <w:rFonts w:ascii="Times New Roman" w:hAnsi="Times New Roman"/>
          <w:spacing w:val="0"/>
          <w:sz w:val="24"/>
          <w:szCs w:val="22"/>
          <w:lang w:val="en-ZA"/>
        </w:rPr>
      </w:pPr>
    </w:p>
    <w:p w14:paraId="3F7BBD47" w14:textId="77777777" w:rsidR="00B1373C" w:rsidRPr="00B1373C" w:rsidRDefault="00B1373C" w:rsidP="00B1373C">
      <w:pPr>
        <w:numPr>
          <w:ilvl w:val="0"/>
          <w:numId w:val="45"/>
        </w:num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Preserve, develop, protect and promote the cultural, heritage and linguistic diversity and legacy of South Africa;</w:t>
      </w:r>
    </w:p>
    <w:p w14:paraId="091932A0" w14:textId="77777777" w:rsidR="00B1373C" w:rsidRPr="00B1373C" w:rsidRDefault="00B1373C" w:rsidP="00B1373C">
      <w:pPr>
        <w:numPr>
          <w:ilvl w:val="0"/>
          <w:numId w:val="45"/>
        </w:num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Lead nation building and social cohesion through societal transformation;</w:t>
      </w:r>
    </w:p>
    <w:p w14:paraId="26B7D1D5" w14:textId="77777777" w:rsidR="00B1373C" w:rsidRPr="00B1373C" w:rsidRDefault="00B1373C" w:rsidP="00B1373C">
      <w:pPr>
        <w:numPr>
          <w:ilvl w:val="0"/>
          <w:numId w:val="45"/>
        </w:num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Enhance archives and records management structures and systems and promote access to information;</w:t>
      </w:r>
      <w:r w:rsidR="00365A1F">
        <w:rPr>
          <w:rFonts w:ascii="Times New Roman" w:hAnsi="Times New Roman"/>
          <w:spacing w:val="0"/>
          <w:sz w:val="24"/>
          <w:szCs w:val="22"/>
          <w:lang w:val="en-ZA"/>
        </w:rPr>
        <w:t xml:space="preserve"> and</w:t>
      </w:r>
    </w:p>
    <w:p w14:paraId="74F9AA93" w14:textId="77777777" w:rsidR="00B1373C" w:rsidRPr="00B1373C" w:rsidRDefault="00B1373C" w:rsidP="00B1373C">
      <w:pPr>
        <w:numPr>
          <w:ilvl w:val="0"/>
          <w:numId w:val="45"/>
        </w:num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Provide leadership to the art and culture sector so as to accelerate its transformation.</w:t>
      </w:r>
    </w:p>
    <w:p w14:paraId="2911AD35" w14:textId="77777777" w:rsidR="00B1373C" w:rsidRPr="00B1373C" w:rsidRDefault="00B1373C" w:rsidP="00B1373C">
      <w:pPr>
        <w:spacing w:line="360" w:lineRule="auto"/>
        <w:jc w:val="both"/>
        <w:rPr>
          <w:rFonts w:ascii="Times New Roman" w:hAnsi="Times New Roman"/>
          <w:spacing w:val="0"/>
          <w:sz w:val="24"/>
          <w:szCs w:val="22"/>
          <w:lang w:val="en-ZA"/>
        </w:rPr>
      </w:pPr>
    </w:p>
    <w:p w14:paraId="262EA1FF"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In the 2016 State of the Nation Address (SONA), the President pronounced on the need to cut government spending and implement cost-cutting measures. As a result, the Department stated that it will have to adopt and implement strategies that seek to “do more with less” over the Medium Term Expenditure Framework (MTEF).</w:t>
      </w:r>
      <w:r w:rsidRPr="00B1373C">
        <w:rPr>
          <w:rFonts w:ascii="Times New Roman" w:hAnsi="Times New Roman"/>
          <w:spacing w:val="0"/>
          <w:sz w:val="24"/>
          <w:szCs w:val="22"/>
          <w:vertAlign w:val="superscript"/>
          <w:lang w:val="en-ZA"/>
        </w:rPr>
        <w:footnoteReference w:id="2"/>
      </w:r>
      <w:r w:rsidRPr="00B1373C">
        <w:rPr>
          <w:rFonts w:ascii="Times New Roman" w:hAnsi="Times New Roman"/>
          <w:spacing w:val="0"/>
          <w:sz w:val="24"/>
          <w:szCs w:val="22"/>
          <w:lang w:val="en-ZA"/>
        </w:rPr>
        <w:t xml:space="preserve"> </w:t>
      </w:r>
    </w:p>
    <w:p w14:paraId="66098202" w14:textId="77777777" w:rsidR="00B1373C" w:rsidRPr="00B1373C" w:rsidRDefault="00B1373C" w:rsidP="00B1373C">
      <w:pPr>
        <w:spacing w:line="360" w:lineRule="auto"/>
        <w:jc w:val="both"/>
        <w:rPr>
          <w:rFonts w:ascii="Times New Roman" w:hAnsi="Times New Roman"/>
          <w:spacing w:val="0"/>
          <w:sz w:val="24"/>
          <w:szCs w:val="22"/>
          <w:lang w:val="en-ZA"/>
        </w:rPr>
      </w:pPr>
    </w:p>
    <w:p w14:paraId="15CD86C8"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By mid-year, National Treasury noted that the Department was on track to meet its selected performance targets with the exception of the installation of flags and flagpoles at schools and the number of heritage bursaries awarded. For the latter, the Department expected to achieve this target by March 2017 after addressing the delay in signing memorandums of agreement with universities.</w:t>
      </w:r>
      <w:r w:rsidRPr="00B1373C">
        <w:rPr>
          <w:rFonts w:ascii="Times New Roman" w:hAnsi="Times New Roman"/>
          <w:spacing w:val="0"/>
          <w:sz w:val="24"/>
          <w:szCs w:val="22"/>
          <w:vertAlign w:val="superscript"/>
          <w:lang w:val="en-ZA"/>
        </w:rPr>
        <w:footnoteReference w:id="3"/>
      </w:r>
    </w:p>
    <w:p w14:paraId="08B86A65" w14:textId="77777777" w:rsidR="00B1373C" w:rsidRPr="00B1373C" w:rsidRDefault="00B1373C" w:rsidP="00B1373C">
      <w:pPr>
        <w:spacing w:line="360" w:lineRule="auto"/>
        <w:jc w:val="both"/>
        <w:rPr>
          <w:rFonts w:ascii="Times New Roman" w:hAnsi="Times New Roman"/>
          <w:spacing w:val="0"/>
          <w:sz w:val="24"/>
          <w:szCs w:val="22"/>
          <w:lang w:val="en-ZA"/>
        </w:rPr>
      </w:pPr>
    </w:p>
    <w:p w14:paraId="25D65FF6"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 xml:space="preserve">Since annual reports for national departments have not yet been tabled, information related to performance over the last financial year is extracted from in-year quarterly expenditure and financial reports. </w:t>
      </w:r>
      <w:proofErr w:type="gramStart"/>
      <w:r w:rsidRPr="00B1373C">
        <w:rPr>
          <w:rFonts w:ascii="Times New Roman" w:hAnsi="Times New Roman"/>
          <w:spacing w:val="0"/>
          <w:sz w:val="24"/>
          <w:szCs w:val="22"/>
          <w:lang w:val="en-ZA"/>
        </w:rPr>
        <w:t>The review of progress on the 2016/17 budget will therefore only focus on the first three quarters.</w:t>
      </w:r>
      <w:proofErr w:type="gramEnd"/>
    </w:p>
    <w:p w14:paraId="2C2C2DD8" w14:textId="77777777" w:rsidR="00B1373C" w:rsidRPr="00B1373C" w:rsidRDefault="00B1373C" w:rsidP="00B1373C">
      <w:pPr>
        <w:spacing w:line="360" w:lineRule="auto"/>
        <w:jc w:val="both"/>
        <w:rPr>
          <w:rFonts w:ascii="Times New Roman" w:hAnsi="Times New Roman"/>
          <w:spacing w:val="0"/>
          <w:sz w:val="24"/>
          <w:szCs w:val="22"/>
          <w:lang w:val="en-ZA"/>
        </w:rPr>
      </w:pPr>
    </w:p>
    <w:p w14:paraId="35E78A44"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lastRenderedPageBreak/>
        <w:t>In order to evaluate service delivery, it is essential to look at expenditure per programme. The summary of the budget versus expenditure as at the end of the third quarter is tabulated below.</w:t>
      </w:r>
    </w:p>
    <w:p w14:paraId="0EB02188" w14:textId="77777777" w:rsidR="00B1373C" w:rsidRPr="00B1373C" w:rsidRDefault="00B1373C" w:rsidP="00B1373C">
      <w:pPr>
        <w:spacing w:line="360" w:lineRule="auto"/>
        <w:jc w:val="both"/>
        <w:rPr>
          <w:rFonts w:ascii="Times New Roman" w:hAnsi="Times New Roman"/>
          <w:spacing w:val="0"/>
          <w:sz w:val="24"/>
          <w:szCs w:val="22"/>
        </w:rPr>
      </w:pPr>
    </w:p>
    <w:p w14:paraId="1603152F" w14:textId="77777777" w:rsidR="00B1373C" w:rsidRPr="00B1373C" w:rsidRDefault="00B1373C" w:rsidP="00B1373C">
      <w:pPr>
        <w:spacing w:line="360" w:lineRule="auto"/>
        <w:jc w:val="both"/>
        <w:rPr>
          <w:rFonts w:ascii="Times New Roman" w:hAnsi="Times New Roman"/>
          <w:b/>
          <w:bCs/>
          <w:spacing w:val="0"/>
          <w:sz w:val="24"/>
          <w:szCs w:val="22"/>
        </w:rPr>
      </w:pPr>
      <w:r w:rsidRPr="00B1373C">
        <w:rPr>
          <w:rFonts w:ascii="Times New Roman" w:hAnsi="Times New Roman"/>
          <w:b/>
          <w:bCs/>
          <w:spacing w:val="0"/>
          <w:sz w:val="24"/>
          <w:szCs w:val="22"/>
        </w:rPr>
        <w:t xml:space="preserve">Table </w:t>
      </w:r>
      <w:r w:rsidRPr="00B1373C">
        <w:rPr>
          <w:rFonts w:ascii="Times New Roman" w:hAnsi="Times New Roman"/>
          <w:b/>
          <w:bCs/>
          <w:spacing w:val="0"/>
          <w:sz w:val="24"/>
          <w:szCs w:val="22"/>
        </w:rPr>
        <w:fldChar w:fldCharType="begin"/>
      </w:r>
      <w:r w:rsidRPr="00B1373C">
        <w:rPr>
          <w:rFonts w:ascii="Times New Roman" w:hAnsi="Times New Roman"/>
          <w:b/>
          <w:bCs/>
          <w:spacing w:val="0"/>
          <w:sz w:val="24"/>
          <w:szCs w:val="22"/>
        </w:rPr>
        <w:instrText xml:space="preserve"> SEQ Table \* ARABIC </w:instrText>
      </w:r>
      <w:r w:rsidRPr="00B1373C">
        <w:rPr>
          <w:rFonts w:ascii="Times New Roman" w:hAnsi="Times New Roman"/>
          <w:b/>
          <w:bCs/>
          <w:spacing w:val="0"/>
          <w:sz w:val="24"/>
          <w:szCs w:val="22"/>
        </w:rPr>
        <w:fldChar w:fldCharType="separate"/>
      </w:r>
      <w:r w:rsidRPr="00B1373C">
        <w:rPr>
          <w:rFonts w:ascii="Times New Roman" w:hAnsi="Times New Roman"/>
          <w:b/>
          <w:bCs/>
          <w:spacing w:val="0"/>
          <w:sz w:val="24"/>
          <w:szCs w:val="22"/>
        </w:rPr>
        <w:t>1</w:t>
      </w:r>
      <w:r w:rsidRPr="00B1373C">
        <w:rPr>
          <w:rFonts w:ascii="Times New Roman" w:hAnsi="Times New Roman"/>
          <w:spacing w:val="0"/>
          <w:sz w:val="24"/>
          <w:szCs w:val="22"/>
          <w:lang w:val="en-ZA"/>
        </w:rPr>
        <w:fldChar w:fldCharType="end"/>
      </w:r>
      <w:r w:rsidRPr="00B1373C">
        <w:rPr>
          <w:rFonts w:ascii="Times New Roman" w:hAnsi="Times New Roman"/>
          <w:b/>
          <w:bCs/>
          <w:spacing w:val="0"/>
          <w:sz w:val="24"/>
          <w:szCs w:val="22"/>
        </w:rPr>
        <w:t>: DAC expenditure as at the end of the third quarter of the 2016/17 financial year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4"/>
        <w:gridCol w:w="1771"/>
        <w:gridCol w:w="1557"/>
        <w:gridCol w:w="1349"/>
        <w:gridCol w:w="1443"/>
        <w:gridCol w:w="1443"/>
      </w:tblGrid>
      <w:tr w:rsidR="00B1373C" w:rsidRPr="00B1373C" w14:paraId="24671BA3" w14:textId="77777777" w:rsidTr="00B1373C">
        <w:tc>
          <w:tcPr>
            <w:tcW w:w="3807" w:type="dxa"/>
            <w:shd w:val="clear" w:color="auto" w:fill="D9D9D9"/>
          </w:tcPr>
          <w:p w14:paraId="0F505716" w14:textId="77777777" w:rsidR="00B1373C" w:rsidRPr="00B1373C" w:rsidRDefault="00B1373C" w:rsidP="00B1373C">
            <w:pPr>
              <w:spacing w:line="360" w:lineRule="auto"/>
              <w:jc w:val="both"/>
              <w:rPr>
                <w:rFonts w:ascii="Times New Roman" w:hAnsi="Times New Roman"/>
                <w:b/>
                <w:spacing w:val="0"/>
                <w:sz w:val="24"/>
                <w:szCs w:val="22"/>
                <w:lang w:val="en-ZA"/>
              </w:rPr>
            </w:pPr>
            <w:r w:rsidRPr="00B1373C">
              <w:rPr>
                <w:rFonts w:ascii="Times New Roman" w:hAnsi="Times New Roman"/>
                <w:b/>
                <w:spacing w:val="0"/>
                <w:sz w:val="24"/>
                <w:szCs w:val="22"/>
                <w:lang w:val="en-ZA"/>
              </w:rPr>
              <w:t>Programme</w:t>
            </w:r>
          </w:p>
        </w:tc>
        <w:tc>
          <w:tcPr>
            <w:tcW w:w="1927" w:type="dxa"/>
            <w:shd w:val="clear" w:color="auto" w:fill="D9D9D9"/>
          </w:tcPr>
          <w:p w14:paraId="1829A483" w14:textId="77777777" w:rsidR="00B1373C" w:rsidRPr="00B1373C" w:rsidRDefault="00B1373C" w:rsidP="00B1373C">
            <w:pPr>
              <w:spacing w:line="360" w:lineRule="auto"/>
              <w:jc w:val="both"/>
              <w:rPr>
                <w:rFonts w:ascii="Times New Roman" w:hAnsi="Times New Roman"/>
                <w:b/>
                <w:spacing w:val="0"/>
                <w:sz w:val="24"/>
                <w:szCs w:val="22"/>
                <w:lang w:val="en-ZA"/>
              </w:rPr>
            </w:pPr>
            <w:r w:rsidRPr="00B1373C">
              <w:rPr>
                <w:rFonts w:ascii="Times New Roman" w:hAnsi="Times New Roman"/>
                <w:b/>
                <w:spacing w:val="0"/>
                <w:sz w:val="24"/>
                <w:szCs w:val="22"/>
                <w:lang w:val="en-ZA"/>
              </w:rPr>
              <w:t>Adjusted appropriation 2016/17</w:t>
            </w:r>
          </w:p>
        </w:tc>
        <w:tc>
          <w:tcPr>
            <w:tcW w:w="1638" w:type="dxa"/>
            <w:shd w:val="clear" w:color="auto" w:fill="D9D9D9"/>
          </w:tcPr>
          <w:p w14:paraId="1098EDF0" w14:textId="77777777" w:rsidR="00B1373C" w:rsidRPr="00B1373C" w:rsidRDefault="00B1373C" w:rsidP="00B1373C">
            <w:pPr>
              <w:spacing w:line="360" w:lineRule="auto"/>
              <w:jc w:val="both"/>
              <w:rPr>
                <w:rFonts w:ascii="Times New Roman" w:hAnsi="Times New Roman"/>
                <w:b/>
                <w:spacing w:val="0"/>
                <w:sz w:val="24"/>
                <w:szCs w:val="22"/>
                <w:lang w:val="en-ZA"/>
              </w:rPr>
            </w:pPr>
            <w:r w:rsidRPr="00B1373C">
              <w:rPr>
                <w:rFonts w:ascii="Times New Roman" w:hAnsi="Times New Roman"/>
                <w:b/>
                <w:spacing w:val="0"/>
                <w:sz w:val="24"/>
                <w:szCs w:val="22"/>
                <w:lang w:val="en-ZA"/>
              </w:rPr>
              <w:t>Expenditure as at 31 December 2016</w:t>
            </w:r>
          </w:p>
        </w:tc>
        <w:tc>
          <w:tcPr>
            <w:tcW w:w="1187" w:type="dxa"/>
            <w:shd w:val="clear" w:color="auto" w:fill="D9D9D9"/>
          </w:tcPr>
          <w:p w14:paraId="55ECDA71" w14:textId="77777777" w:rsidR="00B1373C" w:rsidRPr="00B1373C" w:rsidRDefault="00B1373C" w:rsidP="00B1373C">
            <w:pPr>
              <w:spacing w:line="360" w:lineRule="auto"/>
              <w:jc w:val="both"/>
              <w:rPr>
                <w:rFonts w:ascii="Times New Roman" w:hAnsi="Times New Roman"/>
                <w:b/>
                <w:spacing w:val="0"/>
                <w:sz w:val="24"/>
                <w:szCs w:val="22"/>
                <w:lang w:val="en-ZA"/>
              </w:rPr>
            </w:pPr>
            <w:r w:rsidRPr="00B1373C">
              <w:rPr>
                <w:rFonts w:ascii="Times New Roman" w:hAnsi="Times New Roman"/>
                <w:b/>
                <w:spacing w:val="0"/>
                <w:sz w:val="24"/>
                <w:szCs w:val="22"/>
                <w:lang w:val="en-ZA"/>
              </w:rPr>
              <w:t>Percentage spent</w:t>
            </w:r>
          </w:p>
        </w:tc>
        <w:tc>
          <w:tcPr>
            <w:tcW w:w="222" w:type="dxa"/>
            <w:shd w:val="clear" w:color="auto" w:fill="D9D9D9"/>
          </w:tcPr>
          <w:p w14:paraId="7A84FB1D" w14:textId="77777777" w:rsidR="00B1373C" w:rsidRPr="00B1373C" w:rsidRDefault="00B1373C" w:rsidP="00B1373C">
            <w:pPr>
              <w:spacing w:line="360" w:lineRule="auto"/>
              <w:jc w:val="both"/>
              <w:rPr>
                <w:rFonts w:ascii="Times New Roman" w:hAnsi="Times New Roman"/>
                <w:b/>
                <w:spacing w:val="0"/>
                <w:sz w:val="24"/>
                <w:szCs w:val="22"/>
                <w:lang w:val="en-ZA"/>
              </w:rPr>
            </w:pPr>
            <w:r w:rsidRPr="00B1373C">
              <w:rPr>
                <w:rFonts w:ascii="Times New Roman" w:hAnsi="Times New Roman"/>
                <w:b/>
                <w:spacing w:val="0"/>
                <w:sz w:val="24"/>
                <w:szCs w:val="22"/>
                <w:lang w:val="en-ZA"/>
              </w:rPr>
              <w:t>Projected expenditure</w:t>
            </w:r>
          </w:p>
        </w:tc>
        <w:tc>
          <w:tcPr>
            <w:tcW w:w="235" w:type="dxa"/>
            <w:shd w:val="clear" w:color="auto" w:fill="D9D9D9"/>
          </w:tcPr>
          <w:p w14:paraId="5AA26E1C" w14:textId="77777777" w:rsidR="00B1373C" w:rsidRPr="00B1373C" w:rsidRDefault="00B1373C" w:rsidP="00B1373C">
            <w:pPr>
              <w:spacing w:line="360" w:lineRule="auto"/>
              <w:jc w:val="both"/>
              <w:rPr>
                <w:rFonts w:ascii="Times New Roman" w:hAnsi="Times New Roman"/>
                <w:b/>
                <w:spacing w:val="0"/>
                <w:sz w:val="24"/>
                <w:szCs w:val="22"/>
                <w:lang w:val="en-ZA"/>
              </w:rPr>
            </w:pPr>
            <w:r w:rsidRPr="00B1373C">
              <w:rPr>
                <w:rFonts w:ascii="Times New Roman" w:hAnsi="Times New Roman"/>
                <w:b/>
                <w:spacing w:val="0"/>
                <w:sz w:val="24"/>
                <w:szCs w:val="22"/>
                <w:lang w:val="en-ZA"/>
              </w:rPr>
              <w:t>% variance from projected expenditure</w:t>
            </w:r>
          </w:p>
        </w:tc>
      </w:tr>
      <w:tr w:rsidR="00B1373C" w:rsidRPr="00B1373C" w14:paraId="6373485A" w14:textId="77777777" w:rsidTr="00B1373C">
        <w:tc>
          <w:tcPr>
            <w:tcW w:w="3807" w:type="dxa"/>
          </w:tcPr>
          <w:p w14:paraId="229C1289" w14:textId="77777777" w:rsidR="00B1373C" w:rsidRPr="00B1373C" w:rsidRDefault="00B1373C" w:rsidP="00B1373C">
            <w:pPr>
              <w:spacing w:line="360" w:lineRule="auto"/>
              <w:jc w:val="both"/>
              <w:rPr>
                <w:rFonts w:ascii="Times New Roman" w:hAnsi="Times New Roman"/>
                <w:b/>
                <w:spacing w:val="0"/>
                <w:sz w:val="24"/>
                <w:szCs w:val="22"/>
                <w:lang w:val="en-ZA"/>
              </w:rPr>
            </w:pPr>
            <w:r w:rsidRPr="00B1373C">
              <w:rPr>
                <w:rFonts w:ascii="Times New Roman" w:hAnsi="Times New Roman"/>
                <w:b/>
                <w:spacing w:val="0"/>
                <w:sz w:val="24"/>
                <w:szCs w:val="22"/>
                <w:lang w:val="en-ZA"/>
              </w:rPr>
              <w:t>R million</w:t>
            </w:r>
          </w:p>
        </w:tc>
        <w:tc>
          <w:tcPr>
            <w:tcW w:w="1927" w:type="dxa"/>
          </w:tcPr>
          <w:p w14:paraId="587FCED6" w14:textId="77777777" w:rsidR="00B1373C" w:rsidRPr="00B1373C" w:rsidRDefault="00B1373C" w:rsidP="00B1373C">
            <w:pPr>
              <w:spacing w:line="360" w:lineRule="auto"/>
              <w:jc w:val="both"/>
              <w:rPr>
                <w:rFonts w:ascii="Times New Roman" w:hAnsi="Times New Roman"/>
                <w:b/>
                <w:spacing w:val="0"/>
                <w:sz w:val="24"/>
                <w:szCs w:val="22"/>
                <w:lang w:val="en-ZA"/>
              </w:rPr>
            </w:pPr>
          </w:p>
        </w:tc>
        <w:tc>
          <w:tcPr>
            <w:tcW w:w="1638" w:type="dxa"/>
          </w:tcPr>
          <w:p w14:paraId="3A2EC301" w14:textId="77777777" w:rsidR="00B1373C" w:rsidRPr="00B1373C" w:rsidRDefault="00B1373C" w:rsidP="00B1373C">
            <w:pPr>
              <w:spacing w:line="360" w:lineRule="auto"/>
              <w:jc w:val="both"/>
              <w:rPr>
                <w:rFonts w:ascii="Times New Roman" w:hAnsi="Times New Roman"/>
                <w:b/>
                <w:spacing w:val="0"/>
                <w:sz w:val="24"/>
                <w:szCs w:val="22"/>
                <w:lang w:val="en-ZA"/>
              </w:rPr>
            </w:pPr>
          </w:p>
        </w:tc>
        <w:tc>
          <w:tcPr>
            <w:tcW w:w="1187" w:type="dxa"/>
          </w:tcPr>
          <w:p w14:paraId="2EFBE058" w14:textId="77777777" w:rsidR="00B1373C" w:rsidRPr="00B1373C" w:rsidRDefault="00B1373C" w:rsidP="00B1373C">
            <w:pPr>
              <w:spacing w:line="360" w:lineRule="auto"/>
              <w:jc w:val="both"/>
              <w:rPr>
                <w:rFonts w:ascii="Times New Roman" w:hAnsi="Times New Roman"/>
                <w:b/>
                <w:spacing w:val="0"/>
                <w:sz w:val="24"/>
                <w:szCs w:val="22"/>
                <w:lang w:val="en-ZA"/>
              </w:rPr>
            </w:pPr>
          </w:p>
        </w:tc>
        <w:tc>
          <w:tcPr>
            <w:tcW w:w="222" w:type="dxa"/>
          </w:tcPr>
          <w:p w14:paraId="0FDA67CA" w14:textId="77777777" w:rsidR="00B1373C" w:rsidRPr="00B1373C" w:rsidRDefault="00B1373C" w:rsidP="00B1373C">
            <w:pPr>
              <w:spacing w:line="360" w:lineRule="auto"/>
              <w:jc w:val="both"/>
              <w:rPr>
                <w:rFonts w:ascii="Times New Roman" w:hAnsi="Times New Roman"/>
                <w:b/>
                <w:spacing w:val="0"/>
                <w:sz w:val="24"/>
                <w:szCs w:val="22"/>
                <w:lang w:val="en-ZA"/>
              </w:rPr>
            </w:pPr>
          </w:p>
        </w:tc>
        <w:tc>
          <w:tcPr>
            <w:tcW w:w="235" w:type="dxa"/>
          </w:tcPr>
          <w:p w14:paraId="48CC5F5D" w14:textId="77777777" w:rsidR="00B1373C" w:rsidRPr="00B1373C" w:rsidRDefault="00B1373C" w:rsidP="00B1373C">
            <w:pPr>
              <w:spacing w:line="360" w:lineRule="auto"/>
              <w:jc w:val="both"/>
              <w:rPr>
                <w:rFonts w:ascii="Times New Roman" w:hAnsi="Times New Roman"/>
                <w:b/>
                <w:spacing w:val="0"/>
                <w:sz w:val="24"/>
                <w:szCs w:val="22"/>
                <w:lang w:val="en-ZA"/>
              </w:rPr>
            </w:pPr>
          </w:p>
        </w:tc>
      </w:tr>
      <w:tr w:rsidR="00B1373C" w:rsidRPr="00B1373C" w14:paraId="508D55EA" w14:textId="77777777" w:rsidTr="00B1373C">
        <w:tc>
          <w:tcPr>
            <w:tcW w:w="3807" w:type="dxa"/>
          </w:tcPr>
          <w:p w14:paraId="58AB8F2B"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1. Administration</w:t>
            </w:r>
          </w:p>
        </w:tc>
        <w:tc>
          <w:tcPr>
            <w:tcW w:w="1927" w:type="dxa"/>
          </w:tcPr>
          <w:p w14:paraId="48A042BB"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262.6</w:t>
            </w:r>
          </w:p>
        </w:tc>
        <w:tc>
          <w:tcPr>
            <w:tcW w:w="1638" w:type="dxa"/>
          </w:tcPr>
          <w:p w14:paraId="472CDF2B"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206.5</w:t>
            </w:r>
          </w:p>
        </w:tc>
        <w:tc>
          <w:tcPr>
            <w:tcW w:w="1187" w:type="dxa"/>
          </w:tcPr>
          <w:p w14:paraId="1F7A494B"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78.6%</w:t>
            </w:r>
          </w:p>
        </w:tc>
        <w:tc>
          <w:tcPr>
            <w:tcW w:w="222" w:type="dxa"/>
          </w:tcPr>
          <w:p w14:paraId="315A7F77"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210.9</w:t>
            </w:r>
          </w:p>
        </w:tc>
        <w:tc>
          <w:tcPr>
            <w:tcW w:w="235" w:type="dxa"/>
          </w:tcPr>
          <w:p w14:paraId="77D8BB10"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2.1%</w:t>
            </w:r>
          </w:p>
        </w:tc>
      </w:tr>
      <w:tr w:rsidR="00B1373C" w:rsidRPr="00B1373C" w14:paraId="38953E1E" w14:textId="77777777" w:rsidTr="00B1373C">
        <w:tc>
          <w:tcPr>
            <w:tcW w:w="3807" w:type="dxa"/>
          </w:tcPr>
          <w:p w14:paraId="5925CAA6"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2. Institutional Governance</w:t>
            </w:r>
          </w:p>
        </w:tc>
        <w:tc>
          <w:tcPr>
            <w:tcW w:w="1927" w:type="dxa"/>
          </w:tcPr>
          <w:p w14:paraId="19DC1793"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325.2</w:t>
            </w:r>
          </w:p>
        </w:tc>
        <w:tc>
          <w:tcPr>
            <w:tcW w:w="1638" w:type="dxa"/>
          </w:tcPr>
          <w:p w14:paraId="2B813101"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130.8</w:t>
            </w:r>
          </w:p>
        </w:tc>
        <w:tc>
          <w:tcPr>
            <w:tcW w:w="1187" w:type="dxa"/>
          </w:tcPr>
          <w:p w14:paraId="1641BB99"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40.2%</w:t>
            </w:r>
          </w:p>
        </w:tc>
        <w:tc>
          <w:tcPr>
            <w:tcW w:w="222" w:type="dxa"/>
          </w:tcPr>
          <w:p w14:paraId="72C693F4"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263.3</w:t>
            </w:r>
          </w:p>
        </w:tc>
        <w:tc>
          <w:tcPr>
            <w:tcW w:w="235" w:type="dxa"/>
          </w:tcPr>
          <w:p w14:paraId="4726DA65"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50.3%</w:t>
            </w:r>
          </w:p>
        </w:tc>
      </w:tr>
      <w:tr w:rsidR="00B1373C" w:rsidRPr="00B1373C" w14:paraId="10457692" w14:textId="77777777" w:rsidTr="00B1373C">
        <w:tc>
          <w:tcPr>
            <w:tcW w:w="3807" w:type="dxa"/>
          </w:tcPr>
          <w:p w14:paraId="507CCE2D"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3. Arts and Culture Promotion and Development</w:t>
            </w:r>
          </w:p>
        </w:tc>
        <w:tc>
          <w:tcPr>
            <w:tcW w:w="1927" w:type="dxa"/>
          </w:tcPr>
          <w:p w14:paraId="5EFE86E9"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1068.2</w:t>
            </w:r>
          </w:p>
        </w:tc>
        <w:tc>
          <w:tcPr>
            <w:tcW w:w="1638" w:type="dxa"/>
          </w:tcPr>
          <w:p w14:paraId="658A8E6E"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835.7</w:t>
            </w:r>
          </w:p>
        </w:tc>
        <w:tc>
          <w:tcPr>
            <w:tcW w:w="1187" w:type="dxa"/>
          </w:tcPr>
          <w:p w14:paraId="0F87007C"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78.2%</w:t>
            </w:r>
          </w:p>
        </w:tc>
        <w:tc>
          <w:tcPr>
            <w:tcW w:w="222" w:type="dxa"/>
          </w:tcPr>
          <w:p w14:paraId="492A4573"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878.4</w:t>
            </w:r>
          </w:p>
        </w:tc>
        <w:tc>
          <w:tcPr>
            <w:tcW w:w="235" w:type="dxa"/>
          </w:tcPr>
          <w:p w14:paraId="75B733A7"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4.9%</w:t>
            </w:r>
          </w:p>
        </w:tc>
      </w:tr>
      <w:tr w:rsidR="00B1373C" w:rsidRPr="00B1373C" w14:paraId="1CE46E7D" w14:textId="77777777" w:rsidTr="00B1373C">
        <w:tc>
          <w:tcPr>
            <w:tcW w:w="3807" w:type="dxa"/>
          </w:tcPr>
          <w:p w14:paraId="53E27DE7"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4. Heritage Promotion and Preservation</w:t>
            </w:r>
          </w:p>
        </w:tc>
        <w:tc>
          <w:tcPr>
            <w:tcW w:w="1927" w:type="dxa"/>
          </w:tcPr>
          <w:p w14:paraId="3304EFF8"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2406.5</w:t>
            </w:r>
          </w:p>
        </w:tc>
        <w:tc>
          <w:tcPr>
            <w:tcW w:w="1638" w:type="dxa"/>
          </w:tcPr>
          <w:p w14:paraId="5F76C9E5"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1832.3</w:t>
            </w:r>
          </w:p>
        </w:tc>
        <w:tc>
          <w:tcPr>
            <w:tcW w:w="1187" w:type="dxa"/>
          </w:tcPr>
          <w:p w14:paraId="6B2C36FF"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76.1%</w:t>
            </w:r>
          </w:p>
        </w:tc>
        <w:tc>
          <w:tcPr>
            <w:tcW w:w="222" w:type="dxa"/>
          </w:tcPr>
          <w:p w14:paraId="1A46C88E"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1828.9</w:t>
            </w:r>
          </w:p>
        </w:tc>
        <w:tc>
          <w:tcPr>
            <w:tcW w:w="235" w:type="dxa"/>
          </w:tcPr>
          <w:p w14:paraId="2888A310"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-0.2%</w:t>
            </w:r>
          </w:p>
        </w:tc>
      </w:tr>
      <w:tr w:rsidR="00B1373C" w:rsidRPr="00B1373C" w14:paraId="080242F3" w14:textId="77777777" w:rsidTr="00B1373C">
        <w:tc>
          <w:tcPr>
            <w:tcW w:w="3807" w:type="dxa"/>
          </w:tcPr>
          <w:p w14:paraId="026F6471" w14:textId="77777777" w:rsidR="00B1373C" w:rsidRPr="00B1373C" w:rsidRDefault="00B1373C" w:rsidP="00B1373C">
            <w:pPr>
              <w:spacing w:line="360" w:lineRule="auto"/>
              <w:jc w:val="both"/>
              <w:rPr>
                <w:rFonts w:ascii="Times New Roman" w:hAnsi="Times New Roman"/>
                <w:b/>
                <w:spacing w:val="0"/>
                <w:sz w:val="24"/>
                <w:szCs w:val="22"/>
                <w:lang w:val="en-ZA"/>
              </w:rPr>
            </w:pPr>
            <w:r w:rsidRPr="00B1373C">
              <w:rPr>
                <w:rFonts w:ascii="Times New Roman" w:hAnsi="Times New Roman"/>
                <w:b/>
                <w:spacing w:val="0"/>
                <w:sz w:val="24"/>
                <w:szCs w:val="22"/>
                <w:lang w:val="en-ZA"/>
              </w:rPr>
              <w:t>Total</w:t>
            </w:r>
          </w:p>
        </w:tc>
        <w:tc>
          <w:tcPr>
            <w:tcW w:w="1927" w:type="dxa"/>
          </w:tcPr>
          <w:p w14:paraId="066CEAEB" w14:textId="77777777" w:rsidR="00B1373C" w:rsidRPr="00B1373C" w:rsidRDefault="00B1373C" w:rsidP="00B1373C">
            <w:pPr>
              <w:spacing w:line="360" w:lineRule="auto"/>
              <w:jc w:val="both"/>
              <w:rPr>
                <w:rFonts w:ascii="Times New Roman" w:hAnsi="Times New Roman"/>
                <w:b/>
                <w:spacing w:val="0"/>
                <w:sz w:val="24"/>
                <w:szCs w:val="22"/>
                <w:lang w:val="en-ZA"/>
              </w:rPr>
            </w:pPr>
            <w:r w:rsidRPr="00B1373C">
              <w:rPr>
                <w:rFonts w:ascii="Times New Roman" w:hAnsi="Times New Roman"/>
                <w:b/>
                <w:spacing w:val="0"/>
                <w:sz w:val="24"/>
                <w:szCs w:val="22"/>
                <w:lang w:val="en-ZA"/>
              </w:rPr>
              <w:t>4062.6</w:t>
            </w:r>
          </w:p>
        </w:tc>
        <w:tc>
          <w:tcPr>
            <w:tcW w:w="1638" w:type="dxa"/>
          </w:tcPr>
          <w:p w14:paraId="1B7CDEC4" w14:textId="77777777" w:rsidR="00B1373C" w:rsidRPr="00B1373C" w:rsidRDefault="00B1373C" w:rsidP="00B1373C">
            <w:pPr>
              <w:spacing w:line="360" w:lineRule="auto"/>
              <w:jc w:val="both"/>
              <w:rPr>
                <w:rFonts w:ascii="Times New Roman" w:hAnsi="Times New Roman"/>
                <w:b/>
                <w:spacing w:val="0"/>
                <w:sz w:val="24"/>
                <w:szCs w:val="22"/>
                <w:lang w:val="en-ZA"/>
              </w:rPr>
            </w:pPr>
            <w:r w:rsidRPr="00B1373C">
              <w:rPr>
                <w:rFonts w:ascii="Times New Roman" w:hAnsi="Times New Roman"/>
                <w:b/>
                <w:spacing w:val="0"/>
                <w:sz w:val="24"/>
                <w:szCs w:val="22"/>
                <w:lang w:val="en-ZA"/>
              </w:rPr>
              <w:t>3005.2</w:t>
            </w:r>
          </w:p>
        </w:tc>
        <w:tc>
          <w:tcPr>
            <w:tcW w:w="1187" w:type="dxa"/>
          </w:tcPr>
          <w:p w14:paraId="207AC1D0" w14:textId="77777777" w:rsidR="00B1373C" w:rsidRPr="00B1373C" w:rsidRDefault="00B1373C" w:rsidP="00B1373C">
            <w:pPr>
              <w:spacing w:line="360" w:lineRule="auto"/>
              <w:jc w:val="both"/>
              <w:rPr>
                <w:rFonts w:ascii="Times New Roman" w:hAnsi="Times New Roman"/>
                <w:b/>
                <w:spacing w:val="0"/>
                <w:sz w:val="24"/>
                <w:szCs w:val="22"/>
                <w:lang w:val="en-ZA"/>
              </w:rPr>
            </w:pPr>
            <w:r w:rsidRPr="00B1373C">
              <w:rPr>
                <w:rFonts w:ascii="Times New Roman" w:hAnsi="Times New Roman"/>
                <w:b/>
                <w:spacing w:val="0"/>
                <w:sz w:val="24"/>
                <w:szCs w:val="22"/>
                <w:lang w:val="en-ZA"/>
              </w:rPr>
              <w:t>74.0%</w:t>
            </w:r>
          </w:p>
        </w:tc>
        <w:tc>
          <w:tcPr>
            <w:tcW w:w="222" w:type="dxa"/>
          </w:tcPr>
          <w:p w14:paraId="206A1122" w14:textId="77777777" w:rsidR="00B1373C" w:rsidRPr="00B1373C" w:rsidRDefault="00B1373C" w:rsidP="00B1373C">
            <w:pPr>
              <w:spacing w:line="360" w:lineRule="auto"/>
              <w:jc w:val="both"/>
              <w:rPr>
                <w:rFonts w:ascii="Times New Roman" w:hAnsi="Times New Roman"/>
                <w:b/>
                <w:spacing w:val="0"/>
                <w:sz w:val="24"/>
                <w:szCs w:val="22"/>
                <w:lang w:val="en-ZA"/>
              </w:rPr>
            </w:pPr>
            <w:r w:rsidRPr="00B1373C">
              <w:rPr>
                <w:rFonts w:ascii="Times New Roman" w:hAnsi="Times New Roman"/>
                <w:b/>
                <w:spacing w:val="0"/>
                <w:sz w:val="24"/>
                <w:szCs w:val="22"/>
                <w:lang w:val="en-ZA"/>
              </w:rPr>
              <w:t>3181.5</w:t>
            </w:r>
          </w:p>
        </w:tc>
        <w:tc>
          <w:tcPr>
            <w:tcW w:w="235" w:type="dxa"/>
          </w:tcPr>
          <w:p w14:paraId="202008E7" w14:textId="77777777" w:rsidR="00B1373C" w:rsidRPr="00B1373C" w:rsidRDefault="00B1373C" w:rsidP="00B1373C">
            <w:pPr>
              <w:spacing w:line="360" w:lineRule="auto"/>
              <w:jc w:val="both"/>
              <w:rPr>
                <w:rFonts w:ascii="Times New Roman" w:hAnsi="Times New Roman"/>
                <w:b/>
                <w:spacing w:val="0"/>
                <w:sz w:val="24"/>
                <w:szCs w:val="22"/>
                <w:lang w:val="en-ZA"/>
              </w:rPr>
            </w:pPr>
            <w:r w:rsidRPr="00B1373C">
              <w:rPr>
                <w:rFonts w:ascii="Times New Roman" w:hAnsi="Times New Roman"/>
                <w:b/>
                <w:spacing w:val="0"/>
                <w:sz w:val="24"/>
                <w:szCs w:val="22"/>
                <w:lang w:val="en-ZA"/>
              </w:rPr>
              <w:t>5.5%</w:t>
            </w:r>
          </w:p>
        </w:tc>
      </w:tr>
      <w:tr w:rsidR="00B1373C" w:rsidRPr="00B1373C" w14:paraId="3D8CB97A" w14:textId="77777777" w:rsidTr="00B1373C">
        <w:tc>
          <w:tcPr>
            <w:tcW w:w="3807" w:type="dxa"/>
            <w:tcBorders>
              <w:top w:val="single" w:sz="12" w:space="0" w:color="000000"/>
              <w:bottom w:val="single" w:sz="2" w:space="0" w:color="000000"/>
            </w:tcBorders>
          </w:tcPr>
          <w:p w14:paraId="59CF28DF" w14:textId="77777777" w:rsidR="00B1373C" w:rsidRPr="00B1373C" w:rsidRDefault="00B1373C" w:rsidP="00B1373C">
            <w:pPr>
              <w:spacing w:line="360" w:lineRule="auto"/>
              <w:jc w:val="both"/>
              <w:rPr>
                <w:rFonts w:ascii="Times New Roman" w:hAnsi="Times New Roman"/>
                <w:b/>
                <w:spacing w:val="0"/>
                <w:sz w:val="24"/>
                <w:szCs w:val="22"/>
                <w:lang w:val="en-ZA"/>
              </w:rPr>
            </w:pPr>
            <w:r w:rsidRPr="00B1373C">
              <w:rPr>
                <w:rFonts w:ascii="Times New Roman" w:hAnsi="Times New Roman"/>
                <w:b/>
                <w:spacing w:val="0"/>
                <w:sz w:val="24"/>
                <w:szCs w:val="22"/>
                <w:lang w:val="en-ZA"/>
              </w:rPr>
              <w:t>Economic Classification</w:t>
            </w:r>
          </w:p>
        </w:tc>
        <w:tc>
          <w:tcPr>
            <w:tcW w:w="1927" w:type="dxa"/>
            <w:tcBorders>
              <w:top w:val="single" w:sz="12" w:space="0" w:color="000000"/>
              <w:bottom w:val="single" w:sz="2" w:space="0" w:color="000000"/>
            </w:tcBorders>
          </w:tcPr>
          <w:p w14:paraId="7B5FEB3B" w14:textId="77777777" w:rsidR="00B1373C" w:rsidRPr="00B1373C" w:rsidRDefault="00B1373C" w:rsidP="00B1373C">
            <w:pPr>
              <w:spacing w:line="360" w:lineRule="auto"/>
              <w:jc w:val="both"/>
              <w:rPr>
                <w:rFonts w:ascii="Times New Roman" w:hAnsi="Times New Roman"/>
                <w:b/>
                <w:spacing w:val="0"/>
                <w:sz w:val="24"/>
                <w:szCs w:val="22"/>
                <w:lang w:val="en-ZA"/>
              </w:rPr>
            </w:pPr>
          </w:p>
        </w:tc>
        <w:tc>
          <w:tcPr>
            <w:tcW w:w="1638" w:type="dxa"/>
            <w:tcBorders>
              <w:top w:val="single" w:sz="12" w:space="0" w:color="000000"/>
              <w:bottom w:val="single" w:sz="2" w:space="0" w:color="000000"/>
            </w:tcBorders>
          </w:tcPr>
          <w:p w14:paraId="29D03477" w14:textId="77777777" w:rsidR="00B1373C" w:rsidRPr="00B1373C" w:rsidRDefault="00B1373C" w:rsidP="00B1373C">
            <w:pPr>
              <w:spacing w:line="360" w:lineRule="auto"/>
              <w:jc w:val="both"/>
              <w:rPr>
                <w:rFonts w:ascii="Times New Roman" w:hAnsi="Times New Roman"/>
                <w:b/>
                <w:spacing w:val="0"/>
                <w:sz w:val="24"/>
                <w:szCs w:val="22"/>
                <w:lang w:val="en-ZA"/>
              </w:rPr>
            </w:pPr>
          </w:p>
        </w:tc>
        <w:tc>
          <w:tcPr>
            <w:tcW w:w="1187" w:type="dxa"/>
            <w:tcBorders>
              <w:top w:val="single" w:sz="12" w:space="0" w:color="000000"/>
              <w:bottom w:val="single" w:sz="2" w:space="0" w:color="000000"/>
            </w:tcBorders>
          </w:tcPr>
          <w:p w14:paraId="337980CA" w14:textId="77777777" w:rsidR="00B1373C" w:rsidRPr="00B1373C" w:rsidRDefault="00B1373C" w:rsidP="00B1373C">
            <w:pPr>
              <w:spacing w:line="360" w:lineRule="auto"/>
              <w:jc w:val="both"/>
              <w:rPr>
                <w:rFonts w:ascii="Times New Roman" w:hAnsi="Times New Roman"/>
                <w:b/>
                <w:spacing w:val="0"/>
                <w:sz w:val="24"/>
                <w:szCs w:val="22"/>
                <w:lang w:val="en-ZA"/>
              </w:rPr>
            </w:pPr>
          </w:p>
        </w:tc>
        <w:tc>
          <w:tcPr>
            <w:tcW w:w="222" w:type="dxa"/>
            <w:tcBorders>
              <w:top w:val="single" w:sz="12" w:space="0" w:color="000000"/>
              <w:bottom w:val="single" w:sz="2" w:space="0" w:color="000000"/>
            </w:tcBorders>
          </w:tcPr>
          <w:p w14:paraId="574E8AC4" w14:textId="77777777" w:rsidR="00B1373C" w:rsidRPr="00B1373C" w:rsidRDefault="00B1373C" w:rsidP="00B1373C">
            <w:pPr>
              <w:spacing w:line="360" w:lineRule="auto"/>
              <w:jc w:val="both"/>
              <w:rPr>
                <w:rFonts w:ascii="Times New Roman" w:hAnsi="Times New Roman"/>
                <w:b/>
                <w:spacing w:val="0"/>
                <w:sz w:val="24"/>
                <w:szCs w:val="22"/>
                <w:lang w:val="en-ZA"/>
              </w:rPr>
            </w:pPr>
          </w:p>
        </w:tc>
        <w:tc>
          <w:tcPr>
            <w:tcW w:w="235" w:type="dxa"/>
            <w:tcBorders>
              <w:top w:val="single" w:sz="12" w:space="0" w:color="000000"/>
              <w:bottom w:val="single" w:sz="2" w:space="0" w:color="000000"/>
            </w:tcBorders>
          </w:tcPr>
          <w:p w14:paraId="7B2E62AE" w14:textId="77777777" w:rsidR="00B1373C" w:rsidRPr="00B1373C" w:rsidRDefault="00B1373C" w:rsidP="00B1373C">
            <w:pPr>
              <w:spacing w:line="360" w:lineRule="auto"/>
              <w:jc w:val="both"/>
              <w:rPr>
                <w:rFonts w:ascii="Times New Roman" w:hAnsi="Times New Roman"/>
                <w:b/>
                <w:spacing w:val="0"/>
                <w:sz w:val="24"/>
                <w:szCs w:val="22"/>
                <w:lang w:val="en-ZA"/>
              </w:rPr>
            </w:pPr>
          </w:p>
        </w:tc>
      </w:tr>
      <w:tr w:rsidR="00B1373C" w:rsidRPr="00B1373C" w14:paraId="33DCBDAB" w14:textId="77777777" w:rsidTr="00B1373C">
        <w:tc>
          <w:tcPr>
            <w:tcW w:w="3807" w:type="dxa"/>
            <w:tcBorders>
              <w:top w:val="single" w:sz="2" w:space="0" w:color="000000"/>
              <w:left w:val="single" w:sz="2" w:space="0" w:color="000000"/>
              <w:bottom w:val="single" w:sz="2" w:space="0" w:color="000000"/>
              <w:right w:val="single" w:sz="2" w:space="0" w:color="000000"/>
            </w:tcBorders>
          </w:tcPr>
          <w:p w14:paraId="5AB4585B" w14:textId="77777777" w:rsidR="00B1373C" w:rsidRPr="00B1373C" w:rsidRDefault="00B1373C" w:rsidP="00B1373C">
            <w:pPr>
              <w:spacing w:line="360" w:lineRule="auto"/>
              <w:jc w:val="both"/>
              <w:rPr>
                <w:rFonts w:ascii="Times New Roman" w:hAnsi="Times New Roman"/>
                <w:b/>
                <w:spacing w:val="0"/>
                <w:sz w:val="24"/>
                <w:szCs w:val="22"/>
                <w:lang w:val="en-ZA"/>
              </w:rPr>
            </w:pPr>
            <w:r w:rsidRPr="00B1373C">
              <w:rPr>
                <w:rFonts w:ascii="Times New Roman" w:hAnsi="Times New Roman"/>
                <w:b/>
                <w:spacing w:val="0"/>
                <w:sz w:val="24"/>
                <w:szCs w:val="22"/>
                <w:lang w:val="en-ZA"/>
              </w:rPr>
              <w:t>Current payments</w:t>
            </w:r>
          </w:p>
        </w:tc>
        <w:tc>
          <w:tcPr>
            <w:tcW w:w="1927" w:type="dxa"/>
            <w:tcBorders>
              <w:top w:val="single" w:sz="2" w:space="0" w:color="000000"/>
              <w:left w:val="single" w:sz="2" w:space="0" w:color="000000"/>
              <w:bottom w:val="single" w:sz="2" w:space="0" w:color="000000"/>
              <w:right w:val="single" w:sz="2" w:space="0" w:color="000000"/>
            </w:tcBorders>
          </w:tcPr>
          <w:p w14:paraId="53AE8F7F"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582.6</w:t>
            </w:r>
          </w:p>
        </w:tc>
        <w:tc>
          <w:tcPr>
            <w:tcW w:w="1638" w:type="dxa"/>
            <w:tcBorders>
              <w:top w:val="single" w:sz="2" w:space="0" w:color="000000"/>
              <w:left w:val="single" w:sz="2" w:space="0" w:color="000000"/>
              <w:bottom w:val="single" w:sz="2" w:space="0" w:color="000000"/>
              <w:right w:val="single" w:sz="2" w:space="0" w:color="000000"/>
            </w:tcBorders>
          </w:tcPr>
          <w:p w14:paraId="6AC3DF50"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436.0</w:t>
            </w:r>
          </w:p>
        </w:tc>
        <w:tc>
          <w:tcPr>
            <w:tcW w:w="1187" w:type="dxa"/>
            <w:tcBorders>
              <w:top w:val="single" w:sz="2" w:space="0" w:color="000000"/>
              <w:left w:val="single" w:sz="2" w:space="0" w:color="000000"/>
              <w:bottom w:val="single" w:sz="2" w:space="0" w:color="000000"/>
              <w:right w:val="single" w:sz="2" w:space="0" w:color="000000"/>
            </w:tcBorders>
          </w:tcPr>
          <w:p w14:paraId="775AFAA4"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74.8%</w:t>
            </w:r>
          </w:p>
        </w:tc>
        <w:tc>
          <w:tcPr>
            <w:tcW w:w="222" w:type="dxa"/>
            <w:tcBorders>
              <w:top w:val="single" w:sz="2" w:space="0" w:color="000000"/>
              <w:left w:val="single" w:sz="2" w:space="0" w:color="000000"/>
              <w:bottom w:val="single" w:sz="2" w:space="0" w:color="000000"/>
              <w:right w:val="single" w:sz="2" w:space="0" w:color="000000"/>
            </w:tcBorders>
          </w:tcPr>
          <w:p w14:paraId="784E6C12"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445.0</w:t>
            </w:r>
          </w:p>
        </w:tc>
        <w:tc>
          <w:tcPr>
            <w:tcW w:w="235" w:type="dxa"/>
            <w:tcBorders>
              <w:top w:val="single" w:sz="2" w:space="0" w:color="000000"/>
              <w:left w:val="single" w:sz="2" w:space="0" w:color="000000"/>
              <w:bottom w:val="single" w:sz="2" w:space="0" w:color="000000"/>
              <w:right w:val="single" w:sz="2" w:space="0" w:color="000000"/>
            </w:tcBorders>
          </w:tcPr>
          <w:p w14:paraId="7394F089"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2.0%</w:t>
            </w:r>
          </w:p>
        </w:tc>
      </w:tr>
      <w:tr w:rsidR="00B1373C" w:rsidRPr="00B1373C" w14:paraId="5B34615C" w14:textId="77777777" w:rsidTr="00B1373C">
        <w:tc>
          <w:tcPr>
            <w:tcW w:w="3807" w:type="dxa"/>
            <w:tcBorders>
              <w:top w:val="single" w:sz="2" w:space="0" w:color="000000"/>
              <w:left w:val="single" w:sz="2" w:space="0" w:color="000000"/>
              <w:bottom w:val="single" w:sz="2" w:space="0" w:color="000000"/>
              <w:right w:val="single" w:sz="2" w:space="0" w:color="000000"/>
            </w:tcBorders>
          </w:tcPr>
          <w:p w14:paraId="36651360"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Compensation of Employees</w:t>
            </w:r>
          </w:p>
        </w:tc>
        <w:tc>
          <w:tcPr>
            <w:tcW w:w="1927" w:type="dxa"/>
            <w:tcBorders>
              <w:top w:val="single" w:sz="2" w:space="0" w:color="000000"/>
              <w:left w:val="single" w:sz="2" w:space="0" w:color="000000"/>
              <w:bottom w:val="single" w:sz="2" w:space="0" w:color="000000"/>
              <w:right w:val="single" w:sz="2" w:space="0" w:color="000000"/>
            </w:tcBorders>
          </w:tcPr>
          <w:p w14:paraId="5EA523F0"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238.3</w:t>
            </w:r>
          </w:p>
        </w:tc>
        <w:tc>
          <w:tcPr>
            <w:tcW w:w="1638" w:type="dxa"/>
            <w:tcBorders>
              <w:top w:val="single" w:sz="2" w:space="0" w:color="000000"/>
              <w:left w:val="single" w:sz="2" w:space="0" w:color="000000"/>
              <w:bottom w:val="single" w:sz="2" w:space="0" w:color="000000"/>
              <w:right w:val="single" w:sz="2" w:space="0" w:color="000000"/>
            </w:tcBorders>
          </w:tcPr>
          <w:p w14:paraId="006094C5"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170.3</w:t>
            </w:r>
          </w:p>
        </w:tc>
        <w:tc>
          <w:tcPr>
            <w:tcW w:w="1187" w:type="dxa"/>
            <w:tcBorders>
              <w:top w:val="single" w:sz="2" w:space="0" w:color="000000"/>
              <w:left w:val="single" w:sz="2" w:space="0" w:color="000000"/>
              <w:bottom w:val="single" w:sz="2" w:space="0" w:color="000000"/>
              <w:right w:val="single" w:sz="2" w:space="0" w:color="000000"/>
            </w:tcBorders>
          </w:tcPr>
          <w:p w14:paraId="1437F03B"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71.5%</w:t>
            </w:r>
          </w:p>
        </w:tc>
        <w:tc>
          <w:tcPr>
            <w:tcW w:w="222" w:type="dxa"/>
            <w:tcBorders>
              <w:top w:val="single" w:sz="2" w:space="0" w:color="000000"/>
              <w:left w:val="single" w:sz="2" w:space="0" w:color="000000"/>
              <w:bottom w:val="single" w:sz="2" w:space="0" w:color="000000"/>
              <w:right w:val="single" w:sz="2" w:space="0" w:color="000000"/>
            </w:tcBorders>
          </w:tcPr>
          <w:p w14:paraId="4107D6C9"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178.6</w:t>
            </w:r>
          </w:p>
        </w:tc>
        <w:tc>
          <w:tcPr>
            <w:tcW w:w="235" w:type="dxa"/>
            <w:tcBorders>
              <w:top w:val="single" w:sz="2" w:space="0" w:color="000000"/>
              <w:left w:val="single" w:sz="2" w:space="0" w:color="000000"/>
              <w:bottom w:val="single" w:sz="2" w:space="0" w:color="000000"/>
              <w:right w:val="single" w:sz="2" w:space="0" w:color="000000"/>
            </w:tcBorders>
          </w:tcPr>
          <w:p w14:paraId="64C7AC93"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4.6%</w:t>
            </w:r>
          </w:p>
        </w:tc>
      </w:tr>
      <w:tr w:rsidR="00B1373C" w:rsidRPr="00B1373C" w14:paraId="07ECF033" w14:textId="77777777" w:rsidTr="00B1373C">
        <w:tc>
          <w:tcPr>
            <w:tcW w:w="3807" w:type="dxa"/>
            <w:tcBorders>
              <w:top w:val="single" w:sz="2" w:space="0" w:color="000000"/>
              <w:left w:val="single" w:sz="2" w:space="0" w:color="000000"/>
              <w:bottom w:val="single" w:sz="2" w:space="0" w:color="000000"/>
              <w:right w:val="single" w:sz="2" w:space="0" w:color="000000"/>
            </w:tcBorders>
          </w:tcPr>
          <w:p w14:paraId="0387FE16"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Goods and Services</w:t>
            </w:r>
          </w:p>
        </w:tc>
        <w:tc>
          <w:tcPr>
            <w:tcW w:w="1927" w:type="dxa"/>
            <w:tcBorders>
              <w:top w:val="single" w:sz="2" w:space="0" w:color="000000"/>
              <w:left w:val="single" w:sz="2" w:space="0" w:color="000000"/>
              <w:bottom w:val="single" w:sz="2" w:space="0" w:color="000000"/>
              <w:right w:val="single" w:sz="2" w:space="0" w:color="000000"/>
            </w:tcBorders>
          </w:tcPr>
          <w:p w14:paraId="132B488B"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344.3</w:t>
            </w:r>
          </w:p>
        </w:tc>
        <w:tc>
          <w:tcPr>
            <w:tcW w:w="1638" w:type="dxa"/>
            <w:tcBorders>
              <w:top w:val="single" w:sz="2" w:space="0" w:color="000000"/>
              <w:left w:val="single" w:sz="2" w:space="0" w:color="000000"/>
              <w:bottom w:val="single" w:sz="2" w:space="0" w:color="000000"/>
              <w:right w:val="single" w:sz="2" w:space="0" w:color="000000"/>
            </w:tcBorders>
          </w:tcPr>
          <w:p w14:paraId="7E8AB8F6"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265.6</w:t>
            </w:r>
          </w:p>
        </w:tc>
        <w:tc>
          <w:tcPr>
            <w:tcW w:w="1187" w:type="dxa"/>
            <w:tcBorders>
              <w:top w:val="single" w:sz="2" w:space="0" w:color="000000"/>
              <w:left w:val="single" w:sz="2" w:space="0" w:color="000000"/>
              <w:bottom w:val="single" w:sz="2" w:space="0" w:color="000000"/>
              <w:right w:val="single" w:sz="2" w:space="0" w:color="000000"/>
            </w:tcBorders>
          </w:tcPr>
          <w:p w14:paraId="2AE6A59D"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77.1%</w:t>
            </w:r>
          </w:p>
        </w:tc>
        <w:tc>
          <w:tcPr>
            <w:tcW w:w="222" w:type="dxa"/>
            <w:tcBorders>
              <w:top w:val="single" w:sz="2" w:space="0" w:color="000000"/>
              <w:left w:val="single" w:sz="2" w:space="0" w:color="000000"/>
              <w:bottom w:val="single" w:sz="2" w:space="0" w:color="000000"/>
              <w:right w:val="single" w:sz="2" w:space="0" w:color="000000"/>
            </w:tcBorders>
          </w:tcPr>
          <w:p w14:paraId="6D6C2F68"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266.4</w:t>
            </w:r>
          </w:p>
        </w:tc>
        <w:tc>
          <w:tcPr>
            <w:tcW w:w="235" w:type="dxa"/>
            <w:tcBorders>
              <w:top w:val="single" w:sz="2" w:space="0" w:color="000000"/>
              <w:left w:val="single" w:sz="2" w:space="0" w:color="000000"/>
              <w:bottom w:val="single" w:sz="2" w:space="0" w:color="000000"/>
              <w:right w:val="single" w:sz="2" w:space="0" w:color="000000"/>
            </w:tcBorders>
          </w:tcPr>
          <w:p w14:paraId="6A638B89"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0.3%</w:t>
            </w:r>
          </w:p>
        </w:tc>
      </w:tr>
      <w:tr w:rsidR="00B1373C" w:rsidRPr="00B1373C" w14:paraId="606B3E35" w14:textId="77777777" w:rsidTr="00B1373C">
        <w:tc>
          <w:tcPr>
            <w:tcW w:w="3807" w:type="dxa"/>
            <w:tcBorders>
              <w:top w:val="single" w:sz="2" w:space="0" w:color="000000"/>
              <w:left w:val="single" w:sz="2" w:space="0" w:color="000000"/>
              <w:bottom w:val="single" w:sz="2" w:space="0" w:color="000000"/>
              <w:right w:val="single" w:sz="2" w:space="0" w:color="000000"/>
            </w:tcBorders>
          </w:tcPr>
          <w:p w14:paraId="27C77772"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Interest and Rent on Land</w:t>
            </w:r>
          </w:p>
        </w:tc>
        <w:tc>
          <w:tcPr>
            <w:tcW w:w="1927" w:type="dxa"/>
            <w:tcBorders>
              <w:top w:val="single" w:sz="2" w:space="0" w:color="000000"/>
              <w:left w:val="single" w:sz="2" w:space="0" w:color="000000"/>
              <w:bottom w:val="single" w:sz="2" w:space="0" w:color="000000"/>
              <w:right w:val="single" w:sz="2" w:space="0" w:color="000000"/>
            </w:tcBorders>
          </w:tcPr>
          <w:p w14:paraId="2A3E1C9E"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0.0</w:t>
            </w:r>
          </w:p>
        </w:tc>
        <w:tc>
          <w:tcPr>
            <w:tcW w:w="1638" w:type="dxa"/>
            <w:tcBorders>
              <w:top w:val="single" w:sz="2" w:space="0" w:color="000000"/>
              <w:left w:val="single" w:sz="2" w:space="0" w:color="000000"/>
              <w:bottom w:val="single" w:sz="2" w:space="0" w:color="000000"/>
              <w:right w:val="single" w:sz="2" w:space="0" w:color="000000"/>
            </w:tcBorders>
          </w:tcPr>
          <w:p w14:paraId="2BDCA8D3"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0.1</w:t>
            </w:r>
          </w:p>
        </w:tc>
        <w:tc>
          <w:tcPr>
            <w:tcW w:w="1187" w:type="dxa"/>
            <w:tcBorders>
              <w:top w:val="single" w:sz="2" w:space="0" w:color="000000"/>
              <w:left w:val="single" w:sz="2" w:space="0" w:color="000000"/>
              <w:bottom w:val="single" w:sz="2" w:space="0" w:color="000000"/>
              <w:right w:val="single" w:sz="2" w:space="0" w:color="000000"/>
            </w:tcBorders>
          </w:tcPr>
          <w:p w14:paraId="4B456ECF" w14:textId="77777777" w:rsidR="00B1373C" w:rsidRPr="00B1373C" w:rsidRDefault="00B1373C" w:rsidP="00B1373C">
            <w:pPr>
              <w:spacing w:line="360" w:lineRule="auto"/>
              <w:jc w:val="both"/>
              <w:rPr>
                <w:rFonts w:ascii="Times New Roman" w:hAnsi="Times New Roman"/>
                <w:spacing w:val="0"/>
                <w:sz w:val="24"/>
                <w:szCs w:val="22"/>
                <w:lang w:val="en-ZA"/>
              </w:rPr>
            </w:pPr>
          </w:p>
        </w:tc>
        <w:tc>
          <w:tcPr>
            <w:tcW w:w="222" w:type="dxa"/>
            <w:tcBorders>
              <w:top w:val="single" w:sz="2" w:space="0" w:color="000000"/>
              <w:left w:val="single" w:sz="2" w:space="0" w:color="000000"/>
              <w:bottom w:val="single" w:sz="2" w:space="0" w:color="000000"/>
              <w:right w:val="single" w:sz="2" w:space="0" w:color="000000"/>
            </w:tcBorders>
          </w:tcPr>
          <w:p w14:paraId="41B8D1F7"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0.0</w:t>
            </w:r>
          </w:p>
        </w:tc>
        <w:tc>
          <w:tcPr>
            <w:tcW w:w="235" w:type="dxa"/>
            <w:tcBorders>
              <w:top w:val="single" w:sz="2" w:space="0" w:color="000000"/>
              <w:left w:val="single" w:sz="2" w:space="0" w:color="000000"/>
              <w:bottom w:val="single" w:sz="2" w:space="0" w:color="000000"/>
              <w:right w:val="single" w:sz="2" w:space="0" w:color="000000"/>
            </w:tcBorders>
          </w:tcPr>
          <w:p w14:paraId="6A5BD79B" w14:textId="77777777" w:rsidR="00B1373C" w:rsidRPr="00B1373C" w:rsidRDefault="00B1373C" w:rsidP="00B1373C">
            <w:pPr>
              <w:spacing w:line="360" w:lineRule="auto"/>
              <w:jc w:val="both"/>
              <w:rPr>
                <w:rFonts w:ascii="Times New Roman" w:hAnsi="Times New Roman"/>
                <w:spacing w:val="0"/>
                <w:sz w:val="24"/>
                <w:szCs w:val="22"/>
                <w:lang w:val="en-ZA"/>
              </w:rPr>
            </w:pPr>
          </w:p>
        </w:tc>
      </w:tr>
      <w:tr w:rsidR="00B1373C" w:rsidRPr="00B1373C" w14:paraId="6E968B10" w14:textId="77777777" w:rsidTr="00B1373C">
        <w:tc>
          <w:tcPr>
            <w:tcW w:w="3807" w:type="dxa"/>
            <w:tcBorders>
              <w:top w:val="single" w:sz="2" w:space="0" w:color="000000"/>
              <w:left w:val="single" w:sz="2" w:space="0" w:color="000000"/>
              <w:bottom w:val="single" w:sz="2" w:space="0" w:color="000000"/>
              <w:right w:val="single" w:sz="2" w:space="0" w:color="000000"/>
            </w:tcBorders>
          </w:tcPr>
          <w:p w14:paraId="0D3E5C7C" w14:textId="77777777" w:rsidR="00B1373C" w:rsidRPr="00B1373C" w:rsidRDefault="00B1373C" w:rsidP="00B1373C">
            <w:pPr>
              <w:spacing w:line="360" w:lineRule="auto"/>
              <w:jc w:val="both"/>
              <w:rPr>
                <w:rFonts w:ascii="Times New Roman" w:hAnsi="Times New Roman"/>
                <w:b/>
                <w:spacing w:val="0"/>
                <w:sz w:val="24"/>
                <w:szCs w:val="22"/>
                <w:lang w:val="en-ZA"/>
              </w:rPr>
            </w:pPr>
            <w:r w:rsidRPr="00B1373C">
              <w:rPr>
                <w:rFonts w:ascii="Times New Roman" w:hAnsi="Times New Roman"/>
                <w:b/>
                <w:spacing w:val="0"/>
                <w:sz w:val="24"/>
                <w:szCs w:val="22"/>
                <w:lang w:val="en-ZA"/>
              </w:rPr>
              <w:t>Transfers and subsidies</w:t>
            </w:r>
          </w:p>
        </w:tc>
        <w:tc>
          <w:tcPr>
            <w:tcW w:w="1927" w:type="dxa"/>
            <w:tcBorders>
              <w:top w:val="single" w:sz="2" w:space="0" w:color="000000"/>
              <w:left w:val="single" w:sz="2" w:space="0" w:color="000000"/>
              <w:bottom w:val="single" w:sz="2" w:space="0" w:color="000000"/>
              <w:right w:val="single" w:sz="2" w:space="0" w:color="000000"/>
            </w:tcBorders>
          </w:tcPr>
          <w:p w14:paraId="2C6EC3BC"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3272.3</w:t>
            </w:r>
          </w:p>
        </w:tc>
        <w:tc>
          <w:tcPr>
            <w:tcW w:w="1638" w:type="dxa"/>
            <w:tcBorders>
              <w:top w:val="single" w:sz="2" w:space="0" w:color="000000"/>
              <w:left w:val="single" w:sz="2" w:space="0" w:color="000000"/>
              <w:bottom w:val="single" w:sz="2" w:space="0" w:color="000000"/>
              <w:right w:val="single" w:sz="2" w:space="0" w:color="000000"/>
            </w:tcBorders>
          </w:tcPr>
          <w:p w14:paraId="3057D01A"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2496.3</w:t>
            </w:r>
          </w:p>
        </w:tc>
        <w:tc>
          <w:tcPr>
            <w:tcW w:w="1187" w:type="dxa"/>
            <w:tcBorders>
              <w:top w:val="single" w:sz="2" w:space="0" w:color="000000"/>
              <w:left w:val="single" w:sz="2" w:space="0" w:color="000000"/>
              <w:bottom w:val="single" w:sz="2" w:space="0" w:color="000000"/>
              <w:right w:val="single" w:sz="2" w:space="0" w:color="000000"/>
            </w:tcBorders>
          </w:tcPr>
          <w:p w14:paraId="33D72FE4"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76.3%</w:t>
            </w:r>
          </w:p>
        </w:tc>
        <w:tc>
          <w:tcPr>
            <w:tcW w:w="222" w:type="dxa"/>
            <w:tcBorders>
              <w:top w:val="single" w:sz="2" w:space="0" w:color="000000"/>
              <w:left w:val="single" w:sz="2" w:space="0" w:color="000000"/>
              <w:bottom w:val="single" w:sz="2" w:space="0" w:color="000000"/>
              <w:right w:val="single" w:sz="2" w:space="0" w:color="000000"/>
            </w:tcBorders>
          </w:tcPr>
          <w:p w14:paraId="61550B61"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2556.2</w:t>
            </w:r>
          </w:p>
        </w:tc>
        <w:tc>
          <w:tcPr>
            <w:tcW w:w="235" w:type="dxa"/>
            <w:tcBorders>
              <w:top w:val="single" w:sz="2" w:space="0" w:color="000000"/>
              <w:left w:val="single" w:sz="2" w:space="0" w:color="000000"/>
              <w:bottom w:val="single" w:sz="2" w:space="0" w:color="000000"/>
              <w:right w:val="single" w:sz="2" w:space="0" w:color="000000"/>
            </w:tcBorders>
          </w:tcPr>
          <w:p w14:paraId="16A26201"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2.3%</w:t>
            </w:r>
          </w:p>
        </w:tc>
      </w:tr>
      <w:tr w:rsidR="00B1373C" w:rsidRPr="00B1373C" w14:paraId="19826D35" w14:textId="77777777" w:rsidTr="00B1373C">
        <w:tc>
          <w:tcPr>
            <w:tcW w:w="3807" w:type="dxa"/>
            <w:tcBorders>
              <w:top w:val="single" w:sz="2" w:space="0" w:color="000000"/>
              <w:left w:val="single" w:sz="2" w:space="0" w:color="000000"/>
              <w:bottom w:val="single" w:sz="2" w:space="0" w:color="000000"/>
              <w:right w:val="single" w:sz="2" w:space="0" w:color="000000"/>
            </w:tcBorders>
          </w:tcPr>
          <w:p w14:paraId="2061E8B0" w14:textId="77777777" w:rsidR="00B1373C" w:rsidRPr="00B1373C" w:rsidRDefault="00B1373C" w:rsidP="00B1373C">
            <w:pPr>
              <w:spacing w:line="360" w:lineRule="auto"/>
              <w:jc w:val="both"/>
              <w:rPr>
                <w:rFonts w:ascii="Times New Roman" w:hAnsi="Times New Roman"/>
                <w:b/>
                <w:spacing w:val="0"/>
                <w:sz w:val="24"/>
                <w:szCs w:val="22"/>
                <w:lang w:val="en-ZA"/>
              </w:rPr>
            </w:pPr>
            <w:r w:rsidRPr="00B1373C">
              <w:rPr>
                <w:rFonts w:ascii="Times New Roman" w:hAnsi="Times New Roman"/>
                <w:b/>
                <w:spacing w:val="0"/>
                <w:sz w:val="24"/>
                <w:szCs w:val="22"/>
                <w:lang w:val="en-ZA"/>
              </w:rPr>
              <w:t xml:space="preserve">Payments for capital </w:t>
            </w:r>
            <w:r w:rsidRPr="00B1373C">
              <w:rPr>
                <w:rFonts w:ascii="Times New Roman" w:hAnsi="Times New Roman"/>
                <w:b/>
                <w:spacing w:val="0"/>
                <w:sz w:val="24"/>
                <w:szCs w:val="22"/>
                <w:lang w:val="en-ZA"/>
              </w:rPr>
              <w:lastRenderedPageBreak/>
              <w:t>assets</w:t>
            </w:r>
          </w:p>
        </w:tc>
        <w:tc>
          <w:tcPr>
            <w:tcW w:w="1927" w:type="dxa"/>
            <w:tcBorders>
              <w:top w:val="single" w:sz="2" w:space="0" w:color="000000"/>
              <w:left w:val="single" w:sz="2" w:space="0" w:color="000000"/>
              <w:bottom w:val="single" w:sz="2" w:space="0" w:color="000000"/>
              <w:right w:val="single" w:sz="2" w:space="0" w:color="000000"/>
            </w:tcBorders>
          </w:tcPr>
          <w:p w14:paraId="672875C9"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lastRenderedPageBreak/>
              <w:t>207.6</w:t>
            </w:r>
          </w:p>
        </w:tc>
        <w:tc>
          <w:tcPr>
            <w:tcW w:w="1638" w:type="dxa"/>
            <w:tcBorders>
              <w:top w:val="single" w:sz="2" w:space="0" w:color="000000"/>
              <w:left w:val="single" w:sz="2" w:space="0" w:color="000000"/>
              <w:bottom w:val="single" w:sz="2" w:space="0" w:color="000000"/>
              <w:right w:val="single" w:sz="2" w:space="0" w:color="000000"/>
            </w:tcBorders>
          </w:tcPr>
          <w:p w14:paraId="163B95A9"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72.9</w:t>
            </w:r>
          </w:p>
        </w:tc>
        <w:tc>
          <w:tcPr>
            <w:tcW w:w="1187" w:type="dxa"/>
            <w:tcBorders>
              <w:top w:val="single" w:sz="2" w:space="0" w:color="000000"/>
              <w:left w:val="single" w:sz="2" w:space="0" w:color="000000"/>
              <w:bottom w:val="single" w:sz="2" w:space="0" w:color="000000"/>
              <w:right w:val="single" w:sz="2" w:space="0" w:color="000000"/>
            </w:tcBorders>
          </w:tcPr>
          <w:p w14:paraId="06E92E9E"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35.1%</w:t>
            </w:r>
          </w:p>
        </w:tc>
        <w:tc>
          <w:tcPr>
            <w:tcW w:w="222" w:type="dxa"/>
            <w:tcBorders>
              <w:top w:val="single" w:sz="2" w:space="0" w:color="000000"/>
              <w:left w:val="single" w:sz="2" w:space="0" w:color="000000"/>
              <w:bottom w:val="single" w:sz="2" w:space="0" w:color="000000"/>
              <w:right w:val="single" w:sz="2" w:space="0" w:color="000000"/>
            </w:tcBorders>
          </w:tcPr>
          <w:p w14:paraId="3AAE1C0B"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180.3</w:t>
            </w:r>
          </w:p>
        </w:tc>
        <w:tc>
          <w:tcPr>
            <w:tcW w:w="235" w:type="dxa"/>
            <w:tcBorders>
              <w:top w:val="single" w:sz="2" w:space="0" w:color="000000"/>
              <w:left w:val="single" w:sz="2" w:space="0" w:color="000000"/>
              <w:bottom w:val="single" w:sz="2" w:space="0" w:color="000000"/>
              <w:right w:val="single" w:sz="2" w:space="0" w:color="000000"/>
            </w:tcBorders>
          </w:tcPr>
          <w:p w14:paraId="4476B820"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59.6%</w:t>
            </w:r>
          </w:p>
        </w:tc>
      </w:tr>
      <w:tr w:rsidR="00B1373C" w:rsidRPr="00B1373C" w14:paraId="3D1F70C9" w14:textId="77777777" w:rsidTr="00B1373C">
        <w:tc>
          <w:tcPr>
            <w:tcW w:w="3807" w:type="dxa"/>
            <w:tcBorders>
              <w:top w:val="single" w:sz="2" w:space="0" w:color="000000"/>
              <w:left w:val="single" w:sz="2" w:space="0" w:color="000000"/>
              <w:bottom w:val="single" w:sz="2" w:space="0" w:color="000000"/>
              <w:right w:val="single" w:sz="2" w:space="0" w:color="000000"/>
            </w:tcBorders>
          </w:tcPr>
          <w:p w14:paraId="3BA44BF7" w14:textId="77777777" w:rsidR="00B1373C" w:rsidRPr="00B1373C" w:rsidRDefault="00B1373C" w:rsidP="00B1373C">
            <w:pPr>
              <w:spacing w:line="360" w:lineRule="auto"/>
              <w:jc w:val="both"/>
              <w:rPr>
                <w:rFonts w:ascii="Times New Roman" w:hAnsi="Times New Roman"/>
                <w:b/>
                <w:spacing w:val="0"/>
                <w:sz w:val="24"/>
                <w:szCs w:val="22"/>
                <w:lang w:val="en-ZA"/>
              </w:rPr>
            </w:pPr>
            <w:r w:rsidRPr="00B1373C">
              <w:rPr>
                <w:rFonts w:ascii="Times New Roman" w:hAnsi="Times New Roman"/>
                <w:b/>
                <w:spacing w:val="0"/>
                <w:sz w:val="24"/>
                <w:szCs w:val="22"/>
                <w:lang w:val="en-ZA"/>
              </w:rPr>
              <w:lastRenderedPageBreak/>
              <w:t>Payments for financial assets</w:t>
            </w:r>
          </w:p>
        </w:tc>
        <w:tc>
          <w:tcPr>
            <w:tcW w:w="1927" w:type="dxa"/>
            <w:tcBorders>
              <w:top w:val="single" w:sz="2" w:space="0" w:color="000000"/>
              <w:left w:val="single" w:sz="2" w:space="0" w:color="000000"/>
              <w:bottom w:val="single" w:sz="2" w:space="0" w:color="000000"/>
              <w:right w:val="single" w:sz="2" w:space="0" w:color="000000"/>
            </w:tcBorders>
          </w:tcPr>
          <w:p w14:paraId="29032809"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0.0</w:t>
            </w:r>
          </w:p>
        </w:tc>
        <w:tc>
          <w:tcPr>
            <w:tcW w:w="1638" w:type="dxa"/>
            <w:tcBorders>
              <w:top w:val="single" w:sz="2" w:space="0" w:color="000000"/>
              <w:left w:val="single" w:sz="2" w:space="0" w:color="000000"/>
              <w:bottom w:val="single" w:sz="2" w:space="0" w:color="000000"/>
              <w:right w:val="single" w:sz="2" w:space="0" w:color="000000"/>
            </w:tcBorders>
          </w:tcPr>
          <w:p w14:paraId="7923AAEC"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0.1</w:t>
            </w:r>
          </w:p>
        </w:tc>
        <w:tc>
          <w:tcPr>
            <w:tcW w:w="1187" w:type="dxa"/>
            <w:tcBorders>
              <w:top w:val="single" w:sz="2" w:space="0" w:color="000000"/>
              <w:left w:val="single" w:sz="2" w:space="0" w:color="000000"/>
              <w:bottom w:val="single" w:sz="2" w:space="0" w:color="000000"/>
              <w:right w:val="single" w:sz="2" w:space="0" w:color="000000"/>
            </w:tcBorders>
          </w:tcPr>
          <w:p w14:paraId="68610EC7" w14:textId="77777777" w:rsidR="00B1373C" w:rsidRPr="00B1373C" w:rsidRDefault="00B1373C" w:rsidP="00B1373C">
            <w:pPr>
              <w:spacing w:line="360" w:lineRule="auto"/>
              <w:jc w:val="both"/>
              <w:rPr>
                <w:rFonts w:ascii="Times New Roman" w:hAnsi="Times New Roman"/>
                <w:spacing w:val="0"/>
                <w:sz w:val="24"/>
                <w:szCs w:val="22"/>
                <w:lang w:val="en-ZA"/>
              </w:rPr>
            </w:pPr>
          </w:p>
        </w:tc>
        <w:tc>
          <w:tcPr>
            <w:tcW w:w="222" w:type="dxa"/>
            <w:tcBorders>
              <w:top w:val="single" w:sz="2" w:space="0" w:color="000000"/>
              <w:left w:val="single" w:sz="2" w:space="0" w:color="000000"/>
              <w:bottom w:val="single" w:sz="2" w:space="0" w:color="000000"/>
              <w:right w:val="single" w:sz="2" w:space="0" w:color="000000"/>
            </w:tcBorders>
          </w:tcPr>
          <w:p w14:paraId="6E80C99F"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0.0</w:t>
            </w:r>
          </w:p>
        </w:tc>
        <w:tc>
          <w:tcPr>
            <w:tcW w:w="235" w:type="dxa"/>
            <w:tcBorders>
              <w:top w:val="single" w:sz="2" w:space="0" w:color="000000"/>
              <w:left w:val="single" w:sz="2" w:space="0" w:color="000000"/>
              <w:bottom w:val="single" w:sz="2" w:space="0" w:color="000000"/>
              <w:right w:val="single" w:sz="2" w:space="0" w:color="000000"/>
            </w:tcBorders>
          </w:tcPr>
          <w:p w14:paraId="5DC3D717" w14:textId="77777777" w:rsidR="00B1373C" w:rsidRPr="00B1373C" w:rsidRDefault="00B1373C" w:rsidP="00B1373C">
            <w:pPr>
              <w:spacing w:line="360" w:lineRule="auto"/>
              <w:jc w:val="both"/>
              <w:rPr>
                <w:rFonts w:ascii="Times New Roman" w:hAnsi="Times New Roman"/>
                <w:spacing w:val="0"/>
                <w:sz w:val="24"/>
                <w:szCs w:val="22"/>
                <w:lang w:val="en-ZA"/>
              </w:rPr>
            </w:pPr>
          </w:p>
        </w:tc>
      </w:tr>
      <w:tr w:rsidR="00B1373C" w:rsidRPr="00B1373C" w14:paraId="37D3602F" w14:textId="77777777" w:rsidTr="00B1373C">
        <w:tc>
          <w:tcPr>
            <w:tcW w:w="3807" w:type="dxa"/>
            <w:tcBorders>
              <w:top w:val="single" w:sz="2" w:space="0" w:color="000000"/>
              <w:left w:val="single" w:sz="2" w:space="0" w:color="000000"/>
              <w:bottom w:val="single" w:sz="2" w:space="0" w:color="000000"/>
              <w:right w:val="single" w:sz="2" w:space="0" w:color="000000"/>
            </w:tcBorders>
          </w:tcPr>
          <w:p w14:paraId="7A36AA47"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Awaiting classification</w:t>
            </w:r>
          </w:p>
        </w:tc>
        <w:tc>
          <w:tcPr>
            <w:tcW w:w="1927" w:type="dxa"/>
            <w:tcBorders>
              <w:top w:val="single" w:sz="2" w:space="0" w:color="000000"/>
              <w:left w:val="single" w:sz="2" w:space="0" w:color="000000"/>
              <w:bottom w:val="single" w:sz="2" w:space="0" w:color="000000"/>
              <w:right w:val="single" w:sz="2" w:space="0" w:color="000000"/>
            </w:tcBorders>
          </w:tcPr>
          <w:p w14:paraId="1E2F6F24" w14:textId="77777777" w:rsidR="00B1373C" w:rsidRPr="00B1373C" w:rsidRDefault="00B1373C" w:rsidP="00B1373C">
            <w:pPr>
              <w:spacing w:line="360" w:lineRule="auto"/>
              <w:jc w:val="both"/>
              <w:rPr>
                <w:rFonts w:ascii="Times New Roman" w:hAnsi="Times New Roman"/>
                <w:spacing w:val="0"/>
                <w:sz w:val="24"/>
                <w:szCs w:val="22"/>
                <w:lang w:val="en-ZA"/>
              </w:rPr>
            </w:pPr>
          </w:p>
        </w:tc>
        <w:tc>
          <w:tcPr>
            <w:tcW w:w="1638" w:type="dxa"/>
            <w:tcBorders>
              <w:top w:val="single" w:sz="2" w:space="0" w:color="000000"/>
              <w:left w:val="single" w:sz="2" w:space="0" w:color="000000"/>
              <w:bottom w:val="single" w:sz="2" w:space="0" w:color="000000"/>
              <w:right w:val="single" w:sz="2" w:space="0" w:color="000000"/>
            </w:tcBorders>
          </w:tcPr>
          <w:p w14:paraId="1CC7699C"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0.0</w:t>
            </w:r>
          </w:p>
        </w:tc>
        <w:tc>
          <w:tcPr>
            <w:tcW w:w="1187" w:type="dxa"/>
            <w:tcBorders>
              <w:top w:val="single" w:sz="2" w:space="0" w:color="000000"/>
              <w:left w:val="single" w:sz="2" w:space="0" w:color="000000"/>
              <w:bottom w:val="single" w:sz="2" w:space="0" w:color="000000"/>
              <w:right w:val="single" w:sz="2" w:space="0" w:color="000000"/>
            </w:tcBorders>
          </w:tcPr>
          <w:p w14:paraId="292B3B9F" w14:textId="77777777" w:rsidR="00B1373C" w:rsidRPr="00B1373C" w:rsidRDefault="00B1373C" w:rsidP="00B1373C">
            <w:pPr>
              <w:spacing w:line="360" w:lineRule="auto"/>
              <w:jc w:val="both"/>
              <w:rPr>
                <w:rFonts w:ascii="Times New Roman" w:hAnsi="Times New Roman"/>
                <w:spacing w:val="0"/>
                <w:sz w:val="24"/>
                <w:szCs w:val="22"/>
                <w:lang w:val="en-ZA"/>
              </w:rPr>
            </w:pPr>
          </w:p>
        </w:tc>
        <w:tc>
          <w:tcPr>
            <w:tcW w:w="222" w:type="dxa"/>
            <w:tcBorders>
              <w:top w:val="single" w:sz="2" w:space="0" w:color="000000"/>
              <w:left w:val="single" w:sz="2" w:space="0" w:color="000000"/>
              <w:bottom w:val="single" w:sz="2" w:space="0" w:color="000000"/>
              <w:right w:val="single" w:sz="2" w:space="0" w:color="000000"/>
            </w:tcBorders>
          </w:tcPr>
          <w:p w14:paraId="7A9B1435" w14:textId="77777777" w:rsidR="00B1373C" w:rsidRPr="00B1373C" w:rsidRDefault="00B1373C" w:rsidP="00B1373C">
            <w:pPr>
              <w:spacing w:line="360" w:lineRule="auto"/>
              <w:jc w:val="both"/>
              <w:rPr>
                <w:rFonts w:ascii="Times New Roman" w:hAnsi="Times New Roman"/>
                <w:spacing w:val="0"/>
                <w:sz w:val="24"/>
                <w:szCs w:val="22"/>
                <w:lang w:val="en-ZA"/>
              </w:rPr>
            </w:pPr>
          </w:p>
        </w:tc>
        <w:tc>
          <w:tcPr>
            <w:tcW w:w="235" w:type="dxa"/>
            <w:tcBorders>
              <w:top w:val="single" w:sz="2" w:space="0" w:color="000000"/>
              <w:left w:val="single" w:sz="2" w:space="0" w:color="000000"/>
              <w:bottom w:val="single" w:sz="2" w:space="0" w:color="000000"/>
              <w:right w:val="single" w:sz="2" w:space="0" w:color="000000"/>
            </w:tcBorders>
          </w:tcPr>
          <w:p w14:paraId="2A63201A" w14:textId="77777777" w:rsidR="00B1373C" w:rsidRPr="00B1373C" w:rsidRDefault="00B1373C" w:rsidP="00B1373C">
            <w:pPr>
              <w:spacing w:line="360" w:lineRule="auto"/>
              <w:jc w:val="both"/>
              <w:rPr>
                <w:rFonts w:ascii="Times New Roman" w:hAnsi="Times New Roman"/>
                <w:spacing w:val="0"/>
                <w:sz w:val="24"/>
                <w:szCs w:val="22"/>
                <w:lang w:val="en-ZA"/>
              </w:rPr>
            </w:pPr>
          </w:p>
        </w:tc>
      </w:tr>
      <w:tr w:rsidR="00B1373C" w:rsidRPr="00B1373C" w14:paraId="02F0604B" w14:textId="77777777" w:rsidTr="00B1373C">
        <w:tc>
          <w:tcPr>
            <w:tcW w:w="3807" w:type="dxa"/>
            <w:tcBorders>
              <w:top w:val="single" w:sz="2" w:space="0" w:color="000000"/>
              <w:left w:val="single" w:sz="2" w:space="0" w:color="000000"/>
              <w:bottom w:val="single" w:sz="12" w:space="0" w:color="000000"/>
              <w:right w:val="single" w:sz="2" w:space="0" w:color="000000"/>
            </w:tcBorders>
          </w:tcPr>
          <w:p w14:paraId="431DC3A4" w14:textId="77777777" w:rsidR="00B1373C" w:rsidRPr="00B1373C" w:rsidRDefault="00B1373C" w:rsidP="00B1373C">
            <w:pPr>
              <w:spacing w:line="360" w:lineRule="auto"/>
              <w:jc w:val="both"/>
              <w:rPr>
                <w:rFonts w:ascii="Times New Roman" w:hAnsi="Times New Roman"/>
                <w:b/>
                <w:spacing w:val="0"/>
                <w:sz w:val="24"/>
                <w:szCs w:val="22"/>
                <w:lang w:val="en-ZA"/>
              </w:rPr>
            </w:pPr>
            <w:r w:rsidRPr="00B1373C">
              <w:rPr>
                <w:rFonts w:ascii="Times New Roman" w:hAnsi="Times New Roman"/>
                <w:b/>
                <w:spacing w:val="0"/>
                <w:sz w:val="24"/>
                <w:szCs w:val="22"/>
                <w:lang w:val="en-ZA"/>
              </w:rPr>
              <w:t>Total</w:t>
            </w:r>
          </w:p>
        </w:tc>
        <w:tc>
          <w:tcPr>
            <w:tcW w:w="1927" w:type="dxa"/>
            <w:tcBorders>
              <w:top w:val="single" w:sz="2" w:space="0" w:color="000000"/>
              <w:left w:val="single" w:sz="2" w:space="0" w:color="000000"/>
              <w:bottom w:val="single" w:sz="12" w:space="0" w:color="000000"/>
              <w:right w:val="single" w:sz="2" w:space="0" w:color="000000"/>
            </w:tcBorders>
          </w:tcPr>
          <w:p w14:paraId="67E738E0" w14:textId="77777777" w:rsidR="00B1373C" w:rsidRPr="00B1373C" w:rsidRDefault="00B1373C" w:rsidP="00B1373C">
            <w:pPr>
              <w:spacing w:line="360" w:lineRule="auto"/>
              <w:jc w:val="both"/>
              <w:rPr>
                <w:rFonts w:ascii="Times New Roman" w:hAnsi="Times New Roman"/>
                <w:b/>
                <w:spacing w:val="0"/>
                <w:sz w:val="24"/>
                <w:szCs w:val="22"/>
                <w:lang w:val="en-ZA"/>
              </w:rPr>
            </w:pPr>
            <w:r w:rsidRPr="00B1373C">
              <w:rPr>
                <w:rFonts w:ascii="Times New Roman" w:hAnsi="Times New Roman"/>
                <w:b/>
                <w:spacing w:val="0"/>
                <w:sz w:val="24"/>
                <w:szCs w:val="22"/>
                <w:lang w:val="en-ZA"/>
              </w:rPr>
              <w:t>4062.6</w:t>
            </w:r>
          </w:p>
        </w:tc>
        <w:tc>
          <w:tcPr>
            <w:tcW w:w="1638" w:type="dxa"/>
            <w:tcBorders>
              <w:top w:val="single" w:sz="2" w:space="0" w:color="000000"/>
              <w:left w:val="single" w:sz="2" w:space="0" w:color="000000"/>
              <w:bottom w:val="single" w:sz="12" w:space="0" w:color="000000"/>
              <w:right w:val="single" w:sz="2" w:space="0" w:color="000000"/>
            </w:tcBorders>
          </w:tcPr>
          <w:p w14:paraId="2C7DE276" w14:textId="77777777" w:rsidR="00B1373C" w:rsidRPr="00B1373C" w:rsidRDefault="00B1373C" w:rsidP="00B1373C">
            <w:pPr>
              <w:spacing w:line="360" w:lineRule="auto"/>
              <w:jc w:val="both"/>
              <w:rPr>
                <w:rFonts w:ascii="Times New Roman" w:hAnsi="Times New Roman"/>
                <w:b/>
                <w:spacing w:val="0"/>
                <w:sz w:val="24"/>
                <w:szCs w:val="22"/>
                <w:lang w:val="en-ZA"/>
              </w:rPr>
            </w:pPr>
            <w:r w:rsidRPr="00B1373C">
              <w:rPr>
                <w:rFonts w:ascii="Times New Roman" w:hAnsi="Times New Roman"/>
                <w:b/>
                <w:spacing w:val="0"/>
                <w:sz w:val="24"/>
                <w:szCs w:val="22"/>
                <w:lang w:val="en-ZA"/>
              </w:rPr>
              <w:t>3005.2</w:t>
            </w:r>
          </w:p>
        </w:tc>
        <w:tc>
          <w:tcPr>
            <w:tcW w:w="1187" w:type="dxa"/>
            <w:tcBorders>
              <w:top w:val="single" w:sz="2" w:space="0" w:color="000000"/>
              <w:left w:val="single" w:sz="2" w:space="0" w:color="000000"/>
              <w:bottom w:val="single" w:sz="12" w:space="0" w:color="000000"/>
              <w:right w:val="single" w:sz="2" w:space="0" w:color="000000"/>
            </w:tcBorders>
          </w:tcPr>
          <w:p w14:paraId="746590B8" w14:textId="77777777" w:rsidR="00B1373C" w:rsidRPr="00B1373C" w:rsidRDefault="00B1373C" w:rsidP="00B1373C">
            <w:pPr>
              <w:spacing w:line="360" w:lineRule="auto"/>
              <w:jc w:val="both"/>
              <w:rPr>
                <w:rFonts w:ascii="Times New Roman" w:hAnsi="Times New Roman"/>
                <w:b/>
                <w:spacing w:val="0"/>
                <w:sz w:val="24"/>
                <w:szCs w:val="22"/>
                <w:lang w:val="en-ZA"/>
              </w:rPr>
            </w:pPr>
            <w:r w:rsidRPr="00B1373C">
              <w:rPr>
                <w:rFonts w:ascii="Times New Roman" w:hAnsi="Times New Roman"/>
                <w:b/>
                <w:spacing w:val="0"/>
                <w:sz w:val="24"/>
                <w:szCs w:val="22"/>
                <w:lang w:val="en-ZA"/>
              </w:rPr>
              <w:t>74.0%</w:t>
            </w:r>
          </w:p>
        </w:tc>
        <w:tc>
          <w:tcPr>
            <w:tcW w:w="222" w:type="dxa"/>
            <w:tcBorders>
              <w:top w:val="single" w:sz="2" w:space="0" w:color="000000"/>
              <w:left w:val="single" w:sz="2" w:space="0" w:color="000000"/>
              <w:bottom w:val="single" w:sz="12" w:space="0" w:color="000000"/>
              <w:right w:val="single" w:sz="2" w:space="0" w:color="000000"/>
            </w:tcBorders>
          </w:tcPr>
          <w:p w14:paraId="776DEA76" w14:textId="77777777" w:rsidR="00B1373C" w:rsidRPr="00B1373C" w:rsidRDefault="00B1373C" w:rsidP="00B1373C">
            <w:pPr>
              <w:spacing w:line="360" w:lineRule="auto"/>
              <w:jc w:val="both"/>
              <w:rPr>
                <w:rFonts w:ascii="Times New Roman" w:hAnsi="Times New Roman"/>
                <w:b/>
                <w:spacing w:val="0"/>
                <w:sz w:val="24"/>
                <w:szCs w:val="22"/>
                <w:lang w:val="en-ZA"/>
              </w:rPr>
            </w:pPr>
            <w:r w:rsidRPr="00B1373C">
              <w:rPr>
                <w:rFonts w:ascii="Times New Roman" w:hAnsi="Times New Roman"/>
                <w:b/>
                <w:spacing w:val="0"/>
                <w:sz w:val="24"/>
                <w:szCs w:val="22"/>
                <w:lang w:val="en-ZA"/>
              </w:rPr>
              <w:t>3181.5</w:t>
            </w:r>
          </w:p>
        </w:tc>
        <w:tc>
          <w:tcPr>
            <w:tcW w:w="235" w:type="dxa"/>
            <w:tcBorders>
              <w:top w:val="single" w:sz="2" w:space="0" w:color="000000"/>
              <w:left w:val="single" w:sz="2" w:space="0" w:color="000000"/>
              <w:bottom w:val="single" w:sz="12" w:space="0" w:color="000000"/>
              <w:right w:val="single" w:sz="2" w:space="0" w:color="000000"/>
            </w:tcBorders>
          </w:tcPr>
          <w:p w14:paraId="4EC8A861" w14:textId="77777777" w:rsidR="00B1373C" w:rsidRPr="00B1373C" w:rsidRDefault="00B1373C" w:rsidP="00B1373C">
            <w:pPr>
              <w:spacing w:line="360" w:lineRule="auto"/>
              <w:jc w:val="both"/>
              <w:rPr>
                <w:rFonts w:ascii="Times New Roman" w:hAnsi="Times New Roman"/>
                <w:b/>
                <w:spacing w:val="0"/>
                <w:sz w:val="24"/>
                <w:szCs w:val="22"/>
                <w:lang w:val="en-ZA"/>
              </w:rPr>
            </w:pPr>
            <w:r w:rsidRPr="00B1373C">
              <w:rPr>
                <w:rFonts w:ascii="Times New Roman" w:hAnsi="Times New Roman"/>
                <w:b/>
                <w:spacing w:val="0"/>
                <w:sz w:val="24"/>
                <w:szCs w:val="22"/>
                <w:lang w:val="en-ZA"/>
              </w:rPr>
              <w:t>5.5%</w:t>
            </w:r>
          </w:p>
        </w:tc>
      </w:tr>
    </w:tbl>
    <w:p w14:paraId="5AAAC28F" w14:textId="77777777" w:rsidR="00B1373C" w:rsidRPr="00B1373C" w:rsidRDefault="00B1373C" w:rsidP="00B1373C">
      <w:pPr>
        <w:spacing w:line="360" w:lineRule="auto"/>
        <w:jc w:val="both"/>
        <w:rPr>
          <w:rFonts w:ascii="Times New Roman" w:hAnsi="Times New Roman"/>
          <w:i/>
          <w:spacing w:val="0"/>
          <w:sz w:val="24"/>
          <w:szCs w:val="22"/>
          <w:lang w:val="en-ZA"/>
        </w:rPr>
      </w:pPr>
      <w:r w:rsidRPr="00B1373C">
        <w:rPr>
          <w:rFonts w:ascii="Times New Roman" w:hAnsi="Times New Roman"/>
          <w:i/>
          <w:spacing w:val="0"/>
          <w:sz w:val="24"/>
          <w:szCs w:val="22"/>
          <w:lang w:val="en-ZA"/>
        </w:rPr>
        <w:t>Source: Standing Committee on Appropriations (2017).</w:t>
      </w:r>
    </w:p>
    <w:p w14:paraId="63F6D352" w14:textId="77777777" w:rsidR="00B1373C" w:rsidRPr="00B1373C" w:rsidRDefault="00B1373C" w:rsidP="00B1373C">
      <w:pPr>
        <w:spacing w:line="360" w:lineRule="auto"/>
        <w:jc w:val="both"/>
        <w:rPr>
          <w:rFonts w:ascii="Times New Roman" w:hAnsi="Times New Roman"/>
          <w:spacing w:val="0"/>
          <w:sz w:val="24"/>
          <w:szCs w:val="22"/>
          <w:lang w:val="en-ZA"/>
        </w:rPr>
      </w:pPr>
    </w:p>
    <w:p w14:paraId="0F15ECCC"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As per the report issued by the Standing Committee on Appropriations (SCOA), as at the end of the third quarter the Department had spent 74.0 per cent, or R3 billion, of its total adjusted appropriation. Compared to expenditure at the end of the third quarter of the 2015/16 financial year, when expenditure stood at 68.0 per cent, this represents improvement in expenditure. However, it should be noted that spending at the end of the third quarter for 2016/17 was R176.2 million of 5.5 per cent lower than the projected third quarter spending of R3.2 billion or 77.1 per cent. The report goes on further to indicate that slower than expected spending on Capital Works in Programmes 2 and 3, as well as on compensation of employees contributed to the bulk of the lower than projected expenditure.</w:t>
      </w:r>
      <w:r w:rsidRPr="00B1373C">
        <w:rPr>
          <w:rFonts w:ascii="Times New Roman" w:hAnsi="Times New Roman"/>
          <w:spacing w:val="0"/>
          <w:sz w:val="24"/>
          <w:szCs w:val="22"/>
          <w:vertAlign w:val="superscript"/>
          <w:lang w:val="en-ZA"/>
        </w:rPr>
        <w:footnoteReference w:id="4"/>
      </w:r>
    </w:p>
    <w:p w14:paraId="572A1930" w14:textId="77777777" w:rsidR="00B1373C" w:rsidRPr="00B1373C" w:rsidRDefault="00B1373C" w:rsidP="00B1373C">
      <w:pPr>
        <w:spacing w:line="360" w:lineRule="auto"/>
        <w:jc w:val="both"/>
        <w:rPr>
          <w:rFonts w:ascii="Times New Roman" w:hAnsi="Times New Roman"/>
          <w:spacing w:val="0"/>
          <w:sz w:val="24"/>
          <w:szCs w:val="22"/>
          <w:lang w:val="en-ZA"/>
        </w:rPr>
      </w:pPr>
    </w:p>
    <w:p w14:paraId="0515206E" w14:textId="77777777" w:rsidR="00B1373C" w:rsidRPr="00B1373C" w:rsidRDefault="00B1373C" w:rsidP="00B1373C">
      <w:p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Based on the report by SCOA, the following observations should be noted:</w:t>
      </w:r>
      <w:r w:rsidRPr="00B1373C">
        <w:rPr>
          <w:rFonts w:ascii="Times New Roman" w:hAnsi="Times New Roman"/>
          <w:spacing w:val="0"/>
          <w:sz w:val="24"/>
          <w:szCs w:val="22"/>
          <w:vertAlign w:val="superscript"/>
          <w:lang w:val="en-ZA"/>
        </w:rPr>
        <w:footnoteReference w:id="5"/>
      </w:r>
    </w:p>
    <w:p w14:paraId="1689D536" w14:textId="77777777" w:rsidR="00B1373C" w:rsidRPr="00B1373C" w:rsidRDefault="00B1373C" w:rsidP="00B1373C">
      <w:pPr>
        <w:spacing w:line="360" w:lineRule="auto"/>
        <w:jc w:val="both"/>
        <w:rPr>
          <w:rFonts w:ascii="Times New Roman" w:hAnsi="Times New Roman"/>
          <w:spacing w:val="0"/>
          <w:sz w:val="24"/>
          <w:szCs w:val="22"/>
          <w:lang w:val="en-ZA"/>
        </w:rPr>
      </w:pPr>
    </w:p>
    <w:p w14:paraId="40C52367" w14:textId="77777777" w:rsidR="00B1373C" w:rsidRPr="00B1373C" w:rsidRDefault="00B1373C" w:rsidP="00B1373C">
      <w:pPr>
        <w:numPr>
          <w:ilvl w:val="0"/>
          <w:numId w:val="46"/>
        </w:num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 xml:space="preserve">Expenditure for the Compensation of Employees (CoE) budget stood at 71.5 per cent, compared to the projected 74.9 per cent. This under expenditure of R8.3 million is chiefly attributed to </w:t>
      </w:r>
      <w:r w:rsidR="001E5B08">
        <w:rPr>
          <w:rFonts w:ascii="Times New Roman" w:hAnsi="Times New Roman"/>
          <w:spacing w:val="0"/>
          <w:sz w:val="24"/>
          <w:szCs w:val="22"/>
          <w:lang w:val="en-ZA"/>
        </w:rPr>
        <w:t xml:space="preserve">the </w:t>
      </w:r>
      <w:r w:rsidRPr="00B1373C">
        <w:rPr>
          <w:rFonts w:ascii="Times New Roman" w:hAnsi="Times New Roman"/>
          <w:spacing w:val="0"/>
          <w:sz w:val="24"/>
          <w:szCs w:val="22"/>
          <w:lang w:val="en-ZA"/>
        </w:rPr>
        <w:t>vacant posts such as the Director-General (DG) and middle management posts. The 2016 Budgetary Review and Recommendation Report (BRRR) clearly emphasises the urgency for the Department to fill the DG and other strategic and management positions.</w:t>
      </w:r>
      <w:r w:rsidRPr="00B1373C">
        <w:rPr>
          <w:rFonts w:ascii="Times New Roman" w:hAnsi="Times New Roman"/>
          <w:spacing w:val="0"/>
          <w:sz w:val="24"/>
          <w:szCs w:val="22"/>
          <w:vertAlign w:val="superscript"/>
          <w:lang w:val="en-ZA"/>
        </w:rPr>
        <w:footnoteReference w:id="6"/>
      </w:r>
      <w:r w:rsidRPr="00B1373C">
        <w:rPr>
          <w:rFonts w:ascii="Times New Roman" w:hAnsi="Times New Roman"/>
          <w:spacing w:val="0"/>
          <w:sz w:val="24"/>
          <w:szCs w:val="22"/>
          <w:lang w:val="en-ZA"/>
        </w:rPr>
        <w:t xml:space="preserve"> However, the under expenditure on the CoE budget by the end of the third quarter indicates that this recommendation was not acted on by the end of December 2016.</w:t>
      </w:r>
    </w:p>
    <w:p w14:paraId="65EBF564" w14:textId="77777777" w:rsidR="00B1373C" w:rsidRPr="00B1373C" w:rsidRDefault="00B1373C" w:rsidP="00B1373C">
      <w:pPr>
        <w:spacing w:line="360" w:lineRule="auto"/>
        <w:jc w:val="both"/>
        <w:rPr>
          <w:rFonts w:ascii="Times New Roman" w:hAnsi="Times New Roman"/>
          <w:spacing w:val="0"/>
          <w:sz w:val="24"/>
          <w:szCs w:val="22"/>
          <w:lang w:val="en-ZA"/>
        </w:rPr>
      </w:pPr>
    </w:p>
    <w:p w14:paraId="2831E867" w14:textId="77777777" w:rsidR="00B1373C" w:rsidRPr="00B1373C" w:rsidRDefault="00B1373C" w:rsidP="00B1373C">
      <w:pPr>
        <w:numPr>
          <w:ilvl w:val="0"/>
          <w:numId w:val="46"/>
        </w:num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lastRenderedPageBreak/>
        <w:t>Slower than projected expenditure on Capital Works is recorded for both Programmes 2 and 3. Challenges experienced between the Department, the Department of Public Works (DPW) and the Independent Development Trust (IDT) has resulted in service delivery setbacks including delays in the implementation of the Ingquza Hill Museum and JL Dube House project, the National Archives projects and some legacy projects.</w:t>
      </w:r>
    </w:p>
    <w:p w14:paraId="1DAD808D" w14:textId="77777777" w:rsidR="00B1373C" w:rsidRPr="00B1373C" w:rsidRDefault="00B1373C" w:rsidP="00B1373C">
      <w:pPr>
        <w:spacing w:line="360" w:lineRule="auto"/>
        <w:jc w:val="both"/>
        <w:rPr>
          <w:rFonts w:ascii="Times New Roman" w:hAnsi="Times New Roman"/>
          <w:spacing w:val="0"/>
          <w:sz w:val="24"/>
          <w:szCs w:val="22"/>
          <w:lang w:val="en-ZA"/>
        </w:rPr>
      </w:pPr>
    </w:p>
    <w:p w14:paraId="24295F7D" w14:textId="77777777" w:rsidR="00B1373C" w:rsidRPr="00B1373C" w:rsidRDefault="00B1373C" w:rsidP="00B1373C">
      <w:pPr>
        <w:numPr>
          <w:ilvl w:val="0"/>
          <w:numId w:val="46"/>
        </w:num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Funds to the amount of R20 million were shifted from Programme 2 (Payments for Capital Assets) to Programme 3 (Transfers). These funds were vired to deal with funding pressures at Pan South African Language Board (PanSALB).</w:t>
      </w:r>
    </w:p>
    <w:p w14:paraId="62411613" w14:textId="77777777" w:rsidR="00B1373C" w:rsidRPr="00B1373C" w:rsidRDefault="00B1373C" w:rsidP="00B1373C">
      <w:pPr>
        <w:spacing w:line="360" w:lineRule="auto"/>
        <w:jc w:val="both"/>
        <w:rPr>
          <w:rFonts w:ascii="Times New Roman" w:hAnsi="Times New Roman"/>
          <w:spacing w:val="0"/>
          <w:sz w:val="24"/>
          <w:szCs w:val="22"/>
          <w:lang w:val="en-ZA"/>
        </w:rPr>
      </w:pPr>
    </w:p>
    <w:p w14:paraId="75F8C4AB" w14:textId="77777777" w:rsidR="00B1373C" w:rsidRPr="00B1373C" w:rsidRDefault="00B1373C" w:rsidP="00B1373C">
      <w:pPr>
        <w:numPr>
          <w:ilvl w:val="0"/>
          <w:numId w:val="46"/>
        </w:numPr>
        <w:spacing w:line="360" w:lineRule="auto"/>
        <w:jc w:val="both"/>
        <w:rPr>
          <w:rFonts w:ascii="Times New Roman" w:hAnsi="Times New Roman"/>
          <w:spacing w:val="0"/>
          <w:sz w:val="24"/>
          <w:szCs w:val="22"/>
          <w:lang w:val="en-ZA"/>
        </w:rPr>
      </w:pPr>
      <w:r w:rsidRPr="00B1373C">
        <w:rPr>
          <w:rFonts w:ascii="Times New Roman" w:hAnsi="Times New Roman"/>
          <w:spacing w:val="0"/>
          <w:sz w:val="24"/>
          <w:szCs w:val="22"/>
          <w:lang w:val="en-ZA"/>
        </w:rPr>
        <w:t>There was significant expenditure on contractors and consultants in Programme 3 due to the implementation of the Mzansi Golden Economy (MGE) projects. These projects mainly use outsourced services to alleviate capacity constraints within the Department.</w:t>
      </w:r>
    </w:p>
    <w:p w14:paraId="639DD84B" w14:textId="77777777" w:rsidR="00D16F67" w:rsidRPr="0018755E" w:rsidRDefault="00D16F67" w:rsidP="00A547BB">
      <w:pPr>
        <w:spacing w:line="360" w:lineRule="auto"/>
        <w:jc w:val="both"/>
        <w:rPr>
          <w:rFonts w:ascii="Times New Roman" w:hAnsi="Times New Roman"/>
          <w:spacing w:val="0"/>
          <w:sz w:val="24"/>
          <w:szCs w:val="24"/>
          <w:lang w:val="en-ZA"/>
        </w:rPr>
      </w:pPr>
    </w:p>
    <w:p w14:paraId="397F9EF8" w14:textId="77777777" w:rsidR="00D97F40" w:rsidRPr="0018755E" w:rsidRDefault="003B7987" w:rsidP="00682764">
      <w:pPr>
        <w:tabs>
          <w:tab w:val="left" w:pos="709"/>
        </w:tabs>
        <w:spacing w:line="360" w:lineRule="auto"/>
        <w:jc w:val="both"/>
        <w:rPr>
          <w:rFonts w:ascii="Times New Roman" w:hAnsi="Times New Roman"/>
          <w:b/>
          <w:spacing w:val="0"/>
          <w:sz w:val="24"/>
          <w:szCs w:val="24"/>
          <w:lang w:val="en-ZA"/>
        </w:rPr>
      </w:pPr>
      <w:r w:rsidRPr="0018755E">
        <w:rPr>
          <w:rFonts w:ascii="Times New Roman" w:hAnsi="Times New Roman"/>
          <w:b/>
          <w:spacing w:val="0"/>
          <w:sz w:val="24"/>
          <w:szCs w:val="24"/>
          <w:lang w:val="en-ZA"/>
        </w:rPr>
        <w:t>5</w:t>
      </w:r>
      <w:r w:rsidR="00D16F67" w:rsidRPr="0018755E">
        <w:rPr>
          <w:rFonts w:ascii="Times New Roman" w:hAnsi="Times New Roman"/>
          <w:b/>
          <w:spacing w:val="0"/>
          <w:sz w:val="24"/>
          <w:szCs w:val="24"/>
          <w:lang w:val="en-ZA"/>
        </w:rPr>
        <w:t>.</w:t>
      </w:r>
      <w:r w:rsidR="00D16F67" w:rsidRPr="0018755E">
        <w:rPr>
          <w:rFonts w:ascii="Times New Roman" w:hAnsi="Times New Roman"/>
          <w:b/>
          <w:spacing w:val="0"/>
          <w:sz w:val="24"/>
          <w:szCs w:val="24"/>
          <w:lang w:val="en-ZA"/>
        </w:rPr>
        <w:tab/>
      </w:r>
      <w:r w:rsidR="00D97F40" w:rsidRPr="0018755E">
        <w:rPr>
          <w:rFonts w:ascii="Times New Roman" w:hAnsi="Times New Roman"/>
          <w:b/>
          <w:spacing w:val="0"/>
          <w:sz w:val="24"/>
          <w:szCs w:val="24"/>
          <w:lang w:val="en-ZA"/>
        </w:rPr>
        <w:t xml:space="preserve"> Policy priorities</w:t>
      </w:r>
    </w:p>
    <w:p w14:paraId="7002753F" w14:textId="77777777" w:rsidR="00424B7B" w:rsidRPr="001E5B08" w:rsidRDefault="00424B7B" w:rsidP="001E5B08">
      <w:pPr>
        <w:spacing w:line="360" w:lineRule="auto"/>
        <w:jc w:val="both"/>
        <w:rPr>
          <w:rFonts w:ascii="Times New Roman" w:eastAsia="Calibri" w:hAnsi="Times New Roman"/>
          <w:bCs/>
          <w:color w:val="auto"/>
          <w:spacing w:val="0"/>
          <w:sz w:val="24"/>
          <w:szCs w:val="24"/>
          <w:lang w:val="en-ZA" w:eastAsia="en-US"/>
        </w:rPr>
      </w:pPr>
      <w:r w:rsidRPr="001E5B08">
        <w:rPr>
          <w:rFonts w:ascii="Times New Roman" w:eastAsia="Calibri" w:hAnsi="Times New Roman"/>
          <w:color w:val="auto"/>
          <w:spacing w:val="0"/>
          <w:sz w:val="24"/>
          <w:szCs w:val="24"/>
          <w:lang w:val="en-ZA" w:eastAsia="en-US"/>
        </w:rPr>
        <w:t>The Department’s strategic plan, developed in 2015, guides priorities for the ACH sector.</w:t>
      </w:r>
      <w:r w:rsidR="00954AAD" w:rsidRPr="001E5B08">
        <w:rPr>
          <w:rFonts w:ascii="Times New Roman" w:eastAsia="Calibri" w:hAnsi="Times New Roman"/>
          <w:color w:val="auto"/>
          <w:spacing w:val="0"/>
          <w:sz w:val="24"/>
          <w:szCs w:val="24"/>
          <w:lang w:val="en-ZA" w:eastAsia="en-US"/>
        </w:rPr>
        <w:t xml:space="preserve"> The local environment has evolved since the global recession, thus the Department developed the following ten priorities to guide </w:t>
      </w:r>
      <w:proofErr w:type="gramStart"/>
      <w:r w:rsidR="00954AAD" w:rsidRPr="001E5B08">
        <w:rPr>
          <w:rFonts w:ascii="Times New Roman" w:eastAsia="Calibri" w:hAnsi="Times New Roman"/>
          <w:color w:val="auto"/>
          <w:spacing w:val="0"/>
          <w:sz w:val="24"/>
          <w:szCs w:val="24"/>
          <w:lang w:val="en-ZA" w:eastAsia="en-US"/>
        </w:rPr>
        <w:t>it’s</w:t>
      </w:r>
      <w:proofErr w:type="gramEnd"/>
      <w:r w:rsidR="00954AAD" w:rsidRPr="001E5B08">
        <w:rPr>
          <w:rFonts w:ascii="Times New Roman" w:eastAsia="Calibri" w:hAnsi="Times New Roman"/>
          <w:color w:val="auto"/>
          <w:spacing w:val="0"/>
          <w:sz w:val="24"/>
          <w:szCs w:val="24"/>
          <w:lang w:val="en-ZA" w:eastAsia="en-US"/>
        </w:rPr>
        <w:t xml:space="preserve"> planning</w:t>
      </w:r>
      <w:r w:rsidRPr="001E5B08">
        <w:rPr>
          <w:rFonts w:ascii="Times New Roman" w:eastAsia="Calibri" w:hAnsi="Times New Roman"/>
          <w:bCs/>
          <w:color w:val="auto"/>
          <w:spacing w:val="0"/>
          <w:sz w:val="24"/>
          <w:szCs w:val="24"/>
          <w:lang w:val="en-ZA" w:eastAsia="en-US"/>
        </w:rPr>
        <w:t xml:space="preserve"> and budgeting</w:t>
      </w:r>
      <w:r w:rsidRPr="001E5B08">
        <w:rPr>
          <w:rFonts w:ascii="Times New Roman" w:eastAsia="Calibri" w:hAnsi="Times New Roman"/>
          <w:color w:val="auto"/>
          <w:spacing w:val="0"/>
          <w:sz w:val="24"/>
          <w:szCs w:val="24"/>
          <w:lang w:val="en-ZA" w:eastAsia="en-US"/>
        </w:rPr>
        <w:t xml:space="preserve"> have been identified</w:t>
      </w:r>
      <w:r w:rsidRPr="001E5B08">
        <w:rPr>
          <w:rFonts w:ascii="Times New Roman" w:eastAsia="Calibri" w:hAnsi="Times New Roman"/>
          <w:bCs/>
          <w:color w:val="auto"/>
          <w:spacing w:val="0"/>
          <w:sz w:val="24"/>
          <w:szCs w:val="24"/>
          <w:lang w:val="en-ZA" w:eastAsia="en-US"/>
        </w:rPr>
        <w:t>:</w:t>
      </w:r>
      <w:r w:rsidRPr="00424B7B">
        <w:rPr>
          <w:rFonts w:eastAsia="Calibri"/>
          <w:bCs/>
          <w:vertAlign w:val="superscript"/>
          <w:lang w:val="en-ZA" w:eastAsia="en-US"/>
        </w:rPr>
        <w:footnoteReference w:id="7"/>
      </w:r>
    </w:p>
    <w:p w14:paraId="2958D3F8" w14:textId="77777777" w:rsidR="00424B7B" w:rsidRPr="00424B7B" w:rsidRDefault="00424B7B" w:rsidP="00424B7B">
      <w:pPr>
        <w:pStyle w:val="ListParagraph"/>
        <w:spacing w:line="360" w:lineRule="auto"/>
        <w:rPr>
          <w:rFonts w:ascii="Times New Roman" w:eastAsia="Calibri" w:hAnsi="Times New Roman"/>
          <w:bCs/>
          <w:color w:val="auto"/>
          <w:spacing w:val="0"/>
          <w:sz w:val="24"/>
          <w:szCs w:val="24"/>
          <w:lang w:val="en-ZA" w:eastAsia="en-US"/>
        </w:rPr>
      </w:pPr>
    </w:p>
    <w:p w14:paraId="4FC8A217" w14:textId="77777777" w:rsidR="00424B7B" w:rsidRPr="00424B7B" w:rsidRDefault="00424B7B" w:rsidP="00424B7B">
      <w:pPr>
        <w:pStyle w:val="ListParagraph"/>
        <w:numPr>
          <w:ilvl w:val="0"/>
          <w:numId w:val="48"/>
        </w:numPr>
        <w:spacing w:line="360" w:lineRule="auto"/>
        <w:rPr>
          <w:rFonts w:ascii="Times New Roman" w:eastAsia="Calibri" w:hAnsi="Times New Roman"/>
          <w:bCs/>
          <w:color w:val="auto"/>
          <w:spacing w:val="0"/>
          <w:sz w:val="24"/>
          <w:szCs w:val="24"/>
          <w:lang w:val="en-ZA" w:eastAsia="en-US"/>
        </w:rPr>
      </w:pPr>
      <w:r w:rsidRPr="00424B7B">
        <w:rPr>
          <w:rFonts w:ascii="Times New Roman" w:eastAsia="Calibri" w:hAnsi="Times New Roman"/>
          <w:bCs/>
          <w:color w:val="auto"/>
          <w:spacing w:val="0"/>
          <w:sz w:val="24"/>
          <w:szCs w:val="24"/>
          <w:lang w:val="en-ZA" w:eastAsia="en-US"/>
        </w:rPr>
        <w:t>Accelerating and amplifying nation building and social cohesion and dealing with, inter alia, the challenges of racism;</w:t>
      </w:r>
    </w:p>
    <w:p w14:paraId="5EFF33C1" w14:textId="77777777" w:rsidR="00424B7B" w:rsidRPr="00424B7B" w:rsidRDefault="00424B7B" w:rsidP="00424B7B">
      <w:pPr>
        <w:pStyle w:val="ListParagraph"/>
        <w:numPr>
          <w:ilvl w:val="0"/>
          <w:numId w:val="48"/>
        </w:numPr>
        <w:spacing w:line="360" w:lineRule="auto"/>
        <w:rPr>
          <w:rFonts w:ascii="Times New Roman" w:eastAsia="Calibri" w:hAnsi="Times New Roman"/>
          <w:bCs/>
          <w:color w:val="auto"/>
          <w:spacing w:val="0"/>
          <w:sz w:val="24"/>
          <w:szCs w:val="24"/>
          <w:lang w:val="en-ZA" w:eastAsia="en-US"/>
        </w:rPr>
      </w:pPr>
      <w:r w:rsidRPr="00424B7B">
        <w:rPr>
          <w:rFonts w:ascii="Times New Roman" w:eastAsia="Calibri" w:hAnsi="Times New Roman"/>
          <w:bCs/>
          <w:color w:val="auto"/>
          <w:spacing w:val="0"/>
          <w:sz w:val="24"/>
          <w:szCs w:val="24"/>
          <w:lang w:val="en-ZA" w:eastAsia="en-US"/>
        </w:rPr>
        <w:t>Focusing on Africa and the global space;</w:t>
      </w:r>
    </w:p>
    <w:p w14:paraId="7F71666D" w14:textId="77777777" w:rsidR="00424B7B" w:rsidRPr="00424B7B" w:rsidRDefault="00424B7B" w:rsidP="00424B7B">
      <w:pPr>
        <w:pStyle w:val="ListParagraph"/>
        <w:numPr>
          <w:ilvl w:val="0"/>
          <w:numId w:val="48"/>
        </w:numPr>
        <w:spacing w:line="360" w:lineRule="auto"/>
        <w:rPr>
          <w:rFonts w:ascii="Times New Roman" w:eastAsia="Calibri" w:hAnsi="Times New Roman"/>
          <w:bCs/>
          <w:color w:val="auto"/>
          <w:spacing w:val="0"/>
          <w:sz w:val="24"/>
          <w:szCs w:val="24"/>
          <w:lang w:val="en-ZA" w:eastAsia="en-US"/>
        </w:rPr>
      </w:pPr>
      <w:r w:rsidRPr="00424B7B">
        <w:rPr>
          <w:rFonts w:ascii="Times New Roman" w:eastAsia="Calibri" w:hAnsi="Times New Roman"/>
          <w:bCs/>
          <w:color w:val="auto"/>
          <w:spacing w:val="0"/>
          <w:sz w:val="24"/>
          <w:szCs w:val="24"/>
          <w:lang w:val="en-ZA" w:eastAsia="en-US"/>
        </w:rPr>
        <w:t>Resistance and liberation heritage (RLH) Route infrastructure programme, including the National Heroes’ Acre;</w:t>
      </w:r>
    </w:p>
    <w:p w14:paraId="3C735258" w14:textId="77777777" w:rsidR="00424B7B" w:rsidRPr="00424B7B" w:rsidRDefault="00424B7B" w:rsidP="00424B7B">
      <w:pPr>
        <w:pStyle w:val="ListParagraph"/>
        <w:numPr>
          <w:ilvl w:val="0"/>
          <w:numId w:val="48"/>
        </w:numPr>
        <w:spacing w:line="360" w:lineRule="auto"/>
        <w:rPr>
          <w:rFonts w:ascii="Times New Roman" w:eastAsia="Calibri" w:hAnsi="Times New Roman"/>
          <w:bCs/>
          <w:color w:val="auto"/>
          <w:spacing w:val="0"/>
          <w:sz w:val="24"/>
          <w:szCs w:val="24"/>
          <w:lang w:val="en-ZA" w:eastAsia="en-US"/>
        </w:rPr>
      </w:pPr>
      <w:r w:rsidRPr="00424B7B">
        <w:rPr>
          <w:rFonts w:ascii="Times New Roman" w:eastAsia="Calibri" w:hAnsi="Times New Roman"/>
          <w:bCs/>
          <w:color w:val="auto"/>
          <w:spacing w:val="0"/>
          <w:sz w:val="24"/>
          <w:szCs w:val="24"/>
          <w:lang w:val="en-ZA" w:eastAsia="en-US"/>
        </w:rPr>
        <w:t>Promotion of all languages and improving the functioning of the PanSALB;</w:t>
      </w:r>
    </w:p>
    <w:p w14:paraId="2F2ABF6E" w14:textId="77777777" w:rsidR="00424B7B" w:rsidRPr="00424B7B" w:rsidRDefault="00424B7B" w:rsidP="00424B7B">
      <w:pPr>
        <w:pStyle w:val="ListParagraph"/>
        <w:numPr>
          <w:ilvl w:val="0"/>
          <w:numId w:val="48"/>
        </w:numPr>
        <w:spacing w:line="360" w:lineRule="auto"/>
        <w:rPr>
          <w:rFonts w:ascii="Times New Roman" w:eastAsia="Calibri" w:hAnsi="Times New Roman"/>
          <w:bCs/>
          <w:color w:val="auto"/>
          <w:spacing w:val="0"/>
          <w:sz w:val="24"/>
          <w:szCs w:val="24"/>
          <w:lang w:val="en-ZA" w:eastAsia="en-US"/>
        </w:rPr>
      </w:pPr>
      <w:r w:rsidRPr="00424B7B">
        <w:rPr>
          <w:rFonts w:ascii="Times New Roman" w:eastAsia="Calibri" w:hAnsi="Times New Roman"/>
          <w:bCs/>
          <w:color w:val="auto"/>
          <w:spacing w:val="0"/>
          <w:sz w:val="24"/>
          <w:szCs w:val="24"/>
          <w:lang w:val="en-ZA" w:eastAsia="en-US"/>
        </w:rPr>
        <w:t>Ensuring that MGE benefits previously disadvantages artists;</w:t>
      </w:r>
    </w:p>
    <w:p w14:paraId="15FEA10D" w14:textId="77777777" w:rsidR="00424B7B" w:rsidRPr="00424B7B" w:rsidRDefault="00424B7B" w:rsidP="00424B7B">
      <w:pPr>
        <w:pStyle w:val="ListParagraph"/>
        <w:numPr>
          <w:ilvl w:val="0"/>
          <w:numId w:val="48"/>
        </w:numPr>
        <w:spacing w:line="360" w:lineRule="auto"/>
        <w:rPr>
          <w:rFonts w:ascii="Times New Roman" w:eastAsia="Calibri" w:hAnsi="Times New Roman"/>
          <w:bCs/>
          <w:color w:val="auto"/>
          <w:spacing w:val="0"/>
          <w:sz w:val="24"/>
          <w:szCs w:val="24"/>
          <w:lang w:val="en-ZA" w:eastAsia="en-US"/>
        </w:rPr>
      </w:pPr>
      <w:r w:rsidRPr="00424B7B">
        <w:rPr>
          <w:rFonts w:ascii="Times New Roman" w:eastAsia="Calibri" w:hAnsi="Times New Roman"/>
          <w:bCs/>
          <w:color w:val="auto"/>
          <w:spacing w:val="0"/>
          <w:sz w:val="24"/>
          <w:szCs w:val="24"/>
          <w:lang w:val="en-ZA" w:eastAsia="en-US"/>
        </w:rPr>
        <w:t>Ensuring that the Libraries programme provides access to library infrastructure for all and encouraging society to read and visit libraries;</w:t>
      </w:r>
    </w:p>
    <w:p w14:paraId="64752B24" w14:textId="77777777" w:rsidR="00424B7B" w:rsidRPr="00424B7B" w:rsidRDefault="00424B7B" w:rsidP="00424B7B">
      <w:pPr>
        <w:pStyle w:val="ListParagraph"/>
        <w:numPr>
          <w:ilvl w:val="0"/>
          <w:numId w:val="48"/>
        </w:numPr>
        <w:spacing w:line="360" w:lineRule="auto"/>
        <w:rPr>
          <w:rFonts w:ascii="Times New Roman" w:eastAsia="Calibri" w:hAnsi="Times New Roman"/>
          <w:bCs/>
          <w:color w:val="auto"/>
          <w:spacing w:val="0"/>
          <w:sz w:val="24"/>
          <w:szCs w:val="24"/>
          <w:lang w:val="en-ZA" w:eastAsia="en-US"/>
        </w:rPr>
      </w:pPr>
      <w:r w:rsidRPr="00424B7B">
        <w:rPr>
          <w:rFonts w:ascii="Times New Roman" w:eastAsia="Calibri" w:hAnsi="Times New Roman"/>
          <w:bCs/>
          <w:color w:val="auto"/>
          <w:spacing w:val="0"/>
          <w:sz w:val="24"/>
          <w:szCs w:val="24"/>
          <w:lang w:val="en-ZA" w:eastAsia="en-US"/>
        </w:rPr>
        <w:lastRenderedPageBreak/>
        <w:t>Using available spaces for Community Arts;</w:t>
      </w:r>
    </w:p>
    <w:p w14:paraId="7E04DF7D" w14:textId="77777777" w:rsidR="00424B7B" w:rsidRPr="00424B7B" w:rsidRDefault="00424B7B" w:rsidP="00424B7B">
      <w:pPr>
        <w:pStyle w:val="ListParagraph"/>
        <w:numPr>
          <w:ilvl w:val="0"/>
          <w:numId w:val="48"/>
        </w:numPr>
        <w:spacing w:line="360" w:lineRule="auto"/>
        <w:rPr>
          <w:rFonts w:ascii="Times New Roman" w:eastAsia="Calibri" w:hAnsi="Times New Roman"/>
          <w:bCs/>
          <w:color w:val="auto"/>
          <w:spacing w:val="0"/>
          <w:sz w:val="24"/>
          <w:szCs w:val="24"/>
          <w:lang w:val="en-ZA" w:eastAsia="en-US"/>
        </w:rPr>
      </w:pPr>
      <w:r w:rsidRPr="00424B7B">
        <w:rPr>
          <w:rFonts w:ascii="Times New Roman" w:eastAsia="Calibri" w:hAnsi="Times New Roman"/>
          <w:bCs/>
          <w:color w:val="auto"/>
          <w:spacing w:val="0"/>
          <w:sz w:val="24"/>
          <w:szCs w:val="24"/>
          <w:lang w:val="en-ZA" w:eastAsia="en-US"/>
        </w:rPr>
        <w:t>Ensuring that the school curriculum teaches correct South African heritage and history through the Arts Education Programme and DAC Schools Programme;</w:t>
      </w:r>
    </w:p>
    <w:p w14:paraId="1BFEAF54" w14:textId="77777777" w:rsidR="00424B7B" w:rsidRPr="00424B7B" w:rsidRDefault="00424B7B" w:rsidP="00424B7B">
      <w:pPr>
        <w:pStyle w:val="ListParagraph"/>
        <w:numPr>
          <w:ilvl w:val="0"/>
          <w:numId w:val="48"/>
        </w:numPr>
        <w:spacing w:line="360" w:lineRule="auto"/>
        <w:rPr>
          <w:rFonts w:ascii="Times New Roman" w:eastAsia="Calibri" w:hAnsi="Times New Roman"/>
          <w:bCs/>
          <w:color w:val="auto"/>
          <w:spacing w:val="0"/>
          <w:sz w:val="24"/>
          <w:szCs w:val="24"/>
          <w:lang w:val="en-ZA" w:eastAsia="en-US"/>
        </w:rPr>
      </w:pPr>
      <w:r w:rsidRPr="00424B7B">
        <w:rPr>
          <w:rFonts w:ascii="Times New Roman" w:eastAsia="Calibri" w:hAnsi="Times New Roman"/>
          <w:bCs/>
          <w:color w:val="auto"/>
          <w:spacing w:val="0"/>
          <w:sz w:val="24"/>
          <w:szCs w:val="24"/>
          <w:lang w:val="en-ZA" w:eastAsia="en-US"/>
        </w:rPr>
        <w:t>Improving the quality of reporting and compliance; and</w:t>
      </w:r>
    </w:p>
    <w:p w14:paraId="1498F92B" w14:textId="77777777" w:rsidR="00424B7B" w:rsidRPr="00424B7B" w:rsidRDefault="00424B7B" w:rsidP="00424B7B">
      <w:pPr>
        <w:pStyle w:val="ListParagraph"/>
        <w:numPr>
          <w:ilvl w:val="0"/>
          <w:numId w:val="48"/>
        </w:numPr>
        <w:spacing w:line="360" w:lineRule="auto"/>
        <w:rPr>
          <w:rFonts w:ascii="Times New Roman" w:eastAsia="Calibri" w:hAnsi="Times New Roman"/>
          <w:bCs/>
          <w:color w:val="auto"/>
          <w:spacing w:val="0"/>
          <w:sz w:val="24"/>
          <w:szCs w:val="24"/>
          <w:lang w:val="en-ZA" w:eastAsia="en-US"/>
        </w:rPr>
      </w:pPr>
      <w:r w:rsidRPr="00424B7B">
        <w:rPr>
          <w:rFonts w:ascii="Times New Roman" w:eastAsia="Calibri" w:hAnsi="Times New Roman"/>
          <w:bCs/>
          <w:color w:val="auto"/>
          <w:spacing w:val="0"/>
          <w:sz w:val="24"/>
          <w:szCs w:val="24"/>
          <w:lang w:val="en-ZA" w:eastAsia="en-US"/>
        </w:rPr>
        <w:t>Conducting a skills audit in the Department to ensure that human resources are correctly placed in the organisation.</w:t>
      </w:r>
    </w:p>
    <w:p w14:paraId="4B9B9D52" w14:textId="77777777" w:rsidR="00424B7B" w:rsidRPr="00424B7B" w:rsidRDefault="00424B7B" w:rsidP="00424B7B">
      <w:pPr>
        <w:pStyle w:val="ListParagraph"/>
        <w:spacing w:line="360" w:lineRule="auto"/>
        <w:rPr>
          <w:rFonts w:ascii="Times New Roman" w:eastAsia="Calibri" w:hAnsi="Times New Roman"/>
          <w:bCs/>
          <w:color w:val="auto"/>
          <w:spacing w:val="0"/>
          <w:sz w:val="24"/>
          <w:szCs w:val="24"/>
          <w:lang w:val="en-ZA" w:eastAsia="en-US"/>
        </w:rPr>
      </w:pPr>
    </w:p>
    <w:p w14:paraId="2BEF1D32" w14:textId="77777777" w:rsidR="00424B7B" w:rsidRPr="00424B7B" w:rsidRDefault="00424B7B" w:rsidP="00424B7B">
      <w:pPr>
        <w:pStyle w:val="ListParagraph"/>
        <w:spacing w:line="360" w:lineRule="auto"/>
        <w:rPr>
          <w:rFonts w:ascii="Times New Roman" w:eastAsia="Calibri" w:hAnsi="Times New Roman"/>
          <w:bCs/>
          <w:color w:val="auto"/>
          <w:spacing w:val="0"/>
          <w:sz w:val="24"/>
          <w:szCs w:val="24"/>
          <w:lang w:val="en-ZA" w:eastAsia="en-US"/>
        </w:rPr>
      </w:pPr>
      <w:r w:rsidRPr="00424B7B">
        <w:rPr>
          <w:rFonts w:ascii="Times New Roman" w:eastAsia="Calibri" w:hAnsi="Times New Roman"/>
          <w:bCs/>
          <w:color w:val="auto"/>
          <w:spacing w:val="0"/>
          <w:sz w:val="24"/>
          <w:szCs w:val="24"/>
          <w:lang w:val="en-ZA" w:eastAsia="en-US"/>
        </w:rPr>
        <w:t>The 2017/18 MTEF programme of action is structured against the following strategic outcome-oriented goals:</w:t>
      </w:r>
      <w:r w:rsidRPr="00424B7B">
        <w:rPr>
          <w:rFonts w:ascii="Times New Roman" w:eastAsia="Calibri" w:hAnsi="Times New Roman"/>
          <w:bCs/>
          <w:color w:val="auto"/>
          <w:spacing w:val="0"/>
          <w:sz w:val="24"/>
          <w:szCs w:val="24"/>
          <w:vertAlign w:val="superscript"/>
          <w:lang w:val="en-ZA" w:eastAsia="en-US"/>
        </w:rPr>
        <w:footnoteReference w:id="8"/>
      </w:r>
    </w:p>
    <w:p w14:paraId="0F3FC8CE" w14:textId="77777777" w:rsidR="00424B7B" w:rsidRPr="00424B7B" w:rsidRDefault="00424B7B" w:rsidP="00424B7B">
      <w:pPr>
        <w:pStyle w:val="ListParagraph"/>
        <w:spacing w:line="360" w:lineRule="auto"/>
        <w:rPr>
          <w:rFonts w:ascii="Times New Roman" w:eastAsia="Calibri" w:hAnsi="Times New Roman"/>
          <w:bCs/>
          <w:color w:val="auto"/>
          <w:spacing w:val="0"/>
          <w:sz w:val="24"/>
          <w:szCs w:val="24"/>
          <w:lang w:val="en-ZA" w:eastAsia="en-US"/>
        </w:rPr>
      </w:pPr>
    </w:p>
    <w:p w14:paraId="1D073ECF" w14:textId="77777777" w:rsidR="00424B7B" w:rsidRPr="00424B7B" w:rsidRDefault="00424B7B" w:rsidP="00424B7B">
      <w:pPr>
        <w:pStyle w:val="ListParagraph"/>
        <w:numPr>
          <w:ilvl w:val="0"/>
          <w:numId w:val="47"/>
        </w:numPr>
        <w:spacing w:line="360" w:lineRule="auto"/>
        <w:rPr>
          <w:rFonts w:ascii="Times New Roman" w:eastAsia="Calibri" w:hAnsi="Times New Roman"/>
          <w:bCs/>
          <w:color w:val="auto"/>
          <w:spacing w:val="0"/>
          <w:sz w:val="24"/>
          <w:szCs w:val="24"/>
          <w:lang w:val="en-ZA" w:eastAsia="en-US"/>
        </w:rPr>
      </w:pPr>
      <w:r w:rsidRPr="00424B7B">
        <w:rPr>
          <w:rFonts w:ascii="Times New Roman" w:eastAsia="Calibri" w:hAnsi="Times New Roman"/>
          <w:bCs/>
          <w:color w:val="auto"/>
          <w:spacing w:val="0"/>
          <w:sz w:val="24"/>
          <w:szCs w:val="24"/>
          <w:lang w:val="en-ZA" w:eastAsia="en-US"/>
        </w:rPr>
        <w:t>A transformed and productive arts, culture and heritage (ACH) sector, aiming to:</w:t>
      </w:r>
    </w:p>
    <w:p w14:paraId="3A0158FA" w14:textId="77777777" w:rsidR="00424B7B" w:rsidRPr="00424B7B" w:rsidRDefault="00424B7B" w:rsidP="00424B7B">
      <w:pPr>
        <w:pStyle w:val="ListParagraph"/>
        <w:numPr>
          <w:ilvl w:val="1"/>
          <w:numId w:val="47"/>
        </w:numPr>
        <w:spacing w:line="360" w:lineRule="auto"/>
        <w:rPr>
          <w:rFonts w:ascii="Times New Roman" w:eastAsia="Calibri" w:hAnsi="Times New Roman"/>
          <w:bCs/>
          <w:color w:val="auto"/>
          <w:spacing w:val="0"/>
          <w:sz w:val="24"/>
          <w:szCs w:val="24"/>
          <w:lang w:val="en-ZA" w:eastAsia="en-US"/>
        </w:rPr>
      </w:pPr>
      <w:r w:rsidRPr="00424B7B">
        <w:rPr>
          <w:rFonts w:ascii="Times New Roman" w:eastAsia="Calibri" w:hAnsi="Times New Roman"/>
          <w:bCs/>
          <w:color w:val="auto"/>
          <w:spacing w:val="0"/>
          <w:sz w:val="24"/>
          <w:szCs w:val="24"/>
          <w:lang w:val="en-ZA" w:eastAsia="en-US"/>
        </w:rPr>
        <w:t>Develop, protect and promote the cultural and creative sector;</w:t>
      </w:r>
    </w:p>
    <w:p w14:paraId="60BF3720" w14:textId="77777777" w:rsidR="00424B7B" w:rsidRPr="00424B7B" w:rsidRDefault="00424B7B" w:rsidP="00424B7B">
      <w:pPr>
        <w:pStyle w:val="ListParagraph"/>
        <w:numPr>
          <w:ilvl w:val="1"/>
          <w:numId w:val="47"/>
        </w:numPr>
        <w:spacing w:line="360" w:lineRule="auto"/>
        <w:rPr>
          <w:rFonts w:ascii="Times New Roman" w:eastAsia="Calibri" w:hAnsi="Times New Roman"/>
          <w:bCs/>
          <w:color w:val="auto"/>
          <w:spacing w:val="0"/>
          <w:sz w:val="24"/>
          <w:szCs w:val="24"/>
          <w:lang w:val="en-ZA" w:eastAsia="en-US"/>
        </w:rPr>
      </w:pPr>
      <w:r w:rsidRPr="00424B7B">
        <w:rPr>
          <w:rFonts w:ascii="Times New Roman" w:eastAsia="Calibri" w:hAnsi="Times New Roman"/>
          <w:bCs/>
          <w:color w:val="auto"/>
          <w:spacing w:val="0"/>
          <w:sz w:val="24"/>
          <w:szCs w:val="24"/>
          <w:lang w:val="en-ZA" w:eastAsia="en-US"/>
        </w:rPr>
        <w:t>Develop, preserve, protect and promote heritage;</w:t>
      </w:r>
    </w:p>
    <w:p w14:paraId="22B2AB55" w14:textId="77777777" w:rsidR="00424B7B" w:rsidRPr="00424B7B" w:rsidRDefault="00424B7B" w:rsidP="00424B7B">
      <w:pPr>
        <w:pStyle w:val="ListParagraph"/>
        <w:numPr>
          <w:ilvl w:val="1"/>
          <w:numId w:val="47"/>
        </w:numPr>
        <w:spacing w:line="360" w:lineRule="auto"/>
        <w:rPr>
          <w:rFonts w:ascii="Times New Roman" w:eastAsia="Calibri" w:hAnsi="Times New Roman"/>
          <w:bCs/>
          <w:color w:val="auto"/>
          <w:spacing w:val="0"/>
          <w:sz w:val="24"/>
          <w:szCs w:val="24"/>
          <w:lang w:val="en-ZA" w:eastAsia="en-US"/>
        </w:rPr>
      </w:pPr>
      <w:r w:rsidRPr="00424B7B">
        <w:rPr>
          <w:rFonts w:ascii="Times New Roman" w:eastAsia="Calibri" w:hAnsi="Times New Roman"/>
          <w:bCs/>
          <w:color w:val="auto"/>
          <w:spacing w:val="0"/>
          <w:sz w:val="24"/>
          <w:szCs w:val="24"/>
          <w:lang w:val="en-ZA" w:eastAsia="en-US"/>
        </w:rPr>
        <w:t>Develop and promote the official languages;</w:t>
      </w:r>
    </w:p>
    <w:p w14:paraId="3B639427" w14:textId="77777777" w:rsidR="00424B7B" w:rsidRPr="00424B7B" w:rsidRDefault="00424B7B" w:rsidP="00424B7B">
      <w:pPr>
        <w:pStyle w:val="ListParagraph"/>
        <w:numPr>
          <w:ilvl w:val="1"/>
          <w:numId w:val="47"/>
        </w:numPr>
        <w:spacing w:line="360" w:lineRule="auto"/>
        <w:rPr>
          <w:rFonts w:ascii="Times New Roman" w:eastAsia="Calibri" w:hAnsi="Times New Roman"/>
          <w:bCs/>
          <w:color w:val="auto"/>
          <w:spacing w:val="0"/>
          <w:sz w:val="24"/>
          <w:szCs w:val="24"/>
          <w:lang w:val="en-ZA" w:eastAsia="en-US"/>
        </w:rPr>
      </w:pPr>
      <w:r w:rsidRPr="00424B7B">
        <w:rPr>
          <w:rFonts w:ascii="Times New Roman" w:eastAsia="Calibri" w:hAnsi="Times New Roman"/>
          <w:bCs/>
          <w:color w:val="auto"/>
          <w:spacing w:val="0"/>
          <w:sz w:val="24"/>
          <w:szCs w:val="24"/>
          <w:lang w:val="en-ZA" w:eastAsia="en-US"/>
        </w:rPr>
        <w:t>Build relationships and partnerships locally and internationally; and</w:t>
      </w:r>
    </w:p>
    <w:p w14:paraId="76375F73" w14:textId="77777777" w:rsidR="00424B7B" w:rsidRPr="00424B7B" w:rsidRDefault="00424B7B" w:rsidP="00424B7B">
      <w:pPr>
        <w:pStyle w:val="ListParagraph"/>
        <w:numPr>
          <w:ilvl w:val="1"/>
          <w:numId w:val="47"/>
        </w:numPr>
        <w:spacing w:line="360" w:lineRule="auto"/>
        <w:rPr>
          <w:rFonts w:ascii="Times New Roman" w:eastAsia="Calibri" w:hAnsi="Times New Roman"/>
          <w:bCs/>
          <w:color w:val="auto"/>
          <w:spacing w:val="0"/>
          <w:sz w:val="24"/>
          <w:szCs w:val="24"/>
          <w:lang w:val="en-ZA" w:eastAsia="en-US"/>
        </w:rPr>
      </w:pPr>
      <w:r w:rsidRPr="00424B7B">
        <w:rPr>
          <w:rFonts w:ascii="Times New Roman" w:eastAsia="Calibri" w:hAnsi="Times New Roman"/>
          <w:bCs/>
          <w:color w:val="auto"/>
          <w:spacing w:val="0"/>
          <w:sz w:val="24"/>
          <w:szCs w:val="24"/>
          <w:lang w:val="en-ZA" w:eastAsia="en-US"/>
        </w:rPr>
        <w:t>Provide access to information.</w:t>
      </w:r>
    </w:p>
    <w:p w14:paraId="4555C353" w14:textId="77777777" w:rsidR="00424B7B" w:rsidRPr="00424B7B" w:rsidRDefault="00424B7B" w:rsidP="00424B7B">
      <w:pPr>
        <w:pStyle w:val="ListParagraph"/>
        <w:spacing w:line="360" w:lineRule="auto"/>
        <w:rPr>
          <w:rFonts w:ascii="Times New Roman" w:eastAsia="Calibri" w:hAnsi="Times New Roman"/>
          <w:bCs/>
          <w:color w:val="auto"/>
          <w:spacing w:val="0"/>
          <w:sz w:val="24"/>
          <w:szCs w:val="24"/>
          <w:lang w:val="en-ZA" w:eastAsia="en-US"/>
        </w:rPr>
      </w:pPr>
    </w:p>
    <w:p w14:paraId="06332D6F" w14:textId="77777777" w:rsidR="00424B7B" w:rsidRPr="00424B7B" w:rsidRDefault="00424B7B" w:rsidP="00424B7B">
      <w:pPr>
        <w:pStyle w:val="ListParagraph"/>
        <w:numPr>
          <w:ilvl w:val="0"/>
          <w:numId w:val="47"/>
        </w:numPr>
        <w:spacing w:line="360" w:lineRule="auto"/>
        <w:rPr>
          <w:rFonts w:ascii="Times New Roman" w:eastAsia="Calibri" w:hAnsi="Times New Roman"/>
          <w:bCs/>
          <w:color w:val="auto"/>
          <w:spacing w:val="0"/>
          <w:sz w:val="24"/>
          <w:szCs w:val="24"/>
          <w:lang w:val="en-ZA" w:eastAsia="en-US"/>
        </w:rPr>
      </w:pPr>
      <w:r w:rsidRPr="00424B7B">
        <w:rPr>
          <w:rFonts w:ascii="Times New Roman" w:eastAsia="Calibri" w:hAnsi="Times New Roman"/>
          <w:bCs/>
          <w:color w:val="auto"/>
          <w:spacing w:val="0"/>
          <w:sz w:val="24"/>
          <w:szCs w:val="24"/>
          <w:lang w:val="en-ZA" w:eastAsia="en-US"/>
        </w:rPr>
        <w:t>An integrated and inclusive society, aiming to:</w:t>
      </w:r>
    </w:p>
    <w:p w14:paraId="7462AC79" w14:textId="77777777" w:rsidR="00424B7B" w:rsidRPr="00424B7B" w:rsidRDefault="00424B7B" w:rsidP="00424B7B">
      <w:pPr>
        <w:pStyle w:val="ListParagraph"/>
        <w:numPr>
          <w:ilvl w:val="1"/>
          <w:numId w:val="47"/>
        </w:numPr>
        <w:spacing w:line="360" w:lineRule="auto"/>
        <w:rPr>
          <w:rFonts w:ascii="Times New Roman" w:eastAsia="Calibri" w:hAnsi="Times New Roman"/>
          <w:bCs/>
          <w:color w:val="auto"/>
          <w:spacing w:val="0"/>
          <w:sz w:val="24"/>
          <w:szCs w:val="24"/>
          <w:lang w:val="en-ZA" w:eastAsia="en-US"/>
        </w:rPr>
      </w:pPr>
      <w:r w:rsidRPr="00424B7B">
        <w:rPr>
          <w:rFonts w:ascii="Times New Roman" w:eastAsia="Calibri" w:hAnsi="Times New Roman"/>
          <w:bCs/>
          <w:color w:val="auto"/>
          <w:spacing w:val="0"/>
          <w:sz w:val="24"/>
          <w:szCs w:val="24"/>
          <w:lang w:val="en-ZA" w:eastAsia="en-US"/>
        </w:rPr>
        <w:t>Lead, coordinate and implement social cohesion programmes.</w:t>
      </w:r>
    </w:p>
    <w:p w14:paraId="087FA428" w14:textId="77777777" w:rsidR="00424B7B" w:rsidRPr="00424B7B" w:rsidRDefault="00424B7B" w:rsidP="00424B7B">
      <w:pPr>
        <w:pStyle w:val="ListParagraph"/>
        <w:spacing w:line="360" w:lineRule="auto"/>
        <w:rPr>
          <w:rFonts w:ascii="Times New Roman" w:eastAsia="Calibri" w:hAnsi="Times New Roman"/>
          <w:bCs/>
          <w:color w:val="auto"/>
          <w:spacing w:val="0"/>
          <w:sz w:val="24"/>
          <w:szCs w:val="24"/>
          <w:lang w:val="en-ZA" w:eastAsia="en-US"/>
        </w:rPr>
      </w:pPr>
    </w:p>
    <w:p w14:paraId="23C9524C" w14:textId="77777777" w:rsidR="00424B7B" w:rsidRPr="00424B7B" w:rsidRDefault="00424B7B" w:rsidP="00424B7B">
      <w:pPr>
        <w:pStyle w:val="ListParagraph"/>
        <w:numPr>
          <w:ilvl w:val="0"/>
          <w:numId w:val="47"/>
        </w:numPr>
        <w:spacing w:line="360" w:lineRule="auto"/>
        <w:rPr>
          <w:rFonts w:ascii="Times New Roman" w:eastAsia="Calibri" w:hAnsi="Times New Roman"/>
          <w:bCs/>
          <w:color w:val="auto"/>
          <w:spacing w:val="0"/>
          <w:sz w:val="24"/>
          <w:szCs w:val="24"/>
          <w:lang w:val="en-ZA" w:eastAsia="en-US"/>
        </w:rPr>
      </w:pPr>
      <w:r w:rsidRPr="00424B7B">
        <w:rPr>
          <w:rFonts w:ascii="Times New Roman" w:eastAsia="Calibri" w:hAnsi="Times New Roman"/>
          <w:bCs/>
          <w:color w:val="auto"/>
          <w:spacing w:val="0"/>
          <w:sz w:val="24"/>
          <w:szCs w:val="24"/>
          <w:lang w:val="en-ZA" w:eastAsia="en-US"/>
        </w:rPr>
        <w:t>An efficient and effective ACH sector, aiming to:</w:t>
      </w:r>
    </w:p>
    <w:p w14:paraId="7D66F72F" w14:textId="77777777" w:rsidR="00424B7B" w:rsidRPr="00424B7B" w:rsidRDefault="00424B7B" w:rsidP="00424B7B">
      <w:pPr>
        <w:pStyle w:val="ListParagraph"/>
        <w:numPr>
          <w:ilvl w:val="1"/>
          <w:numId w:val="47"/>
        </w:numPr>
        <w:spacing w:line="360" w:lineRule="auto"/>
        <w:rPr>
          <w:rFonts w:ascii="Times New Roman" w:eastAsia="Calibri" w:hAnsi="Times New Roman"/>
          <w:bCs/>
          <w:color w:val="auto"/>
          <w:spacing w:val="0"/>
          <w:sz w:val="24"/>
          <w:szCs w:val="24"/>
          <w:lang w:val="en-ZA" w:eastAsia="en-US"/>
        </w:rPr>
      </w:pPr>
      <w:r w:rsidRPr="00424B7B">
        <w:rPr>
          <w:rFonts w:ascii="Times New Roman" w:eastAsia="Calibri" w:hAnsi="Times New Roman"/>
          <w:bCs/>
          <w:color w:val="auto"/>
          <w:spacing w:val="0"/>
          <w:sz w:val="24"/>
          <w:szCs w:val="24"/>
          <w:lang w:val="en-ZA" w:eastAsia="en-US"/>
        </w:rPr>
        <w:t>Create a coherent policy and legislative environment for the ACH sector;</w:t>
      </w:r>
    </w:p>
    <w:p w14:paraId="7225D483" w14:textId="77777777" w:rsidR="00424B7B" w:rsidRPr="00424B7B" w:rsidRDefault="00424B7B" w:rsidP="00424B7B">
      <w:pPr>
        <w:pStyle w:val="ListParagraph"/>
        <w:numPr>
          <w:ilvl w:val="1"/>
          <w:numId w:val="47"/>
        </w:numPr>
        <w:spacing w:line="360" w:lineRule="auto"/>
        <w:rPr>
          <w:rFonts w:ascii="Times New Roman" w:eastAsia="Calibri" w:hAnsi="Times New Roman"/>
          <w:bCs/>
          <w:color w:val="auto"/>
          <w:spacing w:val="0"/>
          <w:sz w:val="24"/>
          <w:szCs w:val="24"/>
          <w:lang w:val="en-ZA" w:eastAsia="en-US"/>
        </w:rPr>
      </w:pPr>
      <w:r w:rsidRPr="00424B7B">
        <w:rPr>
          <w:rFonts w:ascii="Times New Roman" w:eastAsia="Calibri" w:hAnsi="Times New Roman"/>
          <w:bCs/>
          <w:color w:val="auto"/>
          <w:spacing w:val="0"/>
          <w:sz w:val="24"/>
          <w:szCs w:val="24"/>
          <w:lang w:val="en-ZA" w:eastAsia="en-US"/>
        </w:rPr>
        <w:t>Drive integrated outcomes-based research, planning, monitoring and evaluation across the sector;</w:t>
      </w:r>
    </w:p>
    <w:p w14:paraId="30568AF8" w14:textId="77777777" w:rsidR="00424B7B" w:rsidRPr="00424B7B" w:rsidRDefault="00424B7B" w:rsidP="00424B7B">
      <w:pPr>
        <w:pStyle w:val="ListParagraph"/>
        <w:numPr>
          <w:ilvl w:val="1"/>
          <w:numId w:val="47"/>
        </w:numPr>
        <w:spacing w:line="360" w:lineRule="auto"/>
        <w:rPr>
          <w:rFonts w:ascii="Times New Roman" w:eastAsia="Calibri" w:hAnsi="Times New Roman"/>
          <w:bCs/>
          <w:color w:val="auto"/>
          <w:spacing w:val="0"/>
          <w:sz w:val="24"/>
          <w:szCs w:val="24"/>
          <w:lang w:val="en-ZA" w:eastAsia="en-US"/>
        </w:rPr>
      </w:pPr>
      <w:r w:rsidRPr="00424B7B">
        <w:rPr>
          <w:rFonts w:ascii="Times New Roman" w:eastAsia="Calibri" w:hAnsi="Times New Roman"/>
          <w:bCs/>
          <w:color w:val="auto"/>
          <w:spacing w:val="0"/>
          <w:sz w:val="24"/>
          <w:szCs w:val="24"/>
          <w:lang w:val="en-ZA" w:eastAsia="en-US"/>
        </w:rPr>
        <w:t>Implement sound financial management and control systems; and</w:t>
      </w:r>
    </w:p>
    <w:p w14:paraId="031E1CCC" w14:textId="77777777" w:rsidR="00424B7B" w:rsidRPr="00424B7B" w:rsidRDefault="00424B7B" w:rsidP="00424B7B">
      <w:pPr>
        <w:pStyle w:val="ListParagraph"/>
        <w:numPr>
          <w:ilvl w:val="1"/>
          <w:numId w:val="47"/>
        </w:numPr>
        <w:spacing w:line="360" w:lineRule="auto"/>
        <w:rPr>
          <w:rFonts w:ascii="Times New Roman" w:eastAsia="Calibri" w:hAnsi="Times New Roman"/>
          <w:bCs/>
          <w:color w:val="auto"/>
          <w:spacing w:val="0"/>
          <w:sz w:val="24"/>
          <w:szCs w:val="24"/>
          <w:lang w:val="en-ZA" w:eastAsia="en-US"/>
        </w:rPr>
      </w:pPr>
      <w:r w:rsidRPr="00424B7B">
        <w:rPr>
          <w:rFonts w:ascii="Times New Roman" w:eastAsia="Calibri" w:hAnsi="Times New Roman"/>
          <w:bCs/>
          <w:color w:val="auto"/>
          <w:spacing w:val="0"/>
          <w:sz w:val="24"/>
          <w:szCs w:val="24"/>
          <w:lang w:val="en-ZA" w:eastAsia="en-US"/>
        </w:rPr>
        <w:t>Strengthen and modernise archives and records management systems.</w:t>
      </w:r>
    </w:p>
    <w:p w14:paraId="35436346" w14:textId="77777777" w:rsidR="00424B7B" w:rsidRPr="00424B7B" w:rsidRDefault="00424B7B" w:rsidP="00424B7B">
      <w:pPr>
        <w:pStyle w:val="ListParagraph"/>
        <w:spacing w:line="360" w:lineRule="auto"/>
        <w:rPr>
          <w:rFonts w:ascii="Times New Roman" w:eastAsia="Calibri" w:hAnsi="Times New Roman"/>
          <w:bCs/>
          <w:color w:val="auto"/>
          <w:spacing w:val="0"/>
          <w:sz w:val="24"/>
          <w:szCs w:val="24"/>
          <w:lang w:val="en-ZA" w:eastAsia="en-US"/>
        </w:rPr>
      </w:pPr>
    </w:p>
    <w:p w14:paraId="754451DD" w14:textId="77777777" w:rsidR="00424B7B" w:rsidRPr="00424B7B" w:rsidRDefault="00424B7B" w:rsidP="00424B7B">
      <w:pPr>
        <w:pStyle w:val="ListParagraph"/>
        <w:numPr>
          <w:ilvl w:val="0"/>
          <w:numId w:val="47"/>
        </w:numPr>
        <w:spacing w:line="360" w:lineRule="auto"/>
        <w:rPr>
          <w:rFonts w:ascii="Times New Roman" w:eastAsia="Calibri" w:hAnsi="Times New Roman"/>
          <w:bCs/>
          <w:color w:val="auto"/>
          <w:spacing w:val="0"/>
          <w:sz w:val="24"/>
          <w:szCs w:val="24"/>
          <w:lang w:val="en-ZA" w:eastAsia="en-US"/>
        </w:rPr>
      </w:pPr>
      <w:r w:rsidRPr="00424B7B">
        <w:rPr>
          <w:rFonts w:ascii="Times New Roman" w:eastAsia="Calibri" w:hAnsi="Times New Roman"/>
          <w:bCs/>
          <w:color w:val="auto"/>
          <w:spacing w:val="0"/>
          <w:sz w:val="24"/>
          <w:szCs w:val="24"/>
          <w:lang w:val="en-ZA" w:eastAsia="en-US"/>
        </w:rPr>
        <w:t>A professional and capacitated ACH sector, aiming to:</w:t>
      </w:r>
    </w:p>
    <w:p w14:paraId="59058F88" w14:textId="77777777" w:rsidR="00424B7B" w:rsidRPr="00424B7B" w:rsidRDefault="00424B7B" w:rsidP="00424B7B">
      <w:pPr>
        <w:pStyle w:val="ListParagraph"/>
        <w:numPr>
          <w:ilvl w:val="1"/>
          <w:numId w:val="47"/>
        </w:numPr>
        <w:spacing w:line="360" w:lineRule="auto"/>
        <w:rPr>
          <w:rFonts w:ascii="Times New Roman" w:eastAsia="Calibri" w:hAnsi="Times New Roman"/>
          <w:bCs/>
          <w:color w:val="auto"/>
          <w:spacing w:val="0"/>
          <w:sz w:val="24"/>
          <w:szCs w:val="24"/>
          <w:lang w:val="en-ZA" w:eastAsia="en-US"/>
        </w:rPr>
      </w:pPr>
      <w:r w:rsidRPr="00424B7B">
        <w:rPr>
          <w:rFonts w:ascii="Times New Roman" w:eastAsia="Calibri" w:hAnsi="Times New Roman"/>
          <w:bCs/>
          <w:color w:val="auto"/>
          <w:spacing w:val="0"/>
          <w:sz w:val="24"/>
          <w:szCs w:val="24"/>
          <w:lang w:val="en-ZA" w:eastAsia="en-US"/>
        </w:rPr>
        <w:lastRenderedPageBreak/>
        <w:t>Build human resource capacity and promote excellence.</w:t>
      </w:r>
    </w:p>
    <w:p w14:paraId="4560452C" w14:textId="77777777" w:rsidR="00424B7B" w:rsidRPr="00424B7B" w:rsidRDefault="00424B7B" w:rsidP="00424B7B">
      <w:pPr>
        <w:pStyle w:val="ListParagraph"/>
        <w:spacing w:line="360" w:lineRule="auto"/>
        <w:rPr>
          <w:rFonts w:ascii="Times New Roman" w:eastAsia="Calibri" w:hAnsi="Times New Roman"/>
          <w:bCs/>
          <w:color w:val="auto"/>
          <w:spacing w:val="0"/>
          <w:sz w:val="24"/>
          <w:szCs w:val="24"/>
          <w:lang w:val="en-ZA" w:eastAsia="en-US"/>
        </w:rPr>
      </w:pPr>
    </w:p>
    <w:p w14:paraId="194A90FD" w14:textId="77777777" w:rsidR="00424B7B" w:rsidRPr="00424B7B" w:rsidRDefault="00424B7B" w:rsidP="001E5B08">
      <w:pPr>
        <w:pStyle w:val="ListParagraph"/>
        <w:spacing w:line="360" w:lineRule="auto"/>
        <w:jc w:val="both"/>
        <w:rPr>
          <w:rFonts w:ascii="Times New Roman" w:eastAsia="Calibri" w:hAnsi="Times New Roman"/>
          <w:bCs/>
          <w:color w:val="auto"/>
          <w:spacing w:val="0"/>
          <w:sz w:val="24"/>
          <w:szCs w:val="24"/>
          <w:lang w:val="en-ZA" w:eastAsia="en-US"/>
        </w:rPr>
      </w:pPr>
      <w:r w:rsidRPr="00424B7B">
        <w:rPr>
          <w:rFonts w:ascii="Times New Roman" w:eastAsia="Calibri" w:hAnsi="Times New Roman"/>
          <w:bCs/>
          <w:color w:val="auto"/>
          <w:spacing w:val="0"/>
          <w:sz w:val="24"/>
          <w:szCs w:val="24"/>
          <w:lang w:val="en-ZA" w:eastAsia="en-US"/>
        </w:rPr>
        <w:t>The alignment of the Department’s prevailing strategic plan and annual performance plan (APP) with national, continental and global agendas is briefly discussed below.</w:t>
      </w:r>
    </w:p>
    <w:p w14:paraId="5CA8F1E1" w14:textId="77777777" w:rsidR="00424B7B" w:rsidRPr="00424B7B" w:rsidRDefault="00424B7B" w:rsidP="00424B7B">
      <w:pPr>
        <w:pStyle w:val="ListParagraph"/>
        <w:spacing w:line="360" w:lineRule="auto"/>
        <w:rPr>
          <w:rFonts w:ascii="Times New Roman" w:eastAsia="Calibri" w:hAnsi="Times New Roman"/>
          <w:bCs/>
          <w:color w:val="auto"/>
          <w:spacing w:val="0"/>
          <w:sz w:val="24"/>
          <w:szCs w:val="24"/>
          <w:lang w:val="en-ZA" w:eastAsia="en-US"/>
        </w:rPr>
      </w:pPr>
    </w:p>
    <w:p w14:paraId="585438E0" w14:textId="77777777" w:rsidR="00424B7B" w:rsidRPr="00424B7B" w:rsidRDefault="00C2511B" w:rsidP="00424B7B">
      <w:pPr>
        <w:pStyle w:val="ListParagraph"/>
        <w:spacing w:line="360" w:lineRule="auto"/>
        <w:rPr>
          <w:rFonts w:ascii="Times New Roman" w:eastAsia="Calibri" w:hAnsi="Times New Roman"/>
          <w:b/>
          <w:color w:val="auto"/>
          <w:spacing w:val="0"/>
          <w:sz w:val="24"/>
          <w:szCs w:val="24"/>
          <w:lang w:val="en-ZA" w:eastAsia="en-US"/>
        </w:rPr>
      </w:pPr>
      <w:bookmarkStart w:id="1" w:name="_Toc479843760"/>
      <w:r>
        <w:rPr>
          <w:rFonts w:ascii="Times New Roman" w:eastAsia="Calibri" w:hAnsi="Times New Roman"/>
          <w:b/>
          <w:color w:val="auto"/>
          <w:spacing w:val="0"/>
          <w:sz w:val="24"/>
          <w:szCs w:val="24"/>
          <w:lang w:val="en-ZA" w:eastAsia="en-US"/>
        </w:rPr>
        <w:t>5</w:t>
      </w:r>
      <w:r w:rsidR="00424B7B" w:rsidRPr="00424B7B">
        <w:rPr>
          <w:rFonts w:ascii="Times New Roman" w:eastAsia="Calibri" w:hAnsi="Times New Roman"/>
          <w:b/>
          <w:color w:val="auto"/>
          <w:spacing w:val="0"/>
          <w:sz w:val="24"/>
          <w:szCs w:val="24"/>
          <w:lang w:val="en-ZA" w:eastAsia="en-US"/>
        </w:rPr>
        <w:t>.1.</w:t>
      </w:r>
      <w:r w:rsidR="00424B7B" w:rsidRPr="00424B7B">
        <w:rPr>
          <w:rFonts w:ascii="Times New Roman" w:eastAsia="Calibri" w:hAnsi="Times New Roman"/>
          <w:b/>
          <w:color w:val="auto"/>
          <w:spacing w:val="0"/>
          <w:sz w:val="24"/>
          <w:szCs w:val="24"/>
          <w:lang w:val="en-ZA" w:eastAsia="en-US"/>
        </w:rPr>
        <w:tab/>
        <w:t>National agendas</w:t>
      </w:r>
      <w:bookmarkEnd w:id="1"/>
    </w:p>
    <w:p w14:paraId="3216D80C" w14:textId="77777777" w:rsidR="00424B7B" w:rsidRPr="00424B7B" w:rsidRDefault="00424B7B" w:rsidP="00424B7B">
      <w:pPr>
        <w:pStyle w:val="ListParagraph"/>
        <w:spacing w:line="360" w:lineRule="auto"/>
        <w:rPr>
          <w:rFonts w:ascii="Times New Roman" w:eastAsia="Calibri" w:hAnsi="Times New Roman"/>
          <w:color w:val="auto"/>
          <w:spacing w:val="0"/>
          <w:sz w:val="24"/>
          <w:szCs w:val="24"/>
          <w:lang w:val="en-ZA" w:eastAsia="en-US"/>
        </w:rPr>
      </w:pPr>
    </w:p>
    <w:p w14:paraId="316B02B3" w14:textId="77777777" w:rsidR="00424B7B" w:rsidRPr="00954AAD" w:rsidRDefault="00C2511B" w:rsidP="00954AAD">
      <w:pPr>
        <w:spacing w:line="360" w:lineRule="auto"/>
        <w:ind w:left="720"/>
        <w:rPr>
          <w:rFonts w:ascii="Times New Roman" w:eastAsia="Calibri" w:hAnsi="Times New Roman"/>
          <w:b/>
          <w:i/>
          <w:color w:val="auto"/>
          <w:spacing w:val="0"/>
          <w:sz w:val="24"/>
          <w:szCs w:val="24"/>
          <w:lang w:val="en-ZA" w:eastAsia="en-US"/>
        </w:rPr>
      </w:pPr>
      <w:bookmarkStart w:id="2" w:name="_Toc479843761"/>
      <w:r>
        <w:rPr>
          <w:rFonts w:ascii="Times New Roman" w:eastAsia="Calibri" w:hAnsi="Times New Roman"/>
          <w:b/>
          <w:i/>
          <w:color w:val="auto"/>
          <w:spacing w:val="0"/>
          <w:sz w:val="24"/>
          <w:szCs w:val="24"/>
          <w:lang w:val="en-ZA" w:eastAsia="en-US"/>
        </w:rPr>
        <w:t xml:space="preserve">5.1.1 </w:t>
      </w:r>
      <w:r w:rsidR="00424B7B" w:rsidRPr="00954AAD">
        <w:rPr>
          <w:rFonts w:ascii="Times New Roman" w:eastAsia="Calibri" w:hAnsi="Times New Roman"/>
          <w:b/>
          <w:i/>
          <w:color w:val="auto"/>
          <w:spacing w:val="0"/>
          <w:sz w:val="24"/>
          <w:szCs w:val="24"/>
          <w:lang w:val="en-ZA" w:eastAsia="en-US"/>
        </w:rPr>
        <w:t>National Development Plan</w:t>
      </w:r>
      <w:bookmarkEnd w:id="2"/>
    </w:p>
    <w:p w14:paraId="71536BA9" w14:textId="77777777" w:rsidR="00424B7B" w:rsidRPr="00424B7B" w:rsidRDefault="00424B7B" w:rsidP="00424B7B">
      <w:pPr>
        <w:pStyle w:val="ListParagraph"/>
        <w:spacing w:line="360" w:lineRule="auto"/>
        <w:rPr>
          <w:rFonts w:ascii="Times New Roman" w:eastAsia="Calibri" w:hAnsi="Times New Roman"/>
          <w:color w:val="auto"/>
          <w:spacing w:val="0"/>
          <w:sz w:val="24"/>
          <w:szCs w:val="24"/>
          <w:lang w:val="en-ZA" w:eastAsia="en-US"/>
        </w:rPr>
      </w:pPr>
    </w:p>
    <w:p w14:paraId="28561C0C" w14:textId="77777777" w:rsidR="00424B7B" w:rsidRPr="00424B7B" w:rsidRDefault="00424B7B" w:rsidP="001E5B08">
      <w:pPr>
        <w:pStyle w:val="ListParagraph"/>
        <w:spacing w:line="360" w:lineRule="auto"/>
        <w:jc w:val="both"/>
        <w:rPr>
          <w:rFonts w:ascii="Times New Roman" w:eastAsia="Calibri" w:hAnsi="Times New Roman"/>
          <w:color w:val="auto"/>
          <w:spacing w:val="0"/>
          <w:sz w:val="24"/>
          <w:szCs w:val="24"/>
          <w:lang w:val="en-ZA" w:eastAsia="en-US"/>
        </w:rPr>
      </w:pPr>
      <w:r w:rsidRPr="00424B7B">
        <w:rPr>
          <w:rFonts w:ascii="Times New Roman" w:eastAsia="Calibri" w:hAnsi="Times New Roman"/>
          <w:color w:val="auto"/>
          <w:spacing w:val="0"/>
          <w:sz w:val="24"/>
          <w:szCs w:val="24"/>
          <w:lang w:val="en-ZA" w:eastAsia="en-US"/>
        </w:rPr>
        <w:t>During the 2014-2019 term of government, the Medium-term Strategic Framework (MTSF) was aligned to the NDP. The Department thus plays a dual role in relation to the MTSF:</w:t>
      </w:r>
    </w:p>
    <w:p w14:paraId="0A7EB056" w14:textId="77777777" w:rsidR="00424B7B" w:rsidRPr="00424B7B" w:rsidRDefault="00424B7B" w:rsidP="001E5B08">
      <w:pPr>
        <w:pStyle w:val="ListParagraph"/>
        <w:spacing w:line="360" w:lineRule="auto"/>
        <w:jc w:val="both"/>
        <w:rPr>
          <w:rFonts w:ascii="Times New Roman" w:eastAsia="Calibri" w:hAnsi="Times New Roman"/>
          <w:color w:val="auto"/>
          <w:spacing w:val="0"/>
          <w:sz w:val="24"/>
          <w:szCs w:val="24"/>
          <w:lang w:val="en-ZA" w:eastAsia="en-US"/>
        </w:rPr>
      </w:pPr>
    </w:p>
    <w:p w14:paraId="393F7AA8" w14:textId="77777777" w:rsidR="00424B7B" w:rsidRPr="00424B7B" w:rsidRDefault="00424B7B" w:rsidP="001E5B08">
      <w:pPr>
        <w:pStyle w:val="ListParagraph"/>
        <w:numPr>
          <w:ilvl w:val="0"/>
          <w:numId w:val="28"/>
        </w:numPr>
        <w:spacing w:line="360" w:lineRule="auto"/>
        <w:jc w:val="both"/>
        <w:rPr>
          <w:rFonts w:ascii="Times New Roman" w:eastAsia="Calibri" w:hAnsi="Times New Roman"/>
          <w:color w:val="auto"/>
          <w:spacing w:val="0"/>
          <w:sz w:val="24"/>
          <w:szCs w:val="24"/>
          <w:lang w:val="en-ZA" w:eastAsia="en-US"/>
        </w:rPr>
      </w:pPr>
      <w:r w:rsidRPr="00424B7B">
        <w:rPr>
          <w:rFonts w:ascii="Times New Roman" w:eastAsia="Calibri" w:hAnsi="Times New Roman"/>
          <w:color w:val="auto"/>
          <w:spacing w:val="0"/>
          <w:sz w:val="24"/>
          <w:szCs w:val="24"/>
          <w:lang w:val="en-ZA" w:eastAsia="en-US"/>
        </w:rPr>
        <w:t>To lead and coordinate the delivery of the outputs of Outcome 14: A diverse, socially cohesive society with a common national identity. The Department is delegated to coordinate the implementation of Outcome 14; and</w:t>
      </w:r>
    </w:p>
    <w:p w14:paraId="53514756" w14:textId="77777777" w:rsidR="00424B7B" w:rsidRPr="00424B7B" w:rsidRDefault="00424B7B" w:rsidP="001E5B08">
      <w:pPr>
        <w:pStyle w:val="ListParagraph"/>
        <w:numPr>
          <w:ilvl w:val="0"/>
          <w:numId w:val="28"/>
        </w:numPr>
        <w:spacing w:line="360" w:lineRule="auto"/>
        <w:jc w:val="both"/>
        <w:rPr>
          <w:rFonts w:ascii="Times New Roman" w:eastAsia="Calibri" w:hAnsi="Times New Roman"/>
          <w:color w:val="auto"/>
          <w:spacing w:val="0"/>
          <w:sz w:val="24"/>
          <w:szCs w:val="24"/>
          <w:lang w:val="en-ZA" w:eastAsia="en-US"/>
        </w:rPr>
      </w:pPr>
      <w:r w:rsidRPr="00424B7B">
        <w:rPr>
          <w:rFonts w:ascii="Times New Roman" w:eastAsia="Calibri" w:hAnsi="Times New Roman"/>
          <w:color w:val="auto"/>
          <w:spacing w:val="0"/>
          <w:sz w:val="24"/>
          <w:szCs w:val="24"/>
          <w:lang w:val="en-ZA" w:eastAsia="en-US"/>
        </w:rPr>
        <w:t>To ensure alignment with and support for other outcomes of the MTSF through programmes and interventions by the sector.</w:t>
      </w:r>
    </w:p>
    <w:p w14:paraId="702A92F1" w14:textId="77777777" w:rsidR="00424B7B" w:rsidRPr="00424B7B" w:rsidRDefault="00424B7B" w:rsidP="001E5B08">
      <w:pPr>
        <w:pStyle w:val="ListParagraph"/>
        <w:spacing w:line="360" w:lineRule="auto"/>
        <w:jc w:val="both"/>
        <w:rPr>
          <w:rFonts w:ascii="Times New Roman" w:eastAsia="Calibri" w:hAnsi="Times New Roman"/>
          <w:color w:val="auto"/>
          <w:spacing w:val="0"/>
          <w:sz w:val="24"/>
          <w:szCs w:val="24"/>
          <w:lang w:val="en-ZA" w:eastAsia="en-US"/>
        </w:rPr>
      </w:pPr>
    </w:p>
    <w:p w14:paraId="2C542C8D" w14:textId="77777777" w:rsidR="00424B7B" w:rsidRPr="00424B7B" w:rsidRDefault="00424B7B" w:rsidP="001E5B08">
      <w:pPr>
        <w:pStyle w:val="ListParagraph"/>
        <w:spacing w:line="360" w:lineRule="auto"/>
        <w:jc w:val="both"/>
        <w:rPr>
          <w:rFonts w:ascii="Times New Roman" w:eastAsia="Calibri" w:hAnsi="Times New Roman"/>
          <w:color w:val="auto"/>
          <w:spacing w:val="0"/>
          <w:sz w:val="24"/>
          <w:szCs w:val="24"/>
          <w:lang w:val="en-ZA" w:eastAsia="en-US"/>
        </w:rPr>
      </w:pPr>
      <w:r w:rsidRPr="00424B7B">
        <w:rPr>
          <w:rFonts w:ascii="Times New Roman" w:eastAsia="Calibri" w:hAnsi="Times New Roman"/>
          <w:color w:val="auto"/>
          <w:spacing w:val="0"/>
          <w:sz w:val="24"/>
          <w:szCs w:val="24"/>
          <w:lang w:val="en-ZA" w:eastAsia="en-US"/>
        </w:rPr>
        <w:t>Strategic planning within the Department has taken cognisance of the NDP, particularly Chapter 15, and thus the Department aims to integrate arts, culture, language and heritage into all sectors of national life. The Department further seeks to unleash the potential of the arts, culture and heritage sector to contribute to job creation and economic growth through the MGE Strategy.</w:t>
      </w:r>
      <w:r w:rsidRPr="00424B7B">
        <w:rPr>
          <w:rFonts w:ascii="Times New Roman" w:eastAsia="Calibri" w:hAnsi="Times New Roman"/>
          <w:color w:val="auto"/>
          <w:spacing w:val="0"/>
          <w:sz w:val="24"/>
          <w:szCs w:val="24"/>
          <w:vertAlign w:val="superscript"/>
          <w:lang w:val="en-ZA" w:eastAsia="en-US"/>
        </w:rPr>
        <w:footnoteReference w:id="9"/>
      </w:r>
    </w:p>
    <w:p w14:paraId="343DE096" w14:textId="77777777" w:rsidR="00424B7B" w:rsidRPr="00424B7B" w:rsidRDefault="00424B7B" w:rsidP="00424B7B">
      <w:pPr>
        <w:pStyle w:val="ListParagraph"/>
        <w:spacing w:line="360" w:lineRule="auto"/>
        <w:rPr>
          <w:rFonts w:ascii="Times New Roman" w:eastAsia="Calibri" w:hAnsi="Times New Roman"/>
          <w:color w:val="auto"/>
          <w:spacing w:val="0"/>
          <w:sz w:val="24"/>
          <w:szCs w:val="24"/>
          <w:lang w:val="en-ZA" w:eastAsia="en-US"/>
        </w:rPr>
      </w:pPr>
    </w:p>
    <w:p w14:paraId="44DD9948" w14:textId="77777777" w:rsidR="00424B7B" w:rsidRPr="00424B7B" w:rsidRDefault="00424B7B" w:rsidP="001E5B08">
      <w:pPr>
        <w:pStyle w:val="ListParagraph"/>
        <w:spacing w:line="360" w:lineRule="auto"/>
        <w:jc w:val="both"/>
        <w:rPr>
          <w:rFonts w:ascii="Times New Roman" w:eastAsia="Calibri" w:hAnsi="Times New Roman"/>
          <w:color w:val="auto"/>
          <w:spacing w:val="0"/>
          <w:sz w:val="24"/>
          <w:szCs w:val="24"/>
          <w:lang w:val="en-ZA" w:eastAsia="en-US"/>
        </w:rPr>
      </w:pPr>
      <w:r w:rsidRPr="00424B7B">
        <w:rPr>
          <w:rFonts w:ascii="Times New Roman" w:eastAsia="Calibri" w:hAnsi="Times New Roman"/>
          <w:color w:val="auto"/>
          <w:spacing w:val="0"/>
          <w:sz w:val="24"/>
          <w:szCs w:val="24"/>
          <w:lang w:val="en-ZA" w:eastAsia="en-US"/>
        </w:rPr>
        <w:t>For the current financial year, the Department has ensured that its policy priorities are aligned with the NDP.</w:t>
      </w:r>
      <w:r w:rsidRPr="00424B7B">
        <w:rPr>
          <w:rFonts w:ascii="Times New Roman" w:eastAsia="Calibri" w:hAnsi="Times New Roman"/>
          <w:color w:val="auto"/>
          <w:spacing w:val="0"/>
          <w:sz w:val="24"/>
          <w:szCs w:val="24"/>
          <w:vertAlign w:val="superscript"/>
          <w:lang w:val="en-ZA" w:eastAsia="en-US"/>
        </w:rPr>
        <w:footnoteReference w:id="10"/>
      </w:r>
      <w:r w:rsidRPr="00424B7B">
        <w:rPr>
          <w:rFonts w:ascii="Times New Roman" w:eastAsia="Calibri" w:hAnsi="Times New Roman"/>
          <w:color w:val="auto"/>
          <w:spacing w:val="0"/>
          <w:sz w:val="24"/>
          <w:szCs w:val="24"/>
          <w:lang w:val="en-ZA" w:eastAsia="en-US"/>
        </w:rPr>
        <w:t xml:space="preserve"> The NDP provides the impetus for the budget over the 2014-2017 medium </w:t>
      </w:r>
      <w:proofErr w:type="gramStart"/>
      <w:r w:rsidRPr="00424B7B">
        <w:rPr>
          <w:rFonts w:ascii="Times New Roman" w:eastAsia="Calibri" w:hAnsi="Times New Roman"/>
          <w:color w:val="auto"/>
          <w:spacing w:val="0"/>
          <w:sz w:val="24"/>
          <w:szCs w:val="24"/>
          <w:lang w:val="en-ZA" w:eastAsia="en-US"/>
        </w:rPr>
        <w:lastRenderedPageBreak/>
        <w:t>term</w:t>
      </w:r>
      <w:proofErr w:type="gramEnd"/>
      <w:r w:rsidRPr="00424B7B">
        <w:rPr>
          <w:rFonts w:ascii="Times New Roman" w:eastAsia="Calibri" w:hAnsi="Times New Roman"/>
          <w:color w:val="auto"/>
          <w:spacing w:val="0"/>
          <w:sz w:val="24"/>
          <w:szCs w:val="24"/>
          <w:lang w:val="en-ZA" w:eastAsia="en-US"/>
        </w:rPr>
        <w:t xml:space="preserve"> and is central to all the work of government. Through addressing the following three areas the Department aligns its work with the NDP:</w:t>
      </w:r>
    </w:p>
    <w:p w14:paraId="044E413E" w14:textId="77777777" w:rsidR="00424B7B" w:rsidRPr="00424B7B" w:rsidRDefault="00424B7B" w:rsidP="00424B7B">
      <w:pPr>
        <w:pStyle w:val="ListParagraph"/>
        <w:spacing w:line="360" w:lineRule="auto"/>
        <w:rPr>
          <w:rFonts w:ascii="Times New Roman" w:eastAsia="Calibri" w:hAnsi="Times New Roman"/>
          <w:color w:val="auto"/>
          <w:spacing w:val="0"/>
          <w:sz w:val="24"/>
          <w:szCs w:val="24"/>
          <w:lang w:val="en-ZA" w:eastAsia="en-US"/>
        </w:rPr>
      </w:pPr>
    </w:p>
    <w:p w14:paraId="49299215" w14:textId="77777777" w:rsidR="00424B7B" w:rsidRPr="00424B7B" w:rsidRDefault="00424B7B" w:rsidP="00424B7B">
      <w:pPr>
        <w:pStyle w:val="ListParagraph"/>
        <w:numPr>
          <w:ilvl w:val="0"/>
          <w:numId w:val="28"/>
        </w:numPr>
        <w:spacing w:line="360" w:lineRule="auto"/>
        <w:rPr>
          <w:rFonts w:ascii="Times New Roman" w:eastAsia="Calibri" w:hAnsi="Times New Roman"/>
          <w:color w:val="auto"/>
          <w:spacing w:val="0"/>
          <w:sz w:val="24"/>
          <w:szCs w:val="24"/>
          <w:lang w:val="en-ZA" w:eastAsia="en-US"/>
        </w:rPr>
      </w:pPr>
      <w:r w:rsidRPr="00424B7B">
        <w:rPr>
          <w:rFonts w:ascii="Times New Roman" w:eastAsia="Calibri" w:hAnsi="Times New Roman"/>
          <w:color w:val="auto"/>
          <w:spacing w:val="0"/>
          <w:sz w:val="24"/>
          <w:szCs w:val="24"/>
          <w:lang w:val="en-ZA" w:eastAsia="en-US"/>
        </w:rPr>
        <w:t>Social cohesion and nation building;</w:t>
      </w:r>
    </w:p>
    <w:p w14:paraId="5AD6100F" w14:textId="77777777" w:rsidR="00424B7B" w:rsidRPr="00424B7B" w:rsidRDefault="00424B7B" w:rsidP="00424B7B">
      <w:pPr>
        <w:pStyle w:val="ListParagraph"/>
        <w:numPr>
          <w:ilvl w:val="0"/>
          <w:numId w:val="28"/>
        </w:numPr>
        <w:spacing w:line="360" w:lineRule="auto"/>
        <w:rPr>
          <w:rFonts w:ascii="Times New Roman" w:eastAsia="Calibri" w:hAnsi="Times New Roman"/>
          <w:color w:val="auto"/>
          <w:spacing w:val="0"/>
          <w:sz w:val="24"/>
          <w:szCs w:val="24"/>
          <w:lang w:val="en-ZA" w:eastAsia="en-US"/>
        </w:rPr>
      </w:pPr>
      <w:r w:rsidRPr="00424B7B">
        <w:rPr>
          <w:rFonts w:ascii="Times New Roman" w:eastAsia="Calibri" w:hAnsi="Times New Roman"/>
          <w:color w:val="auto"/>
          <w:spacing w:val="0"/>
          <w:sz w:val="24"/>
          <w:szCs w:val="24"/>
          <w:lang w:val="en-ZA" w:eastAsia="en-US"/>
        </w:rPr>
        <w:t>Job creation and economic development; and</w:t>
      </w:r>
    </w:p>
    <w:p w14:paraId="613306E2" w14:textId="77777777" w:rsidR="00424B7B" w:rsidRPr="00424B7B" w:rsidRDefault="00424B7B" w:rsidP="00424B7B">
      <w:pPr>
        <w:pStyle w:val="ListParagraph"/>
        <w:numPr>
          <w:ilvl w:val="0"/>
          <w:numId w:val="28"/>
        </w:numPr>
        <w:spacing w:line="360" w:lineRule="auto"/>
        <w:rPr>
          <w:rFonts w:ascii="Times New Roman" w:eastAsia="Calibri" w:hAnsi="Times New Roman"/>
          <w:color w:val="auto"/>
          <w:spacing w:val="0"/>
          <w:sz w:val="24"/>
          <w:szCs w:val="24"/>
          <w:lang w:val="en-ZA" w:eastAsia="en-US"/>
        </w:rPr>
      </w:pPr>
      <w:r w:rsidRPr="00424B7B">
        <w:rPr>
          <w:rFonts w:ascii="Times New Roman" w:eastAsia="Calibri" w:hAnsi="Times New Roman"/>
          <w:color w:val="auto"/>
          <w:spacing w:val="0"/>
          <w:sz w:val="24"/>
          <w:szCs w:val="24"/>
          <w:lang w:val="en-ZA" w:eastAsia="en-US"/>
        </w:rPr>
        <w:t>Quality education and rural development.</w:t>
      </w:r>
    </w:p>
    <w:p w14:paraId="7D9BFA78" w14:textId="77777777" w:rsidR="00424B7B" w:rsidRPr="00424B7B" w:rsidRDefault="00424B7B" w:rsidP="00424B7B">
      <w:pPr>
        <w:pStyle w:val="ListParagraph"/>
        <w:spacing w:line="360" w:lineRule="auto"/>
        <w:rPr>
          <w:rFonts w:ascii="Times New Roman" w:eastAsia="Calibri" w:hAnsi="Times New Roman"/>
          <w:color w:val="auto"/>
          <w:spacing w:val="0"/>
          <w:sz w:val="24"/>
          <w:szCs w:val="24"/>
          <w:lang w:val="en-ZA" w:eastAsia="en-US"/>
        </w:rPr>
      </w:pPr>
    </w:p>
    <w:p w14:paraId="63E4BCC9" w14:textId="77777777" w:rsidR="00424B7B" w:rsidRPr="00424B7B" w:rsidRDefault="00424B7B" w:rsidP="001E5B08">
      <w:pPr>
        <w:pStyle w:val="ListParagraph"/>
        <w:spacing w:line="360" w:lineRule="auto"/>
        <w:jc w:val="both"/>
        <w:rPr>
          <w:rFonts w:ascii="Times New Roman" w:eastAsia="Calibri" w:hAnsi="Times New Roman"/>
          <w:color w:val="auto"/>
          <w:spacing w:val="0"/>
          <w:sz w:val="24"/>
          <w:szCs w:val="24"/>
          <w:lang w:val="en-ZA" w:eastAsia="en-US"/>
        </w:rPr>
      </w:pPr>
      <w:r w:rsidRPr="00424B7B">
        <w:rPr>
          <w:rFonts w:ascii="Times New Roman" w:eastAsia="Calibri" w:hAnsi="Times New Roman"/>
          <w:color w:val="auto"/>
          <w:spacing w:val="0"/>
          <w:sz w:val="24"/>
          <w:szCs w:val="24"/>
          <w:lang w:val="en-ZA" w:eastAsia="en-US"/>
        </w:rPr>
        <w:t>In response to the call to lead the way on matters of social cohesion, the Department has elevated the status of social cohesion and national building to sub</w:t>
      </w:r>
      <w:r w:rsidR="00C2511B">
        <w:rPr>
          <w:rFonts w:ascii="Times New Roman" w:eastAsia="Calibri" w:hAnsi="Times New Roman"/>
          <w:color w:val="auto"/>
          <w:spacing w:val="0"/>
          <w:sz w:val="24"/>
          <w:szCs w:val="24"/>
          <w:lang w:val="en-ZA" w:eastAsia="en-US"/>
        </w:rPr>
        <w:t>-</w:t>
      </w:r>
      <w:r w:rsidRPr="00424B7B">
        <w:rPr>
          <w:rFonts w:ascii="Times New Roman" w:eastAsia="Calibri" w:hAnsi="Times New Roman"/>
          <w:color w:val="auto"/>
          <w:spacing w:val="0"/>
          <w:sz w:val="24"/>
          <w:szCs w:val="24"/>
          <w:lang w:val="en-ZA" w:eastAsia="en-US"/>
        </w:rPr>
        <w:t>programme level within its Institutional Governance Programme as of 2014/15. Strategies and programmes such as the MGE Strategy, artists in schools, building ACH infrastructure (libraries, monuments and arts centres), and flags in schools all contribute to the implementation of the Chapter 15 of the NDP and Outcome 14 of the MTSF. It is encouraging to note that improving the functioning of PanSALB has been listed as a priority for the Department since improving PanSALB’s performance speaks directly to the statement in the NDP that says “all South Africans should be encouraged to learn an African Language and government programmes should work to make this a reality”</w:t>
      </w:r>
      <w:r w:rsidRPr="00424B7B">
        <w:rPr>
          <w:rFonts w:ascii="Times New Roman" w:eastAsia="Calibri" w:hAnsi="Times New Roman"/>
          <w:color w:val="auto"/>
          <w:spacing w:val="0"/>
          <w:sz w:val="24"/>
          <w:szCs w:val="24"/>
          <w:vertAlign w:val="superscript"/>
          <w:lang w:val="en-ZA" w:eastAsia="en-US"/>
        </w:rPr>
        <w:footnoteReference w:id="11"/>
      </w:r>
      <w:r w:rsidRPr="00424B7B">
        <w:rPr>
          <w:rFonts w:ascii="Times New Roman" w:eastAsia="Calibri" w:hAnsi="Times New Roman"/>
          <w:color w:val="auto"/>
          <w:spacing w:val="0"/>
          <w:sz w:val="24"/>
          <w:szCs w:val="24"/>
          <w:lang w:val="en-ZA" w:eastAsia="en-US"/>
        </w:rPr>
        <w:t>.</w:t>
      </w:r>
    </w:p>
    <w:p w14:paraId="592B5A23" w14:textId="77777777" w:rsidR="00424B7B" w:rsidRPr="00424B7B" w:rsidRDefault="00424B7B" w:rsidP="00424B7B">
      <w:pPr>
        <w:pStyle w:val="ListParagraph"/>
        <w:spacing w:line="360" w:lineRule="auto"/>
        <w:rPr>
          <w:rFonts w:ascii="Times New Roman" w:eastAsia="Calibri" w:hAnsi="Times New Roman"/>
          <w:color w:val="auto"/>
          <w:spacing w:val="0"/>
          <w:sz w:val="24"/>
          <w:szCs w:val="24"/>
          <w:lang w:val="en-ZA" w:eastAsia="en-US"/>
        </w:rPr>
      </w:pPr>
    </w:p>
    <w:p w14:paraId="6F2DD8DD" w14:textId="77777777" w:rsidR="00424B7B" w:rsidRPr="00954AAD" w:rsidRDefault="00B37C36" w:rsidP="00954AAD">
      <w:pPr>
        <w:spacing w:line="360" w:lineRule="auto"/>
        <w:ind w:left="720"/>
        <w:rPr>
          <w:rFonts w:ascii="Times New Roman" w:eastAsia="Calibri" w:hAnsi="Times New Roman"/>
          <w:b/>
          <w:i/>
          <w:color w:val="auto"/>
          <w:spacing w:val="0"/>
          <w:sz w:val="24"/>
          <w:szCs w:val="24"/>
          <w:lang w:val="en-ZA" w:eastAsia="en-US"/>
        </w:rPr>
      </w:pPr>
      <w:bookmarkStart w:id="3" w:name="_Toc479843762"/>
      <w:r>
        <w:rPr>
          <w:rFonts w:ascii="Times New Roman" w:eastAsia="Calibri" w:hAnsi="Times New Roman"/>
          <w:b/>
          <w:i/>
          <w:color w:val="auto"/>
          <w:spacing w:val="0"/>
          <w:sz w:val="24"/>
          <w:szCs w:val="24"/>
          <w:lang w:val="en-ZA" w:eastAsia="en-US"/>
        </w:rPr>
        <w:t xml:space="preserve">5.1.2 </w:t>
      </w:r>
      <w:r w:rsidR="00424B7B" w:rsidRPr="00954AAD">
        <w:rPr>
          <w:rFonts w:ascii="Times New Roman" w:eastAsia="Calibri" w:hAnsi="Times New Roman"/>
          <w:b/>
          <w:i/>
          <w:color w:val="auto"/>
          <w:spacing w:val="0"/>
          <w:sz w:val="24"/>
          <w:szCs w:val="24"/>
          <w:lang w:val="en-ZA" w:eastAsia="en-US"/>
        </w:rPr>
        <w:t>Nine-Point Plan</w:t>
      </w:r>
      <w:bookmarkEnd w:id="3"/>
    </w:p>
    <w:p w14:paraId="4CE5828E" w14:textId="77777777" w:rsidR="00424B7B" w:rsidRPr="00424B7B" w:rsidRDefault="00424B7B" w:rsidP="00424B7B">
      <w:pPr>
        <w:pStyle w:val="ListParagraph"/>
        <w:spacing w:line="360" w:lineRule="auto"/>
        <w:rPr>
          <w:rFonts w:ascii="Times New Roman" w:eastAsia="Calibri" w:hAnsi="Times New Roman"/>
          <w:color w:val="auto"/>
          <w:spacing w:val="0"/>
          <w:sz w:val="24"/>
          <w:szCs w:val="24"/>
          <w:lang w:val="en-ZA" w:eastAsia="en-US"/>
        </w:rPr>
      </w:pPr>
    </w:p>
    <w:p w14:paraId="1BCE6D8F" w14:textId="77777777" w:rsidR="00424B7B" w:rsidRPr="00424B7B" w:rsidRDefault="00424B7B" w:rsidP="001E5B08">
      <w:pPr>
        <w:pStyle w:val="ListParagraph"/>
        <w:spacing w:line="360" w:lineRule="auto"/>
        <w:jc w:val="both"/>
        <w:rPr>
          <w:rFonts w:ascii="Times New Roman" w:eastAsia="Calibri" w:hAnsi="Times New Roman"/>
          <w:color w:val="auto"/>
          <w:spacing w:val="0"/>
          <w:sz w:val="24"/>
          <w:szCs w:val="24"/>
          <w:lang w:val="en-ZA" w:eastAsia="en-US"/>
        </w:rPr>
      </w:pPr>
      <w:r w:rsidRPr="00424B7B">
        <w:rPr>
          <w:rFonts w:ascii="Times New Roman" w:eastAsia="Calibri" w:hAnsi="Times New Roman"/>
          <w:color w:val="auto"/>
          <w:spacing w:val="0"/>
          <w:sz w:val="24"/>
          <w:szCs w:val="24"/>
          <w:lang w:val="en-ZA" w:eastAsia="en-US"/>
        </w:rPr>
        <w:t>Government’s Nine-Point Plan aims to grow the economy and create much-needed jobs. While the Department does not play a lead role in the achievement of the initiatives of the plan, through the MGE Strategy, the Department does contribute by increasing job creation in the sector and thus stimulating the South African economy.</w:t>
      </w:r>
    </w:p>
    <w:p w14:paraId="594DD6F9" w14:textId="77777777" w:rsidR="00424B7B" w:rsidRPr="00424B7B" w:rsidRDefault="00424B7B" w:rsidP="00424B7B">
      <w:pPr>
        <w:pStyle w:val="ListParagraph"/>
        <w:spacing w:line="360" w:lineRule="auto"/>
        <w:rPr>
          <w:rFonts w:ascii="Times New Roman" w:eastAsia="Calibri" w:hAnsi="Times New Roman"/>
          <w:color w:val="auto"/>
          <w:spacing w:val="0"/>
          <w:sz w:val="24"/>
          <w:szCs w:val="24"/>
          <w:lang w:val="en-ZA" w:eastAsia="en-US"/>
        </w:rPr>
      </w:pPr>
    </w:p>
    <w:p w14:paraId="1A3CE800" w14:textId="77777777" w:rsidR="00424B7B" w:rsidRPr="00424B7B" w:rsidRDefault="003A611E" w:rsidP="00424B7B">
      <w:pPr>
        <w:pStyle w:val="ListParagraph"/>
        <w:spacing w:line="360" w:lineRule="auto"/>
        <w:rPr>
          <w:rFonts w:ascii="Times New Roman" w:eastAsia="Calibri" w:hAnsi="Times New Roman"/>
          <w:b/>
          <w:color w:val="auto"/>
          <w:spacing w:val="0"/>
          <w:sz w:val="24"/>
          <w:szCs w:val="24"/>
          <w:lang w:val="en-ZA" w:eastAsia="en-US"/>
        </w:rPr>
      </w:pPr>
      <w:bookmarkStart w:id="4" w:name="_Toc479843763"/>
      <w:r>
        <w:rPr>
          <w:rFonts w:ascii="Times New Roman" w:eastAsia="Calibri" w:hAnsi="Times New Roman"/>
          <w:b/>
          <w:color w:val="auto"/>
          <w:spacing w:val="0"/>
          <w:sz w:val="24"/>
          <w:szCs w:val="24"/>
          <w:lang w:val="en-ZA" w:eastAsia="en-US"/>
        </w:rPr>
        <w:t>5</w:t>
      </w:r>
      <w:r w:rsidR="00424B7B" w:rsidRPr="00424B7B">
        <w:rPr>
          <w:rFonts w:ascii="Times New Roman" w:eastAsia="Calibri" w:hAnsi="Times New Roman"/>
          <w:b/>
          <w:color w:val="auto"/>
          <w:spacing w:val="0"/>
          <w:sz w:val="24"/>
          <w:szCs w:val="24"/>
          <w:lang w:val="en-ZA" w:eastAsia="en-US"/>
        </w:rPr>
        <w:t>.2.</w:t>
      </w:r>
      <w:r w:rsidR="00424B7B" w:rsidRPr="00424B7B">
        <w:rPr>
          <w:rFonts w:ascii="Times New Roman" w:eastAsia="Calibri" w:hAnsi="Times New Roman"/>
          <w:b/>
          <w:color w:val="auto"/>
          <w:spacing w:val="0"/>
          <w:sz w:val="24"/>
          <w:szCs w:val="24"/>
          <w:lang w:val="en-ZA" w:eastAsia="en-US"/>
        </w:rPr>
        <w:tab/>
        <w:t>Continental and global agendas</w:t>
      </w:r>
      <w:bookmarkEnd w:id="4"/>
    </w:p>
    <w:p w14:paraId="2D9CFDCD" w14:textId="77777777" w:rsidR="00424B7B" w:rsidRPr="00424B7B" w:rsidRDefault="00424B7B" w:rsidP="00424B7B">
      <w:pPr>
        <w:pStyle w:val="ListParagraph"/>
        <w:spacing w:line="360" w:lineRule="auto"/>
        <w:rPr>
          <w:rFonts w:ascii="Times New Roman" w:eastAsia="Calibri" w:hAnsi="Times New Roman"/>
          <w:color w:val="auto"/>
          <w:spacing w:val="0"/>
          <w:sz w:val="24"/>
          <w:szCs w:val="24"/>
          <w:lang w:val="en-ZA" w:eastAsia="en-US"/>
        </w:rPr>
      </w:pPr>
    </w:p>
    <w:p w14:paraId="7AC164FB" w14:textId="77777777" w:rsidR="00424B7B" w:rsidRPr="00424B7B" w:rsidRDefault="00424B7B" w:rsidP="001E5B08">
      <w:pPr>
        <w:pStyle w:val="ListParagraph"/>
        <w:spacing w:line="360" w:lineRule="auto"/>
        <w:jc w:val="both"/>
        <w:rPr>
          <w:rFonts w:ascii="Times New Roman" w:eastAsia="Calibri" w:hAnsi="Times New Roman"/>
          <w:color w:val="auto"/>
          <w:spacing w:val="0"/>
          <w:sz w:val="24"/>
          <w:szCs w:val="24"/>
          <w:lang w:val="en-ZA" w:eastAsia="en-US"/>
        </w:rPr>
      </w:pPr>
      <w:r w:rsidRPr="00424B7B">
        <w:rPr>
          <w:rFonts w:ascii="Times New Roman" w:eastAsia="Calibri" w:hAnsi="Times New Roman"/>
          <w:color w:val="auto"/>
          <w:spacing w:val="0"/>
          <w:sz w:val="24"/>
          <w:szCs w:val="24"/>
          <w:lang w:val="en-ZA" w:eastAsia="en-US"/>
        </w:rPr>
        <w:lastRenderedPageBreak/>
        <w:t>A brief outline of the alignment of the Department’s policy priorities to the United Nations’ (UN) Sustainable Development Goals (SDGs) and the Aspirations of the African Union’s (AU) Agenda 2063 follows below.</w:t>
      </w:r>
    </w:p>
    <w:p w14:paraId="684BE445" w14:textId="77777777" w:rsidR="00424B7B" w:rsidRPr="00424B7B" w:rsidRDefault="00424B7B" w:rsidP="00424B7B">
      <w:pPr>
        <w:pStyle w:val="ListParagraph"/>
        <w:spacing w:line="360" w:lineRule="auto"/>
        <w:rPr>
          <w:rFonts w:ascii="Times New Roman" w:eastAsia="Calibri" w:hAnsi="Times New Roman"/>
          <w:color w:val="auto"/>
          <w:spacing w:val="0"/>
          <w:sz w:val="24"/>
          <w:szCs w:val="24"/>
          <w:lang w:val="en-ZA" w:eastAsia="en-US"/>
        </w:rPr>
      </w:pPr>
    </w:p>
    <w:p w14:paraId="42812B45" w14:textId="77777777" w:rsidR="00424B7B" w:rsidRDefault="003A611E" w:rsidP="00424B7B">
      <w:pPr>
        <w:pStyle w:val="ListParagraph"/>
        <w:spacing w:line="360" w:lineRule="auto"/>
        <w:rPr>
          <w:rFonts w:ascii="Times New Roman" w:eastAsia="Calibri" w:hAnsi="Times New Roman"/>
          <w:b/>
          <w:i/>
          <w:color w:val="auto"/>
          <w:spacing w:val="0"/>
          <w:sz w:val="24"/>
          <w:szCs w:val="24"/>
          <w:lang w:val="en-ZA" w:eastAsia="en-US"/>
        </w:rPr>
      </w:pPr>
      <w:bookmarkStart w:id="5" w:name="_Toc479843764"/>
      <w:r>
        <w:rPr>
          <w:rFonts w:ascii="Times New Roman" w:eastAsia="Calibri" w:hAnsi="Times New Roman"/>
          <w:b/>
          <w:i/>
          <w:color w:val="auto"/>
          <w:spacing w:val="0"/>
          <w:sz w:val="24"/>
          <w:szCs w:val="24"/>
          <w:lang w:val="en-ZA" w:eastAsia="en-US"/>
        </w:rPr>
        <w:t>5</w:t>
      </w:r>
      <w:r w:rsidR="00424B7B" w:rsidRPr="00424B7B">
        <w:rPr>
          <w:rFonts w:ascii="Times New Roman" w:eastAsia="Calibri" w:hAnsi="Times New Roman"/>
          <w:b/>
          <w:i/>
          <w:color w:val="auto"/>
          <w:spacing w:val="0"/>
          <w:sz w:val="24"/>
          <w:szCs w:val="24"/>
          <w:lang w:val="en-ZA" w:eastAsia="en-US"/>
        </w:rPr>
        <w:t>.2.1.</w:t>
      </w:r>
      <w:r w:rsidR="00424B7B" w:rsidRPr="00424B7B">
        <w:rPr>
          <w:rFonts w:ascii="Times New Roman" w:eastAsia="Calibri" w:hAnsi="Times New Roman"/>
          <w:b/>
          <w:i/>
          <w:color w:val="auto"/>
          <w:spacing w:val="0"/>
          <w:sz w:val="24"/>
          <w:szCs w:val="24"/>
          <w:lang w:val="en-ZA" w:eastAsia="en-US"/>
        </w:rPr>
        <w:tab/>
        <w:t>Sustainable Development Goals</w:t>
      </w:r>
      <w:bookmarkEnd w:id="5"/>
    </w:p>
    <w:p w14:paraId="7065C7BC" w14:textId="77777777" w:rsidR="000168D0" w:rsidRPr="00424B7B" w:rsidRDefault="000168D0" w:rsidP="001E5B08">
      <w:pPr>
        <w:pStyle w:val="ListParagraph"/>
        <w:spacing w:line="360" w:lineRule="auto"/>
        <w:jc w:val="both"/>
        <w:rPr>
          <w:rFonts w:ascii="Times New Roman" w:eastAsia="Calibri" w:hAnsi="Times New Roman"/>
          <w:color w:val="auto"/>
          <w:spacing w:val="0"/>
          <w:sz w:val="24"/>
          <w:szCs w:val="24"/>
          <w:lang w:val="en-ZA" w:eastAsia="en-US"/>
        </w:rPr>
      </w:pPr>
    </w:p>
    <w:p w14:paraId="0BAC770E" w14:textId="77777777" w:rsidR="00424B7B" w:rsidRPr="00424B7B" w:rsidRDefault="00424B7B" w:rsidP="001E5B08">
      <w:pPr>
        <w:pStyle w:val="ListParagraph"/>
        <w:spacing w:line="360" w:lineRule="auto"/>
        <w:jc w:val="both"/>
        <w:rPr>
          <w:rFonts w:ascii="Times New Roman" w:eastAsia="Calibri" w:hAnsi="Times New Roman"/>
          <w:color w:val="auto"/>
          <w:spacing w:val="0"/>
          <w:sz w:val="24"/>
          <w:szCs w:val="24"/>
          <w:lang w:val="en-ZA" w:eastAsia="en-US"/>
        </w:rPr>
      </w:pPr>
      <w:r w:rsidRPr="00424B7B">
        <w:rPr>
          <w:rFonts w:ascii="Times New Roman" w:eastAsia="Calibri" w:hAnsi="Times New Roman"/>
          <w:color w:val="auto"/>
          <w:spacing w:val="0"/>
          <w:sz w:val="24"/>
          <w:szCs w:val="24"/>
          <w:lang w:val="en-ZA" w:eastAsia="en-US"/>
        </w:rPr>
        <w:t>The United Nations Sustainable Development Summit has adopted the 2030 Agenda for Sustainable Development. This agenda, through its Sustainable Development Goals (SDGs), aims to end poverty, fight inequality and injustice and tackle climate change by 2030.</w:t>
      </w:r>
    </w:p>
    <w:p w14:paraId="725FFC05" w14:textId="77777777" w:rsidR="00424B7B" w:rsidRPr="00424B7B" w:rsidRDefault="00424B7B" w:rsidP="001E5B08">
      <w:pPr>
        <w:pStyle w:val="ListParagraph"/>
        <w:spacing w:line="360" w:lineRule="auto"/>
        <w:jc w:val="both"/>
        <w:rPr>
          <w:rFonts w:ascii="Times New Roman" w:eastAsia="Calibri" w:hAnsi="Times New Roman"/>
          <w:color w:val="auto"/>
          <w:spacing w:val="0"/>
          <w:sz w:val="24"/>
          <w:szCs w:val="24"/>
          <w:lang w:val="en-ZA" w:eastAsia="en-US"/>
        </w:rPr>
      </w:pPr>
    </w:p>
    <w:p w14:paraId="675444E6" w14:textId="77777777" w:rsidR="00424B7B" w:rsidRPr="00424B7B" w:rsidRDefault="00424B7B" w:rsidP="001E5B08">
      <w:pPr>
        <w:pStyle w:val="ListParagraph"/>
        <w:spacing w:line="360" w:lineRule="auto"/>
        <w:jc w:val="both"/>
        <w:rPr>
          <w:rFonts w:ascii="Times New Roman" w:eastAsia="Calibri" w:hAnsi="Times New Roman"/>
          <w:color w:val="auto"/>
          <w:spacing w:val="0"/>
          <w:sz w:val="24"/>
          <w:szCs w:val="24"/>
          <w:lang w:val="en-ZA" w:eastAsia="en-US"/>
        </w:rPr>
      </w:pPr>
      <w:r w:rsidRPr="00424B7B">
        <w:rPr>
          <w:rFonts w:ascii="Times New Roman" w:eastAsia="Calibri" w:hAnsi="Times New Roman"/>
          <w:color w:val="auto"/>
          <w:spacing w:val="0"/>
          <w:sz w:val="24"/>
          <w:szCs w:val="24"/>
          <w:lang w:val="en-ZA" w:eastAsia="en-US"/>
        </w:rPr>
        <w:t>The work of the Department speaks to the following SDGs:</w:t>
      </w:r>
    </w:p>
    <w:p w14:paraId="26E419C7" w14:textId="77777777" w:rsidR="00424B7B" w:rsidRPr="00424B7B" w:rsidRDefault="00424B7B" w:rsidP="001E5B08">
      <w:pPr>
        <w:pStyle w:val="ListParagraph"/>
        <w:spacing w:line="360" w:lineRule="auto"/>
        <w:jc w:val="both"/>
        <w:rPr>
          <w:rFonts w:ascii="Times New Roman" w:eastAsia="Calibri" w:hAnsi="Times New Roman"/>
          <w:color w:val="auto"/>
          <w:spacing w:val="0"/>
          <w:sz w:val="24"/>
          <w:szCs w:val="24"/>
          <w:lang w:val="en-ZA" w:eastAsia="en-US"/>
        </w:rPr>
      </w:pPr>
    </w:p>
    <w:p w14:paraId="17BDA230" w14:textId="77777777" w:rsidR="00424B7B" w:rsidRPr="00424B7B" w:rsidRDefault="00424B7B" w:rsidP="001E5B08">
      <w:pPr>
        <w:pStyle w:val="ListParagraph"/>
        <w:numPr>
          <w:ilvl w:val="0"/>
          <w:numId w:val="49"/>
        </w:numPr>
        <w:spacing w:line="360" w:lineRule="auto"/>
        <w:jc w:val="both"/>
        <w:rPr>
          <w:rFonts w:ascii="Times New Roman" w:eastAsia="Calibri" w:hAnsi="Times New Roman"/>
          <w:color w:val="auto"/>
          <w:spacing w:val="0"/>
          <w:sz w:val="24"/>
          <w:szCs w:val="24"/>
          <w:lang w:val="en-ZA" w:eastAsia="en-US"/>
        </w:rPr>
      </w:pPr>
      <w:r w:rsidRPr="00424B7B">
        <w:rPr>
          <w:rFonts w:ascii="Times New Roman" w:eastAsia="Calibri" w:hAnsi="Times New Roman"/>
          <w:color w:val="auto"/>
          <w:spacing w:val="0"/>
          <w:sz w:val="24"/>
          <w:szCs w:val="24"/>
          <w:lang w:val="en-ZA" w:eastAsia="en-US"/>
        </w:rPr>
        <w:t>Goal 4: Ensure inclusive and quality education for all and promote lifelong learning</w:t>
      </w:r>
    </w:p>
    <w:p w14:paraId="6103DC6F" w14:textId="77777777" w:rsidR="00424B7B" w:rsidRPr="00424B7B" w:rsidRDefault="00424B7B" w:rsidP="001E5B08">
      <w:pPr>
        <w:pStyle w:val="ListParagraph"/>
        <w:spacing w:line="360" w:lineRule="auto"/>
        <w:jc w:val="both"/>
        <w:rPr>
          <w:rFonts w:ascii="Times New Roman" w:eastAsia="Calibri" w:hAnsi="Times New Roman"/>
          <w:color w:val="auto"/>
          <w:spacing w:val="0"/>
          <w:sz w:val="24"/>
          <w:szCs w:val="24"/>
          <w:lang w:val="en-ZA" w:eastAsia="en-US"/>
        </w:rPr>
      </w:pPr>
      <w:r w:rsidRPr="00424B7B">
        <w:rPr>
          <w:rFonts w:ascii="Times New Roman" w:eastAsia="Calibri" w:hAnsi="Times New Roman"/>
          <w:color w:val="auto"/>
          <w:spacing w:val="0"/>
          <w:sz w:val="24"/>
          <w:szCs w:val="24"/>
          <w:lang w:val="en-ZA" w:eastAsia="en-US"/>
        </w:rPr>
        <w:t>Through awarding bursaries for heritage and language studies, the Department contributes to the Goal 4 target which reads, “By 2030, ensure equal access for all women and men to affordable and quality technical, vocational and tertiary education, including university”</w:t>
      </w:r>
      <w:r w:rsidRPr="00424B7B">
        <w:rPr>
          <w:rFonts w:ascii="Times New Roman" w:eastAsia="Calibri" w:hAnsi="Times New Roman"/>
          <w:color w:val="auto"/>
          <w:spacing w:val="0"/>
          <w:sz w:val="24"/>
          <w:szCs w:val="24"/>
          <w:vertAlign w:val="superscript"/>
          <w:lang w:val="en-ZA" w:eastAsia="en-US"/>
        </w:rPr>
        <w:footnoteReference w:id="12"/>
      </w:r>
      <w:r w:rsidRPr="00424B7B">
        <w:rPr>
          <w:rFonts w:ascii="Times New Roman" w:eastAsia="Calibri" w:hAnsi="Times New Roman"/>
          <w:color w:val="auto"/>
          <w:spacing w:val="0"/>
          <w:sz w:val="24"/>
          <w:szCs w:val="24"/>
          <w:lang w:val="en-ZA" w:eastAsia="en-US"/>
        </w:rPr>
        <w:t>.</w:t>
      </w:r>
    </w:p>
    <w:p w14:paraId="6C2C75B9" w14:textId="77777777" w:rsidR="00424B7B" w:rsidRPr="00424B7B" w:rsidRDefault="00424B7B" w:rsidP="001E5B08">
      <w:pPr>
        <w:pStyle w:val="ListParagraph"/>
        <w:spacing w:line="360" w:lineRule="auto"/>
        <w:jc w:val="both"/>
        <w:rPr>
          <w:rFonts w:ascii="Times New Roman" w:eastAsia="Calibri" w:hAnsi="Times New Roman"/>
          <w:color w:val="auto"/>
          <w:spacing w:val="0"/>
          <w:sz w:val="24"/>
          <w:szCs w:val="24"/>
          <w:lang w:val="en-ZA" w:eastAsia="en-US"/>
        </w:rPr>
      </w:pPr>
    </w:p>
    <w:p w14:paraId="00AD2D87" w14:textId="77777777" w:rsidR="00424B7B" w:rsidRPr="00424B7B" w:rsidRDefault="00424B7B" w:rsidP="001E5B08">
      <w:pPr>
        <w:pStyle w:val="ListParagraph"/>
        <w:numPr>
          <w:ilvl w:val="0"/>
          <w:numId w:val="49"/>
        </w:numPr>
        <w:spacing w:line="360" w:lineRule="auto"/>
        <w:jc w:val="both"/>
        <w:rPr>
          <w:rFonts w:ascii="Times New Roman" w:eastAsia="Calibri" w:hAnsi="Times New Roman"/>
          <w:color w:val="auto"/>
          <w:spacing w:val="0"/>
          <w:sz w:val="24"/>
          <w:szCs w:val="24"/>
          <w:lang w:val="en-ZA" w:eastAsia="en-US"/>
        </w:rPr>
      </w:pPr>
      <w:r w:rsidRPr="00424B7B">
        <w:rPr>
          <w:rFonts w:ascii="Times New Roman" w:eastAsia="Calibri" w:hAnsi="Times New Roman"/>
          <w:color w:val="auto"/>
          <w:spacing w:val="0"/>
          <w:sz w:val="24"/>
          <w:szCs w:val="24"/>
          <w:lang w:val="en-ZA" w:eastAsia="en-US"/>
        </w:rPr>
        <w:t>Goal 8: Promote inclusive and sustainable economic growth, employment and decent work for all</w:t>
      </w:r>
      <w:r w:rsidRPr="00424B7B">
        <w:rPr>
          <w:rFonts w:ascii="Times New Roman" w:eastAsia="Calibri" w:hAnsi="Times New Roman"/>
          <w:color w:val="auto"/>
          <w:spacing w:val="0"/>
          <w:sz w:val="24"/>
          <w:szCs w:val="24"/>
          <w:vertAlign w:val="superscript"/>
          <w:lang w:val="en-ZA" w:eastAsia="en-US"/>
        </w:rPr>
        <w:footnoteReference w:id="13"/>
      </w:r>
    </w:p>
    <w:p w14:paraId="0EB83624" w14:textId="77777777" w:rsidR="00424B7B" w:rsidRPr="00424B7B" w:rsidRDefault="00424B7B" w:rsidP="001E5B08">
      <w:pPr>
        <w:pStyle w:val="ListParagraph"/>
        <w:spacing w:line="360" w:lineRule="auto"/>
        <w:jc w:val="both"/>
        <w:rPr>
          <w:rFonts w:ascii="Times New Roman" w:eastAsia="Calibri" w:hAnsi="Times New Roman"/>
          <w:color w:val="auto"/>
          <w:spacing w:val="0"/>
          <w:sz w:val="24"/>
          <w:szCs w:val="24"/>
          <w:lang w:val="en-ZA" w:eastAsia="en-US"/>
        </w:rPr>
      </w:pPr>
      <w:r w:rsidRPr="00424B7B">
        <w:rPr>
          <w:rFonts w:ascii="Times New Roman" w:eastAsia="Calibri" w:hAnsi="Times New Roman"/>
          <w:color w:val="auto"/>
          <w:spacing w:val="0"/>
          <w:sz w:val="24"/>
          <w:szCs w:val="24"/>
          <w:lang w:val="en-ZA" w:eastAsia="en-US"/>
        </w:rPr>
        <w:t>As mentioned above, the MGE Strategy is the Department’s main job creation strategy thus contributing to the attainment of this goal.</w:t>
      </w:r>
    </w:p>
    <w:p w14:paraId="4C01A8FE" w14:textId="77777777" w:rsidR="00424B7B" w:rsidRPr="00424B7B" w:rsidRDefault="00424B7B" w:rsidP="001E5B08">
      <w:pPr>
        <w:pStyle w:val="ListParagraph"/>
        <w:spacing w:line="360" w:lineRule="auto"/>
        <w:jc w:val="both"/>
        <w:rPr>
          <w:rFonts w:ascii="Times New Roman" w:eastAsia="Calibri" w:hAnsi="Times New Roman"/>
          <w:color w:val="auto"/>
          <w:spacing w:val="0"/>
          <w:sz w:val="24"/>
          <w:szCs w:val="24"/>
          <w:lang w:val="en-ZA" w:eastAsia="en-US"/>
        </w:rPr>
      </w:pPr>
    </w:p>
    <w:p w14:paraId="76BCFA2A" w14:textId="77777777" w:rsidR="00424B7B" w:rsidRPr="00424B7B" w:rsidRDefault="00424B7B" w:rsidP="001E5B08">
      <w:pPr>
        <w:pStyle w:val="ListParagraph"/>
        <w:numPr>
          <w:ilvl w:val="0"/>
          <w:numId w:val="49"/>
        </w:numPr>
        <w:spacing w:line="360" w:lineRule="auto"/>
        <w:jc w:val="both"/>
        <w:rPr>
          <w:rFonts w:ascii="Times New Roman" w:eastAsia="Calibri" w:hAnsi="Times New Roman"/>
          <w:color w:val="auto"/>
          <w:spacing w:val="0"/>
          <w:sz w:val="24"/>
          <w:szCs w:val="24"/>
          <w:lang w:val="en-ZA" w:eastAsia="en-US"/>
        </w:rPr>
      </w:pPr>
      <w:r w:rsidRPr="00424B7B">
        <w:rPr>
          <w:rFonts w:ascii="Times New Roman" w:eastAsia="Calibri" w:hAnsi="Times New Roman"/>
          <w:color w:val="auto"/>
          <w:spacing w:val="0"/>
          <w:sz w:val="24"/>
          <w:szCs w:val="24"/>
          <w:lang w:val="en-ZA" w:eastAsia="en-US"/>
        </w:rPr>
        <w:t>Goal 10: Reduce inequality within and among countries</w:t>
      </w:r>
    </w:p>
    <w:p w14:paraId="4AD61657" w14:textId="77777777" w:rsidR="00424B7B" w:rsidRPr="00424B7B" w:rsidRDefault="00424B7B" w:rsidP="001E5B08">
      <w:pPr>
        <w:pStyle w:val="ListParagraph"/>
        <w:spacing w:line="360" w:lineRule="auto"/>
        <w:jc w:val="both"/>
        <w:rPr>
          <w:rFonts w:ascii="Times New Roman" w:eastAsia="Calibri" w:hAnsi="Times New Roman"/>
          <w:color w:val="auto"/>
          <w:spacing w:val="0"/>
          <w:sz w:val="24"/>
          <w:szCs w:val="24"/>
          <w:lang w:val="en-ZA" w:eastAsia="en-US"/>
        </w:rPr>
      </w:pPr>
      <w:r w:rsidRPr="00424B7B">
        <w:rPr>
          <w:rFonts w:ascii="Times New Roman" w:eastAsia="Calibri" w:hAnsi="Times New Roman"/>
          <w:color w:val="auto"/>
          <w:spacing w:val="0"/>
          <w:sz w:val="24"/>
          <w:szCs w:val="24"/>
          <w:lang w:val="en-ZA" w:eastAsia="en-US"/>
        </w:rPr>
        <w:t xml:space="preserve">Through prioritising nation building and social cohesion, the Department supports the target for this goal which states, “By 2030, empower and promote the social, economic and political </w:t>
      </w:r>
      <w:r w:rsidRPr="00424B7B">
        <w:rPr>
          <w:rFonts w:ascii="Times New Roman" w:eastAsia="Calibri" w:hAnsi="Times New Roman"/>
          <w:color w:val="auto"/>
          <w:spacing w:val="0"/>
          <w:sz w:val="24"/>
          <w:szCs w:val="24"/>
          <w:lang w:val="en-ZA" w:eastAsia="en-US"/>
        </w:rPr>
        <w:lastRenderedPageBreak/>
        <w:t>inclusion of all, irrespective of age, sex, disability, race, ethnicity, origin, religion or economic or other status”</w:t>
      </w:r>
      <w:r w:rsidRPr="00424B7B">
        <w:rPr>
          <w:rFonts w:ascii="Times New Roman" w:eastAsia="Calibri" w:hAnsi="Times New Roman"/>
          <w:color w:val="auto"/>
          <w:spacing w:val="0"/>
          <w:sz w:val="24"/>
          <w:szCs w:val="24"/>
          <w:vertAlign w:val="superscript"/>
          <w:lang w:val="en-ZA" w:eastAsia="en-US"/>
        </w:rPr>
        <w:footnoteReference w:id="14"/>
      </w:r>
      <w:r w:rsidRPr="00424B7B">
        <w:rPr>
          <w:rFonts w:ascii="Times New Roman" w:eastAsia="Calibri" w:hAnsi="Times New Roman"/>
          <w:color w:val="auto"/>
          <w:spacing w:val="0"/>
          <w:sz w:val="24"/>
          <w:szCs w:val="24"/>
          <w:lang w:val="en-ZA" w:eastAsia="en-US"/>
        </w:rPr>
        <w:t>.</w:t>
      </w:r>
    </w:p>
    <w:p w14:paraId="1223F5D4" w14:textId="77777777" w:rsidR="00424B7B" w:rsidRPr="00424B7B" w:rsidRDefault="00424B7B" w:rsidP="001E5B08">
      <w:pPr>
        <w:pStyle w:val="ListParagraph"/>
        <w:spacing w:line="360" w:lineRule="auto"/>
        <w:jc w:val="both"/>
        <w:rPr>
          <w:rFonts w:ascii="Times New Roman" w:eastAsia="Calibri" w:hAnsi="Times New Roman"/>
          <w:color w:val="auto"/>
          <w:spacing w:val="0"/>
          <w:sz w:val="24"/>
          <w:szCs w:val="24"/>
          <w:lang w:val="en-ZA" w:eastAsia="en-US"/>
        </w:rPr>
      </w:pPr>
    </w:p>
    <w:p w14:paraId="089A80EA" w14:textId="77777777" w:rsidR="00424B7B" w:rsidRPr="00424B7B" w:rsidRDefault="003A611E" w:rsidP="001E5B08">
      <w:pPr>
        <w:pStyle w:val="ListParagraph"/>
        <w:spacing w:line="360" w:lineRule="auto"/>
        <w:jc w:val="both"/>
        <w:rPr>
          <w:rFonts w:ascii="Times New Roman" w:eastAsia="Calibri" w:hAnsi="Times New Roman"/>
          <w:b/>
          <w:i/>
          <w:color w:val="auto"/>
          <w:spacing w:val="0"/>
          <w:sz w:val="24"/>
          <w:szCs w:val="24"/>
          <w:lang w:val="en-ZA" w:eastAsia="en-US"/>
        </w:rPr>
      </w:pPr>
      <w:bookmarkStart w:id="6" w:name="_Toc479843765"/>
      <w:r>
        <w:rPr>
          <w:rFonts w:ascii="Times New Roman" w:eastAsia="Calibri" w:hAnsi="Times New Roman"/>
          <w:b/>
          <w:i/>
          <w:color w:val="auto"/>
          <w:spacing w:val="0"/>
          <w:sz w:val="24"/>
          <w:szCs w:val="24"/>
          <w:lang w:val="en-ZA" w:eastAsia="en-US"/>
        </w:rPr>
        <w:t>5</w:t>
      </w:r>
      <w:r w:rsidR="00424B7B" w:rsidRPr="00424B7B">
        <w:rPr>
          <w:rFonts w:ascii="Times New Roman" w:eastAsia="Calibri" w:hAnsi="Times New Roman"/>
          <w:b/>
          <w:i/>
          <w:color w:val="auto"/>
          <w:spacing w:val="0"/>
          <w:sz w:val="24"/>
          <w:szCs w:val="24"/>
          <w:lang w:val="en-ZA" w:eastAsia="en-US"/>
        </w:rPr>
        <w:t>.2.2.</w:t>
      </w:r>
      <w:r w:rsidR="00424B7B" w:rsidRPr="00424B7B">
        <w:rPr>
          <w:rFonts w:ascii="Times New Roman" w:eastAsia="Calibri" w:hAnsi="Times New Roman"/>
          <w:b/>
          <w:i/>
          <w:color w:val="auto"/>
          <w:spacing w:val="0"/>
          <w:sz w:val="24"/>
          <w:szCs w:val="24"/>
          <w:lang w:val="en-ZA" w:eastAsia="en-US"/>
        </w:rPr>
        <w:tab/>
        <w:t>Agenda 2063</w:t>
      </w:r>
      <w:bookmarkEnd w:id="6"/>
    </w:p>
    <w:p w14:paraId="2A503BA5" w14:textId="77777777" w:rsidR="00424B7B" w:rsidRPr="00424B7B" w:rsidRDefault="00424B7B" w:rsidP="001E5B08">
      <w:pPr>
        <w:pStyle w:val="ListParagraph"/>
        <w:spacing w:line="360" w:lineRule="auto"/>
        <w:jc w:val="both"/>
        <w:rPr>
          <w:rFonts w:ascii="Times New Roman" w:eastAsia="Calibri" w:hAnsi="Times New Roman"/>
          <w:b/>
          <w:bCs/>
          <w:color w:val="auto"/>
          <w:spacing w:val="0"/>
          <w:sz w:val="24"/>
          <w:szCs w:val="24"/>
          <w:lang w:val="en-ZA" w:eastAsia="en-US"/>
        </w:rPr>
      </w:pPr>
    </w:p>
    <w:p w14:paraId="630CE9FA" w14:textId="77777777" w:rsidR="00424B7B" w:rsidRPr="00424B7B" w:rsidRDefault="00424B7B" w:rsidP="001E5B08">
      <w:pPr>
        <w:pStyle w:val="ListParagraph"/>
        <w:spacing w:line="360" w:lineRule="auto"/>
        <w:jc w:val="both"/>
        <w:rPr>
          <w:rFonts w:ascii="Times New Roman" w:eastAsia="Calibri" w:hAnsi="Times New Roman"/>
          <w:color w:val="auto"/>
          <w:spacing w:val="0"/>
          <w:sz w:val="24"/>
          <w:szCs w:val="24"/>
          <w:lang w:val="en-ZA" w:eastAsia="en-US"/>
        </w:rPr>
      </w:pPr>
      <w:r w:rsidRPr="00424B7B">
        <w:rPr>
          <w:rFonts w:ascii="Times New Roman" w:eastAsia="Calibri" w:hAnsi="Times New Roman"/>
          <w:color w:val="auto"/>
          <w:spacing w:val="0"/>
          <w:sz w:val="24"/>
          <w:szCs w:val="24"/>
          <w:lang w:val="en-ZA" w:eastAsia="en-US"/>
        </w:rPr>
        <w:t>For the continent, the African Union’s Agenda 2063 sets out a number of aspirations which will ensure a better Africa for all citizens. The Department’s work aligns most closely with the following aspirations:</w:t>
      </w:r>
      <w:r w:rsidRPr="00424B7B">
        <w:rPr>
          <w:rFonts w:ascii="Times New Roman" w:eastAsia="Calibri" w:hAnsi="Times New Roman"/>
          <w:color w:val="auto"/>
          <w:spacing w:val="0"/>
          <w:sz w:val="24"/>
          <w:szCs w:val="24"/>
          <w:vertAlign w:val="superscript"/>
          <w:lang w:val="en-ZA" w:eastAsia="en-US"/>
        </w:rPr>
        <w:footnoteReference w:id="15"/>
      </w:r>
    </w:p>
    <w:p w14:paraId="01790F24" w14:textId="77777777" w:rsidR="00424B7B" w:rsidRPr="00424B7B" w:rsidRDefault="00424B7B" w:rsidP="001E5B08">
      <w:pPr>
        <w:pStyle w:val="ListParagraph"/>
        <w:spacing w:line="360" w:lineRule="auto"/>
        <w:jc w:val="both"/>
        <w:rPr>
          <w:rFonts w:ascii="Times New Roman" w:eastAsia="Calibri" w:hAnsi="Times New Roman"/>
          <w:color w:val="auto"/>
          <w:spacing w:val="0"/>
          <w:sz w:val="24"/>
          <w:szCs w:val="24"/>
          <w:lang w:val="en-ZA" w:eastAsia="en-US"/>
        </w:rPr>
      </w:pPr>
    </w:p>
    <w:p w14:paraId="1C467A19" w14:textId="77777777" w:rsidR="00424B7B" w:rsidRPr="00424B7B" w:rsidRDefault="00424B7B" w:rsidP="001E5B08">
      <w:pPr>
        <w:pStyle w:val="ListParagraph"/>
        <w:numPr>
          <w:ilvl w:val="0"/>
          <w:numId w:val="50"/>
        </w:numPr>
        <w:spacing w:line="360" w:lineRule="auto"/>
        <w:jc w:val="both"/>
        <w:rPr>
          <w:rFonts w:ascii="Times New Roman" w:eastAsia="Calibri" w:hAnsi="Times New Roman"/>
          <w:color w:val="auto"/>
          <w:spacing w:val="0"/>
          <w:sz w:val="24"/>
          <w:szCs w:val="24"/>
          <w:lang w:val="en-ZA" w:eastAsia="en-US"/>
        </w:rPr>
      </w:pPr>
      <w:r w:rsidRPr="00424B7B">
        <w:rPr>
          <w:rFonts w:ascii="Times New Roman" w:eastAsia="Calibri" w:hAnsi="Times New Roman"/>
          <w:color w:val="auto"/>
          <w:spacing w:val="0"/>
          <w:sz w:val="24"/>
          <w:szCs w:val="24"/>
          <w:lang w:val="en-ZA" w:eastAsia="en-US"/>
        </w:rPr>
        <w:t>Aspiration 1: A prosperous Africa based on inclusive growth and sustainable development.</w:t>
      </w:r>
    </w:p>
    <w:p w14:paraId="56C6D664" w14:textId="77777777" w:rsidR="00424B7B" w:rsidRPr="00424B7B" w:rsidRDefault="00424B7B" w:rsidP="001E5B08">
      <w:pPr>
        <w:pStyle w:val="ListParagraph"/>
        <w:spacing w:line="360" w:lineRule="auto"/>
        <w:jc w:val="both"/>
        <w:rPr>
          <w:rFonts w:ascii="Times New Roman" w:eastAsia="Calibri" w:hAnsi="Times New Roman"/>
          <w:color w:val="auto"/>
          <w:spacing w:val="0"/>
          <w:sz w:val="24"/>
          <w:szCs w:val="24"/>
          <w:lang w:val="en-ZA" w:eastAsia="en-US"/>
        </w:rPr>
      </w:pPr>
      <w:r w:rsidRPr="00424B7B">
        <w:rPr>
          <w:rFonts w:ascii="Times New Roman" w:eastAsia="Calibri" w:hAnsi="Times New Roman"/>
          <w:color w:val="auto"/>
          <w:spacing w:val="0"/>
          <w:sz w:val="24"/>
          <w:szCs w:val="24"/>
          <w:lang w:val="en-ZA" w:eastAsia="en-US"/>
        </w:rPr>
        <w:t>This aspiration envisages that by 2063 “cities and other settlements are hubs of cultural and economic activities, with modernised infrastructure…</w:t>
      </w:r>
      <w:proofErr w:type="gramStart"/>
      <w:r w:rsidRPr="00424B7B">
        <w:rPr>
          <w:rFonts w:ascii="Times New Roman" w:eastAsia="Calibri" w:hAnsi="Times New Roman"/>
          <w:color w:val="auto"/>
          <w:spacing w:val="0"/>
          <w:sz w:val="24"/>
          <w:szCs w:val="24"/>
          <w:lang w:val="en-ZA" w:eastAsia="en-US"/>
        </w:rPr>
        <w:t>”.</w:t>
      </w:r>
      <w:proofErr w:type="gramEnd"/>
      <w:r w:rsidRPr="00424B7B">
        <w:rPr>
          <w:rFonts w:ascii="Times New Roman" w:eastAsia="Calibri" w:hAnsi="Times New Roman"/>
          <w:color w:val="auto"/>
          <w:spacing w:val="0"/>
          <w:sz w:val="24"/>
          <w:szCs w:val="24"/>
          <w:lang w:val="en-ZA" w:eastAsia="en-US"/>
        </w:rPr>
        <w:t xml:space="preserve"> Through the development of heritage infrastructure, including community arts centres (CACs) the Department is working towards achieving this objective.</w:t>
      </w:r>
    </w:p>
    <w:p w14:paraId="251BA058" w14:textId="77777777" w:rsidR="00424B7B" w:rsidRPr="00424B7B" w:rsidRDefault="00424B7B" w:rsidP="001E5B08">
      <w:pPr>
        <w:pStyle w:val="ListParagraph"/>
        <w:spacing w:line="360" w:lineRule="auto"/>
        <w:jc w:val="both"/>
        <w:rPr>
          <w:rFonts w:ascii="Times New Roman" w:eastAsia="Calibri" w:hAnsi="Times New Roman"/>
          <w:color w:val="auto"/>
          <w:spacing w:val="0"/>
          <w:sz w:val="24"/>
          <w:szCs w:val="24"/>
          <w:lang w:val="en-ZA" w:eastAsia="en-US"/>
        </w:rPr>
      </w:pPr>
    </w:p>
    <w:p w14:paraId="2FE3223E" w14:textId="77777777" w:rsidR="00424B7B" w:rsidRPr="00424B7B" w:rsidRDefault="00424B7B" w:rsidP="001E5B08">
      <w:pPr>
        <w:pStyle w:val="ListParagraph"/>
        <w:numPr>
          <w:ilvl w:val="0"/>
          <w:numId w:val="50"/>
        </w:numPr>
        <w:spacing w:line="360" w:lineRule="auto"/>
        <w:jc w:val="both"/>
        <w:rPr>
          <w:rFonts w:ascii="Times New Roman" w:eastAsia="Calibri" w:hAnsi="Times New Roman"/>
          <w:color w:val="auto"/>
          <w:spacing w:val="0"/>
          <w:sz w:val="24"/>
          <w:szCs w:val="24"/>
          <w:lang w:val="en-ZA" w:eastAsia="en-US"/>
        </w:rPr>
      </w:pPr>
      <w:r w:rsidRPr="00424B7B">
        <w:rPr>
          <w:rFonts w:ascii="Times New Roman" w:eastAsia="Calibri" w:hAnsi="Times New Roman"/>
          <w:color w:val="auto"/>
          <w:spacing w:val="0"/>
          <w:sz w:val="24"/>
          <w:szCs w:val="24"/>
          <w:lang w:val="en-ZA" w:eastAsia="en-US"/>
        </w:rPr>
        <w:t>Aspiration 5: An Africa with a strong cultural identity, common heritage, values and ethics.</w:t>
      </w:r>
    </w:p>
    <w:p w14:paraId="37A568EF" w14:textId="77777777" w:rsidR="00424B7B" w:rsidRPr="00424B7B" w:rsidRDefault="00424B7B" w:rsidP="001E5B08">
      <w:pPr>
        <w:pStyle w:val="ListParagraph"/>
        <w:spacing w:line="360" w:lineRule="auto"/>
        <w:jc w:val="both"/>
        <w:rPr>
          <w:rFonts w:ascii="Times New Roman" w:eastAsia="Calibri" w:hAnsi="Times New Roman"/>
          <w:color w:val="auto"/>
          <w:spacing w:val="0"/>
          <w:sz w:val="24"/>
          <w:szCs w:val="24"/>
          <w:lang w:val="en-ZA" w:eastAsia="en-US"/>
        </w:rPr>
      </w:pPr>
      <w:r w:rsidRPr="00424B7B">
        <w:rPr>
          <w:rFonts w:ascii="Times New Roman" w:eastAsia="Calibri" w:hAnsi="Times New Roman"/>
          <w:color w:val="auto"/>
          <w:spacing w:val="0"/>
          <w:sz w:val="24"/>
          <w:szCs w:val="24"/>
          <w:lang w:val="en-ZA" w:eastAsia="en-US"/>
        </w:rPr>
        <w:t xml:space="preserve">This is concretised through projects such as Africa Month and the South Africa/Mali Timbuktu Manuscript Project. </w:t>
      </w:r>
      <w:proofErr w:type="gramStart"/>
      <w:r w:rsidRPr="00424B7B">
        <w:rPr>
          <w:rFonts w:ascii="Times New Roman" w:eastAsia="Calibri" w:hAnsi="Times New Roman"/>
          <w:color w:val="auto"/>
          <w:spacing w:val="0"/>
          <w:sz w:val="24"/>
          <w:szCs w:val="24"/>
          <w:lang w:val="en-ZA" w:eastAsia="en-US"/>
        </w:rPr>
        <w:t>Financial support of R1.9 million to the African World Heritage Fund.</w:t>
      </w:r>
      <w:proofErr w:type="gramEnd"/>
      <w:r w:rsidRPr="00424B7B">
        <w:rPr>
          <w:rFonts w:ascii="Times New Roman" w:eastAsia="Calibri" w:hAnsi="Times New Roman"/>
          <w:color w:val="auto"/>
          <w:spacing w:val="0"/>
          <w:sz w:val="24"/>
          <w:szCs w:val="24"/>
          <w:vertAlign w:val="superscript"/>
          <w:lang w:val="en-ZA" w:eastAsia="en-US"/>
        </w:rPr>
        <w:footnoteReference w:id="16"/>
      </w:r>
    </w:p>
    <w:p w14:paraId="5FB76C71" w14:textId="77777777" w:rsidR="00424B7B" w:rsidRPr="00424B7B" w:rsidRDefault="00424B7B" w:rsidP="001E5B08">
      <w:pPr>
        <w:pStyle w:val="ListParagraph"/>
        <w:spacing w:line="360" w:lineRule="auto"/>
        <w:jc w:val="both"/>
        <w:rPr>
          <w:rFonts w:ascii="Times New Roman" w:eastAsia="Calibri" w:hAnsi="Times New Roman"/>
          <w:color w:val="auto"/>
          <w:spacing w:val="0"/>
          <w:sz w:val="24"/>
          <w:szCs w:val="24"/>
          <w:lang w:val="en-ZA" w:eastAsia="en-US"/>
        </w:rPr>
      </w:pPr>
    </w:p>
    <w:p w14:paraId="1AC8202B" w14:textId="77777777" w:rsidR="00424B7B" w:rsidRPr="00424B7B" w:rsidRDefault="00424B7B" w:rsidP="001E5B08">
      <w:pPr>
        <w:pStyle w:val="ListParagraph"/>
        <w:numPr>
          <w:ilvl w:val="0"/>
          <w:numId w:val="50"/>
        </w:numPr>
        <w:spacing w:line="360" w:lineRule="auto"/>
        <w:jc w:val="both"/>
        <w:rPr>
          <w:rFonts w:ascii="Times New Roman" w:eastAsia="Calibri" w:hAnsi="Times New Roman"/>
          <w:color w:val="auto"/>
          <w:spacing w:val="0"/>
          <w:sz w:val="24"/>
          <w:szCs w:val="24"/>
          <w:lang w:val="en-ZA" w:eastAsia="en-US"/>
        </w:rPr>
      </w:pPr>
      <w:r w:rsidRPr="00424B7B">
        <w:rPr>
          <w:rFonts w:ascii="Times New Roman" w:eastAsia="Calibri" w:hAnsi="Times New Roman"/>
          <w:color w:val="auto"/>
          <w:spacing w:val="0"/>
          <w:sz w:val="24"/>
          <w:szCs w:val="24"/>
          <w:lang w:val="en-ZA" w:eastAsia="en-US"/>
        </w:rPr>
        <w:t>Aspiration 6: An Africa whose development is people-driven, relying on the potential of African people, especially its women and youth, and caring for children</w:t>
      </w:r>
    </w:p>
    <w:p w14:paraId="0A86C16E" w14:textId="77777777" w:rsidR="00424B7B" w:rsidRDefault="00424B7B" w:rsidP="001E5B08">
      <w:pPr>
        <w:pStyle w:val="ListParagraph"/>
        <w:spacing w:line="360" w:lineRule="auto"/>
        <w:jc w:val="both"/>
        <w:rPr>
          <w:rFonts w:ascii="Times New Roman" w:eastAsia="Calibri" w:hAnsi="Times New Roman"/>
          <w:color w:val="auto"/>
          <w:spacing w:val="0"/>
          <w:sz w:val="24"/>
          <w:szCs w:val="24"/>
          <w:lang w:val="en-ZA" w:eastAsia="en-US"/>
        </w:rPr>
      </w:pPr>
      <w:r w:rsidRPr="00424B7B">
        <w:rPr>
          <w:rFonts w:ascii="Times New Roman" w:eastAsia="Calibri" w:hAnsi="Times New Roman"/>
          <w:color w:val="auto"/>
          <w:spacing w:val="0"/>
          <w:sz w:val="24"/>
          <w:szCs w:val="24"/>
          <w:lang w:val="en-ZA" w:eastAsia="en-US"/>
        </w:rPr>
        <w:t xml:space="preserve">Through the MGE and other job creation and skills development initiatives, the work of the Department has the potential to address this objective which aims to include traditionally marginalised persons in society. </w:t>
      </w:r>
    </w:p>
    <w:p w14:paraId="6EB74817" w14:textId="77777777" w:rsidR="00300A9E" w:rsidRDefault="00300A9E" w:rsidP="001E5B08">
      <w:pPr>
        <w:pStyle w:val="ListParagraph"/>
        <w:spacing w:line="360" w:lineRule="auto"/>
        <w:jc w:val="both"/>
        <w:rPr>
          <w:rFonts w:ascii="Times New Roman" w:eastAsia="Calibri" w:hAnsi="Times New Roman"/>
          <w:color w:val="auto"/>
          <w:spacing w:val="0"/>
          <w:sz w:val="24"/>
          <w:szCs w:val="24"/>
          <w:lang w:val="en-ZA" w:eastAsia="en-US"/>
        </w:rPr>
      </w:pPr>
    </w:p>
    <w:p w14:paraId="08557DDD" w14:textId="77777777" w:rsidR="00FE2FCD" w:rsidRPr="00424B7B" w:rsidRDefault="00FE2FCD" w:rsidP="001E5B08">
      <w:pPr>
        <w:pStyle w:val="ListParagraph"/>
        <w:spacing w:line="360" w:lineRule="auto"/>
        <w:jc w:val="both"/>
        <w:rPr>
          <w:rFonts w:ascii="Times New Roman" w:eastAsia="Calibri" w:hAnsi="Times New Roman"/>
          <w:color w:val="auto"/>
          <w:spacing w:val="0"/>
          <w:sz w:val="24"/>
          <w:szCs w:val="24"/>
          <w:lang w:val="en-ZA" w:eastAsia="en-US"/>
        </w:rPr>
      </w:pPr>
    </w:p>
    <w:p w14:paraId="52CA4327" w14:textId="77777777" w:rsidR="009725A9" w:rsidRDefault="009725A9" w:rsidP="001E5B08">
      <w:pPr>
        <w:spacing w:line="360" w:lineRule="auto"/>
        <w:jc w:val="both"/>
        <w:rPr>
          <w:rFonts w:ascii="Times New Roman" w:hAnsi="Times New Roman"/>
          <w:b/>
          <w:spacing w:val="0"/>
          <w:sz w:val="24"/>
          <w:szCs w:val="22"/>
          <w:lang w:val="en-ZA"/>
        </w:rPr>
      </w:pPr>
      <w:r w:rsidRPr="0018755E">
        <w:rPr>
          <w:rFonts w:ascii="Times New Roman" w:hAnsi="Times New Roman"/>
          <w:b/>
          <w:spacing w:val="0"/>
          <w:sz w:val="24"/>
          <w:szCs w:val="22"/>
          <w:lang w:val="en-ZA"/>
        </w:rPr>
        <w:t>6.</w:t>
      </w:r>
      <w:r w:rsidRPr="0018755E">
        <w:rPr>
          <w:rFonts w:ascii="Times New Roman" w:hAnsi="Times New Roman"/>
          <w:b/>
          <w:spacing w:val="0"/>
          <w:sz w:val="24"/>
          <w:szCs w:val="22"/>
          <w:lang w:val="en-ZA"/>
        </w:rPr>
        <w:tab/>
        <w:t>Committee Engagements</w:t>
      </w:r>
    </w:p>
    <w:p w14:paraId="347F0E07" w14:textId="77777777" w:rsidR="00FE2FCD" w:rsidRPr="0018755E" w:rsidRDefault="00FE2FCD" w:rsidP="001E5B08">
      <w:pPr>
        <w:spacing w:line="360" w:lineRule="auto"/>
        <w:jc w:val="both"/>
        <w:rPr>
          <w:rFonts w:ascii="Times New Roman" w:hAnsi="Times New Roman"/>
          <w:spacing w:val="0"/>
          <w:sz w:val="24"/>
          <w:szCs w:val="22"/>
          <w:lang w:val="en-ZA"/>
        </w:rPr>
      </w:pPr>
    </w:p>
    <w:p w14:paraId="0949FABD" w14:textId="77777777" w:rsidR="009725A9" w:rsidRPr="0018755E" w:rsidRDefault="000168D0" w:rsidP="001E5B08">
      <w:pPr>
        <w:pStyle w:val="ListParagraph"/>
        <w:numPr>
          <w:ilvl w:val="0"/>
          <w:numId w:val="41"/>
        </w:numPr>
        <w:spacing w:line="360" w:lineRule="auto"/>
        <w:jc w:val="both"/>
        <w:rPr>
          <w:rFonts w:ascii="Times New Roman" w:hAnsi="Times New Roman"/>
          <w:b/>
          <w:spacing w:val="0"/>
          <w:sz w:val="24"/>
          <w:szCs w:val="24"/>
          <w:lang w:val="en-ZA"/>
        </w:rPr>
      </w:pPr>
      <w:r>
        <w:rPr>
          <w:rFonts w:ascii="Times New Roman" w:hAnsi="Times New Roman"/>
          <w:b/>
          <w:spacing w:val="0"/>
          <w:sz w:val="24"/>
          <w:szCs w:val="24"/>
          <w:lang w:val="en-ZA"/>
        </w:rPr>
        <w:t>T</w:t>
      </w:r>
      <w:r w:rsidR="009725A9" w:rsidRPr="0018755E">
        <w:rPr>
          <w:rFonts w:ascii="Times New Roman" w:hAnsi="Times New Roman"/>
          <w:b/>
          <w:spacing w:val="0"/>
          <w:sz w:val="24"/>
          <w:szCs w:val="24"/>
          <w:lang w:val="en-ZA"/>
        </w:rPr>
        <w:t xml:space="preserve">he Committee held engagements with the Department of Arts and Culture and the following issues emerged </w:t>
      </w:r>
    </w:p>
    <w:p w14:paraId="7624D01E" w14:textId="77777777" w:rsidR="00471D2D" w:rsidRPr="00FE2FCD" w:rsidRDefault="009725A9" w:rsidP="00FE2FCD">
      <w:pPr>
        <w:spacing w:line="360" w:lineRule="auto"/>
        <w:ind w:left="360"/>
        <w:jc w:val="both"/>
        <w:rPr>
          <w:rFonts w:ascii="Times New Roman" w:hAnsi="Times New Roman"/>
          <w:sz w:val="24"/>
          <w:szCs w:val="24"/>
          <w:lang w:val="en-US"/>
        </w:rPr>
      </w:pPr>
      <w:r w:rsidRPr="00FE2FCD">
        <w:rPr>
          <w:rFonts w:ascii="Times New Roman" w:hAnsi="Times New Roman"/>
          <w:spacing w:val="0"/>
          <w:sz w:val="24"/>
          <w:szCs w:val="24"/>
          <w:lang w:val="en-ZA"/>
        </w:rPr>
        <w:t xml:space="preserve">The Committee noted that </w:t>
      </w:r>
      <w:r w:rsidR="003D7F40" w:rsidRPr="00FE2FCD">
        <w:rPr>
          <w:rFonts w:ascii="Times New Roman" w:hAnsi="Times New Roman"/>
          <w:spacing w:val="0"/>
          <w:sz w:val="24"/>
          <w:szCs w:val="24"/>
          <w:lang w:val="en-ZA"/>
        </w:rPr>
        <w:t xml:space="preserve">it was a concern that the Department had not appointed a Director General yet, which has left this position vacant for three years. </w:t>
      </w:r>
      <w:r w:rsidR="00471D2D" w:rsidRPr="00FE2FCD">
        <w:rPr>
          <w:rFonts w:ascii="Times New Roman" w:hAnsi="Times New Roman"/>
          <w:sz w:val="24"/>
          <w:szCs w:val="24"/>
          <w:lang w:val="en-US"/>
        </w:rPr>
        <w:t>The Committee requested more information how the Department evaluates/measures the impact of the Imbizos and community conversations. The Committee also wanted to know whether the Imbizos and community conversations were making any differences to the lives of people in the communities. The Committee further raised the role of the Moral Regeneration Movement within the Department because an allocation was made by the Department to the Moral Regeneration Movement but there was no visible impact in the communities.</w:t>
      </w:r>
    </w:p>
    <w:p w14:paraId="7D50F639" w14:textId="77777777" w:rsidR="00471D2D" w:rsidRPr="00FE2FCD" w:rsidRDefault="00471D2D" w:rsidP="00FE2FCD">
      <w:pPr>
        <w:spacing w:line="360" w:lineRule="auto"/>
        <w:ind w:left="360"/>
        <w:jc w:val="both"/>
        <w:rPr>
          <w:rFonts w:ascii="Times New Roman" w:hAnsi="Times New Roman"/>
          <w:sz w:val="24"/>
          <w:szCs w:val="24"/>
          <w:lang w:val="en-US"/>
        </w:rPr>
      </w:pPr>
    </w:p>
    <w:p w14:paraId="2602D521" w14:textId="77777777" w:rsidR="00471D2D" w:rsidRPr="00FE2FCD" w:rsidRDefault="00471D2D" w:rsidP="00FE2FCD">
      <w:pPr>
        <w:spacing w:line="360" w:lineRule="auto"/>
        <w:ind w:left="360"/>
        <w:jc w:val="both"/>
        <w:rPr>
          <w:rFonts w:ascii="Times New Roman" w:hAnsi="Times New Roman"/>
          <w:sz w:val="24"/>
          <w:szCs w:val="24"/>
          <w:lang w:val="en-US"/>
        </w:rPr>
      </w:pPr>
      <w:r w:rsidRPr="00FE2FCD">
        <w:rPr>
          <w:rFonts w:ascii="Times New Roman" w:hAnsi="Times New Roman"/>
          <w:sz w:val="24"/>
          <w:szCs w:val="24"/>
          <w:lang w:val="en-US"/>
        </w:rPr>
        <w:t>The Committee further requested that the Department provide the Committee with detailed information on the allocation of the Orchestras and inform the Committee which Orchestras are funded through the National Arts Council</w:t>
      </w:r>
      <w:r w:rsidR="0011325B" w:rsidRPr="00FE2FCD">
        <w:rPr>
          <w:rFonts w:ascii="Times New Roman" w:hAnsi="Times New Roman"/>
          <w:sz w:val="24"/>
          <w:szCs w:val="24"/>
          <w:lang w:val="en-US"/>
        </w:rPr>
        <w:t xml:space="preserve"> (NAC)</w:t>
      </w:r>
      <w:r w:rsidRPr="00FE2FCD">
        <w:rPr>
          <w:rFonts w:ascii="Times New Roman" w:hAnsi="Times New Roman"/>
          <w:sz w:val="24"/>
          <w:szCs w:val="24"/>
          <w:lang w:val="en-US"/>
        </w:rPr>
        <w:t xml:space="preserve">. The Department reported that a meeting has been arranged by the Minister about the issue of funding the Orchestras. </w:t>
      </w:r>
    </w:p>
    <w:p w14:paraId="55B72688" w14:textId="611DC28B" w:rsidR="00822729" w:rsidRPr="00FE2FCD" w:rsidRDefault="00471D2D" w:rsidP="00FE2FCD">
      <w:pPr>
        <w:spacing w:line="360" w:lineRule="auto"/>
        <w:ind w:left="360"/>
        <w:jc w:val="both"/>
        <w:rPr>
          <w:rFonts w:ascii="Times New Roman" w:hAnsi="Times New Roman"/>
          <w:sz w:val="24"/>
          <w:szCs w:val="24"/>
          <w:lang w:val="en-US"/>
        </w:rPr>
      </w:pPr>
      <w:r w:rsidRPr="00FE2FCD">
        <w:rPr>
          <w:rFonts w:ascii="Times New Roman" w:hAnsi="Times New Roman"/>
          <w:sz w:val="24"/>
          <w:szCs w:val="24"/>
          <w:lang w:val="en-US"/>
        </w:rPr>
        <w:t xml:space="preserve">The Committee stated that the Department needs to sort out the issue of ownership of the land where the Enyokeni Precinct is built. The Department said a process </w:t>
      </w:r>
      <w:r w:rsidR="0011325B" w:rsidRPr="00FE2FCD">
        <w:rPr>
          <w:rFonts w:ascii="Times New Roman" w:hAnsi="Times New Roman"/>
          <w:sz w:val="24"/>
          <w:szCs w:val="24"/>
          <w:lang w:val="en-US"/>
        </w:rPr>
        <w:t>was underway to solve</w:t>
      </w:r>
      <w:r w:rsidRPr="00FE2FCD">
        <w:rPr>
          <w:rFonts w:ascii="Times New Roman" w:hAnsi="Times New Roman"/>
          <w:sz w:val="24"/>
          <w:szCs w:val="24"/>
          <w:lang w:val="en-US"/>
        </w:rPr>
        <w:t xml:space="preserve"> the matter </w:t>
      </w:r>
      <w:r w:rsidR="0011325B" w:rsidRPr="00FE2FCD">
        <w:rPr>
          <w:rFonts w:ascii="Times New Roman" w:hAnsi="Times New Roman"/>
          <w:sz w:val="24"/>
          <w:szCs w:val="24"/>
          <w:lang w:val="en-US"/>
        </w:rPr>
        <w:t xml:space="preserve">of the land ownership. </w:t>
      </w:r>
      <w:r w:rsidRPr="00FE2FCD">
        <w:rPr>
          <w:rFonts w:ascii="Times New Roman" w:hAnsi="Times New Roman"/>
          <w:sz w:val="24"/>
          <w:szCs w:val="24"/>
          <w:lang w:val="en-US"/>
        </w:rPr>
        <w:t xml:space="preserve">The Committee cautioned the Department that if they continue funding </w:t>
      </w:r>
      <w:r w:rsidR="0011325B" w:rsidRPr="00FE2FCD">
        <w:rPr>
          <w:rFonts w:ascii="Times New Roman" w:hAnsi="Times New Roman"/>
          <w:sz w:val="24"/>
          <w:szCs w:val="24"/>
          <w:lang w:val="en-US"/>
        </w:rPr>
        <w:t xml:space="preserve">the building at </w:t>
      </w:r>
      <w:r w:rsidRPr="00FE2FCD">
        <w:rPr>
          <w:rFonts w:ascii="Times New Roman" w:hAnsi="Times New Roman"/>
          <w:sz w:val="24"/>
          <w:szCs w:val="24"/>
          <w:lang w:val="en-US"/>
        </w:rPr>
        <w:t xml:space="preserve">Enyokeni, they will be </w:t>
      </w:r>
      <w:r w:rsidR="0011325B" w:rsidRPr="00FE2FCD">
        <w:rPr>
          <w:rFonts w:ascii="Times New Roman" w:hAnsi="Times New Roman"/>
          <w:sz w:val="24"/>
          <w:szCs w:val="24"/>
          <w:lang w:val="en-US"/>
        </w:rPr>
        <w:t xml:space="preserve">setting </w:t>
      </w:r>
      <w:proofErr w:type="gramStart"/>
      <w:r w:rsidRPr="00FE2FCD">
        <w:rPr>
          <w:rFonts w:ascii="Times New Roman" w:hAnsi="Times New Roman"/>
          <w:sz w:val="24"/>
          <w:szCs w:val="24"/>
          <w:lang w:val="en-US"/>
        </w:rPr>
        <w:t>a precedence</w:t>
      </w:r>
      <w:proofErr w:type="gramEnd"/>
      <w:r w:rsidRPr="00FE2FCD">
        <w:rPr>
          <w:rFonts w:ascii="Times New Roman" w:hAnsi="Times New Roman"/>
          <w:sz w:val="24"/>
          <w:szCs w:val="24"/>
          <w:lang w:val="en-US"/>
        </w:rPr>
        <w:t xml:space="preserve">. </w:t>
      </w:r>
      <w:r w:rsidR="00052F7E">
        <w:rPr>
          <w:rFonts w:ascii="Times New Roman" w:hAnsi="Times New Roman"/>
          <w:sz w:val="24"/>
          <w:szCs w:val="24"/>
          <w:lang w:val="en-US"/>
        </w:rPr>
        <w:t xml:space="preserve">The Committee </w:t>
      </w:r>
      <w:r w:rsidR="00052F7E" w:rsidRPr="001427B9">
        <w:rPr>
          <w:rFonts w:ascii="Times New Roman" w:hAnsi="Times New Roman"/>
          <w:color w:val="auto"/>
          <w:sz w:val="24"/>
          <w:szCs w:val="24"/>
          <w:lang w:val="en-US"/>
        </w:rPr>
        <w:t>c</w:t>
      </w:r>
      <w:r w:rsidR="004468D0" w:rsidRPr="001427B9">
        <w:rPr>
          <w:rFonts w:ascii="Times New Roman" w:hAnsi="Times New Roman"/>
          <w:color w:val="auto"/>
          <w:sz w:val="24"/>
          <w:szCs w:val="24"/>
          <w:lang w:val="en-US"/>
        </w:rPr>
        <w:t>autioned</w:t>
      </w:r>
      <w:r w:rsidR="00052F7E" w:rsidRPr="003169F3">
        <w:rPr>
          <w:rFonts w:ascii="Times New Roman" w:hAnsi="Times New Roman"/>
          <w:color w:val="FF0000"/>
          <w:sz w:val="24"/>
          <w:szCs w:val="24"/>
          <w:lang w:val="en-US"/>
        </w:rPr>
        <w:t xml:space="preserve"> </w:t>
      </w:r>
      <w:r w:rsidR="00052F7E">
        <w:rPr>
          <w:rFonts w:ascii="Times New Roman" w:hAnsi="Times New Roman"/>
          <w:sz w:val="24"/>
          <w:szCs w:val="24"/>
          <w:lang w:val="en-US"/>
        </w:rPr>
        <w:t>the decision by the Department to finish off a project</w:t>
      </w:r>
      <w:r w:rsidR="00A0123B">
        <w:rPr>
          <w:rFonts w:ascii="Times New Roman" w:hAnsi="Times New Roman"/>
          <w:sz w:val="24"/>
          <w:szCs w:val="24"/>
          <w:lang w:val="en-US"/>
        </w:rPr>
        <w:t xml:space="preserve"> (Enyokeni)</w:t>
      </w:r>
      <w:r w:rsidR="00052F7E">
        <w:rPr>
          <w:rFonts w:ascii="Times New Roman" w:hAnsi="Times New Roman"/>
          <w:sz w:val="24"/>
          <w:szCs w:val="24"/>
          <w:lang w:val="en-US"/>
        </w:rPr>
        <w:t xml:space="preserve"> that was never budgeted for and was never part of the plans of the Department</w:t>
      </w:r>
      <w:r w:rsidR="00A0123B">
        <w:rPr>
          <w:rFonts w:ascii="Times New Roman" w:hAnsi="Times New Roman"/>
          <w:sz w:val="24"/>
          <w:szCs w:val="24"/>
          <w:lang w:val="en-US"/>
        </w:rPr>
        <w:t xml:space="preserve"> according to the 2015 Annual Performance Plan. Funding the Enyokeni project</w:t>
      </w:r>
      <w:r w:rsidR="00052F7E">
        <w:rPr>
          <w:rFonts w:ascii="Times New Roman" w:hAnsi="Times New Roman"/>
          <w:sz w:val="24"/>
          <w:szCs w:val="24"/>
          <w:lang w:val="en-US"/>
        </w:rPr>
        <w:t xml:space="preserve"> meant </w:t>
      </w:r>
      <w:r w:rsidR="00A0123B">
        <w:rPr>
          <w:rFonts w:ascii="Times New Roman" w:hAnsi="Times New Roman"/>
          <w:sz w:val="24"/>
          <w:szCs w:val="24"/>
          <w:lang w:val="en-US"/>
        </w:rPr>
        <w:t xml:space="preserve">that the Department would </w:t>
      </w:r>
      <w:proofErr w:type="gramStart"/>
      <w:r w:rsidR="00A0123B">
        <w:rPr>
          <w:rFonts w:ascii="Times New Roman" w:hAnsi="Times New Roman"/>
          <w:sz w:val="24"/>
          <w:szCs w:val="24"/>
          <w:lang w:val="en-US"/>
        </w:rPr>
        <w:t xml:space="preserve">take </w:t>
      </w:r>
      <w:r w:rsidR="00052F7E">
        <w:rPr>
          <w:rFonts w:ascii="Times New Roman" w:hAnsi="Times New Roman"/>
          <w:sz w:val="24"/>
          <w:szCs w:val="24"/>
          <w:lang w:val="en-US"/>
        </w:rPr>
        <w:t xml:space="preserve"> money</w:t>
      </w:r>
      <w:proofErr w:type="gramEnd"/>
      <w:r w:rsidR="00052F7E">
        <w:rPr>
          <w:rFonts w:ascii="Times New Roman" w:hAnsi="Times New Roman"/>
          <w:sz w:val="24"/>
          <w:szCs w:val="24"/>
          <w:lang w:val="en-US"/>
        </w:rPr>
        <w:t xml:space="preserve"> </w:t>
      </w:r>
      <w:r w:rsidR="00A0123B">
        <w:rPr>
          <w:rFonts w:ascii="Times New Roman" w:hAnsi="Times New Roman"/>
          <w:sz w:val="24"/>
          <w:szCs w:val="24"/>
          <w:lang w:val="en-US"/>
        </w:rPr>
        <w:t>from  other important</w:t>
      </w:r>
      <w:r w:rsidR="00052F7E">
        <w:rPr>
          <w:rFonts w:ascii="Times New Roman" w:hAnsi="Times New Roman"/>
          <w:sz w:val="24"/>
          <w:szCs w:val="24"/>
          <w:lang w:val="en-US"/>
        </w:rPr>
        <w:t xml:space="preserve"> Dep</w:t>
      </w:r>
      <w:r w:rsidR="00A0123B">
        <w:rPr>
          <w:rFonts w:ascii="Times New Roman" w:hAnsi="Times New Roman"/>
          <w:sz w:val="24"/>
          <w:szCs w:val="24"/>
          <w:lang w:val="en-US"/>
        </w:rPr>
        <w:t>a</w:t>
      </w:r>
      <w:r w:rsidR="00052F7E">
        <w:rPr>
          <w:rFonts w:ascii="Times New Roman" w:hAnsi="Times New Roman"/>
          <w:sz w:val="24"/>
          <w:szCs w:val="24"/>
          <w:lang w:val="en-US"/>
        </w:rPr>
        <w:t>rtmental priorities</w:t>
      </w:r>
      <w:r w:rsidR="00A0123B">
        <w:rPr>
          <w:rFonts w:ascii="Times New Roman" w:hAnsi="Times New Roman"/>
          <w:sz w:val="24"/>
          <w:szCs w:val="24"/>
          <w:lang w:val="en-US"/>
        </w:rPr>
        <w:t>. The Committee also noted that continuing with the Enyokeni project will</w:t>
      </w:r>
      <w:r w:rsidR="00052F7E">
        <w:rPr>
          <w:rFonts w:ascii="Times New Roman" w:hAnsi="Times New Roman"/>
          <w:sz w:val="24"/>
          <w:szCs w:val="24"/>
          <w:lang w:val="en-US"/>
        </w:rPr>
        <w:t xml:space="preserve"> cover up for officials that were not held accountable for the wasteful and fruitless expenditure</w:t>
      </w:r>
      <w:r w:rsidR="00A0123B">
        <w:rPr>
          <w:rFonts w:ascii="Times New Roman" w:hAnsi="Times New Roman"/>
          <w:sz w:val="24"/>
          <w:szCs w:val="24"/>
          <w:lang w:val="en-US"/>
        </w:rPr>
        <w:t>, and those official will never be brought to book</w:t>
      </w:r>
      <w:r w:rsidR="00052F7E">
        <w:rPr>
          <w:rFonts w:ascii="Times New Roman" w:hAnsi="Times New Roman"/>
          <w:sz w:val="24"/>
          <w:szCs w:val="24"/>
          <w:lang w:val="en-US"/>
        </w:rPr>
        <w:t xml:space="preserve">. The Committee reiterated that the Department must pursue those officials </w:t>
      </w:r>
      <w:r w:rsidR="00A0123B">
        <w:rPr>
          <w:rFonts w:ascii="Times New Roman" w:hAnsi="Times New Roman"/>
          <w:sz w:val="24"/>
          <w:szCs w:val="24"/>
          <w:lang w:val="en-US"/>
        </w:rPr>
        <w:t xml:space="preserve">that were </w:t>
      </w:r>
      <w:r w:rsidR="00052F7E">
        <w:rPr>
          <w:rFonts w:ascii="Times New Roman" w:hAnsi="Times New Roman"/>
          <w:sz w:val="24"/>
          <w:szCs w:val="24"/>
          <w:lang w:val="en-US"/>
        </w:rPr>
        <w:t xml:space="preserve">involved in the Enyokeni project </w:t>
      </w:r>
      <w:r w:rsidR="00A0123B">
        <w:rPr>
          <w:rFonts w:ascii="Times New Roman" w:hAnsi="Times New Roman"/>
          <w:sz w:val="24"/>
          <w:szCs w:val="24"/>
          <w:lang w:val="en-US"/>
        </w:rPr>
        <w:t xml:space="preserve">so that they </w:t>
      </w:r>
      <w:proofErr w:type="gramStart"/>
      <w:r w:rsidR="00A0123B">
        <w:rPr>
          <w:rFonts w:ascii="Times New Roman" w:hAnsi="Times New Roman"/>
          <w:sz w:val="24"/>
          <w:szCs w:val="24"/>
          <w:lang w:val="en-US"/>
        </w:rPr>
        <w:t xml:space="preserve">can </w:t>
      </w:r>
      <w:r w:rsidR="00052F7E">
        <w:rPr>
          <w:rFonts w:ascii="Times New Roman" w:hAnsi="Times New Roman"/>
          <w:sz w:val="24"/>
          <w:szCs w:val="24"/>
          <w:lang w:val="en-US"/>
        </w:rPr>
        <w:t xml:space="preserve"> face</w:t>
      </w:r>
      <w:proofErr w:type="gramEnd"/>
      <w:r w:rsidR="00052F7E">
        <w:rPr>
          <w:rFonts w:ascii="Times New Roman" w:hAnsi="Times New Roman"/>
          <w:sz w:val="24"/>
          <w:szCs w:val="24"/>
          <w:lang w:val="en-US"/>
        </w:rPr>
        <w:t xml:space="preserve"> the full wrath of the law. </w:t>
      </w:r>
      <w:r w:rsidR="00A0123B">
        <w:rPr>
          <w:rFonts w:ascii="Times New Roman" w:hAnsi="Times New Roman"/>
          <w:sz w:val="24"/>
          <w:szCs w:val="24"/>
          <w:lang w:val="en-US"/>
        </w:rPr>
        <w:t>In response</w:t>
      </w:r>
      <w:proofErr w:type="gramStart"/>
      <w:r w:rsidR="00A0123B">
        <w:rPr>
          <w:rFonts w:ascii="Times New Roman" w:hAnsi="Times New Roman"/>
          <w:sz w:val="24"/>
          <w:szCs w:val="24"/>
          <w:lang w:val="en-US"/>
        </w:rPr>
        <w:t xml:space="preserve">, </w:t>
      </w:r>
      <w:r w:rsidR="0011325B" w:rsidRPr="00FE2FCD">
        <w:rPr>
          <w:rFonts w:ascii="Times New Roman" w:hAnsi="Times New Roman"/>
          <w:sz w:val="24"/>
          <w:szCs w:val="24"/>
          <w:lang w:val="en-US"/>
        </w:rPr>
        <w:t xml:space="preserve"> the</w:t>
      </w:r>
      <w:proofErr w:type="gramEnd"/>
      <w:r w:rsidR="0011325B" w:rsidRPr="00FE2FCD">
        <w:rPr>
          <w:rFonts w:ascii="Times New Roman" w:hAnsi="Times New Roman"/>
          <w:sz w:val="24"/>
          <w:szCs w:val="24"/>
          <w:lang w:val="en-US"/>
        </w:rPr>
        <w:t xml:space="preserve"> Department stated that by leaving the building unfinished, it will be </w:t>
      </w:r>
      <w:r w:rsidR="00822729" w:rsidRPr="00FE2FCD">
        <w:rPr>
          <w:rFonts w:ascii="Times New Roman" w:hAnsi="Times New Roman"/>
          <w:sz w:val="24"/>
          <w:szCs w:val="24"/>
          <w:lang w:val="en-US"/>
        </w:rPr>
        <w:t xml:space="preserve">an </w:t>
      </w:r>
      <w:r w:rsidR="00822729" w:rsidRPr="00FE2FCD">
        <w:rPr>
          <w:rFonts w:ascii="Times New Roman" w:hAnsi="Times New Roman"/>
          <w:sz w:val="24"/>
          <w:szCs w:val="24"/>
          <w:lang w:val="en-US"/>
        </w:rPr>
        <w:lastRenderedPageBreak/>
        <w:t>embarrassment to government</w:t>
      </w:r>
      <w:r w:rsidR="00A0123B">
        <w:rPr>
          <w:rFonts w:ascii="Times New Roman" w:hAnsi="Times New Roman"/>
          <w:sz w:val="24"/>
          <w:szCs w:val="24"/>
          <w:lang w:val="en-US"/>
        </w:rPr>
        <w:t>, hence they have budgeted R28.1 million to complete the project</w:t>
      </w:r>
      <w:r w:rsidR="00822729" w:rsidRPr="00FE2FCD">
        <w:rPr>
          <w:rFonts w:ascii="Times New Roman" w:hAnsi="Times New Roman"/>
          <w:sz w:val="24"/>
          <w:szCs w:val="24"/>
          <w:lang w:val="en-US"/>
        </w:rPr>
        <w:t>.</w:t>
      </w:r>
    </w:p>
    <w:p w14:paraId="6E4E1D8C" w14:textId="77777777" w:rsidR="00471D2D" w:rsidRPr="00FE2FCD" w:rsidRDefault="00471D2D" w:rsidP="00FE2FCD">
      <w:pPr>
        <w:spacing w:line="360" w:lineRule="auto"/>
        <w:ind w:left="360"/>
        <w:jc w:val="both"/>
        <w:rPr>
          <w:rFonts w:ascii="Times New Roman" w:hAnsi="Times New Roman"/>
          <w:sz w:val="24"/>
          <w:szCs w:val="24"/>
          <w:lang w:val="en-US"/>
        </w:rPr>
      </w:pPr>
      <w:r w:rsidRPr="00FE2FCD">
        <w:rPr>
          <w:rFonts w:ascii="Times New Roman" w:hAnsi="Times New Roman"/>
          <w:sz w:val="24"/>
          <w:szCs w:val="24"/>
          <w:lang w:val="en-US"/>
        </w:rPr>
        <w:t xml:space="preserve">The Department reported that they had conducted a skills audit and it revealed that their Senior Managers were aging. </w:t>
      </w:r>
    </w:p>
    <w:p w14:paraId="45D08483" w14:textId="77777777" w:rsidR="003D7F40" w:rsidRPr="00FE2FCD" w:rsidRDefault="003D7F40" w:rsidP="00FE2FCD">
      <w:pPr>
        <w:spacing w:line="360" w:lineRule="auto"/>
        <w:jc w:val="both"/>
        <w:rPr>
          <w:rFonts w:ascii="Times New Roman" w:hAnsi="Times New Roman"/>
          <w:spacing w:val="0"/>
          <w:sz w:val="24"/>
          <w:szCs w:val="24"/>
          <w:lang w:val="en-ZA"/>
        </w:rPr>
      </w:pPr>
    </w:p>
    <w:p w14:paraId="6B786AC8" w14:textId="77777777" w:rsidR="00AA75CA" w:rsidRPr="00FE2FCD" w:rsidRDefault="003D7F40" w:rsidP="00FE2FCD">
      <w:pPr>
        <w:spacing w:line="360" w:lineRule="auto"/>
        <w:jc w:val="both"/>
        <w:rPr>
          <w:rFonts w:ascii="Times New Roman" w:hAnsi="Times New Roman"/>
          <w:spacing w:val="0"/>
          <w:sz w:val="24"/>
          <w:szCs w:val="24"/>
          <w:lang w:val="en-ZA"/>
        </w:rPr>
      </w:pPr>
      <w:r w:rsidRPr="00FE2FCD">
        <w:rPr>
          <w:rFonts w:ascii="Times New Roman" w:hAnsi="Times New Roman"/>
          <w:spacing w:val="0"/>
          <w:sz w:val="24"/>
          <w:szCs w:val="24"/>
          <w:lang w:val="en-ZA"/>
        </w:rPr>
        <w:t xml:space="preserve">   </w:t>
      </w:r>
    </w:p>
    <w:p w14:paraId="05A568A8" w14:textId="77777777" w:rsidR="009725A9" w:rsidRPr="00FE2FCD" w:rsidRDefault="009725A9" w:rsidP="00FE2FCD">
      <w:pPr>
        <w:pStyle w:val="ListParagraph"/>
        <w:numPr>
          <w:ilvl w:val="0"/>
          <w:numId w:val="41"/>
        </w:numPr>
        <w:spacing w:line="360" w:lineRule="auto"/>
        <w:jc w:val="both"/>
        <w:rPr>
          <w:rFonts w:ascii="Times New Roman" w:hAnsi="Times New Roman"/>
          <w:b/>
          <w:spacing w:val="0"/>
          <w:sz w:val="24"/>
          <w:szCs w:val="24"/>
          <w:lang w:val="en-ZA"/>
        </w:rPr>
      </w:pPr>
      <w:r w:rsidRPr="00FE2FCD">
        <w:rPr>
          <w:rFonts w:ascii="Times New Roman" w:hAnsi="Times New Roman"/>
          <w:b/>
          <w:spacing w:val="0"/>
          <w:sz w:val="24"/>
          <w:szCs w:val="24"/>
          <w:lang w:val="en-ZA"/>
        </w:rPr>
        <w:t xml:space="preserve">The Committee held engagements with </w:t>
      </w:r>
      <w:r w:rsidR="00B37C36" w:rsidRPr="00FE2FCD">
        <w:rPr>
          <w:rFonts w:ascii="Times New Roman" w:hAnsi="Times New Roman"/>
          <w:b/>
          <w:spacing w:val="0"/>
          <w:sz w:val="24"/>
          <w:szCs w:val="24"/>
          <w:lang w:val="en-ZA"/>
        </w:rPr>
        <w:t xml:space="preserve">the </w:t>
      </w:r>
      <w:r w:rsidR="002B7DF5" w:rsidRPr="00FE2FCD">
        <w:rPr>
          <w:rFonts w:ascii="Times New Roman" w:hAnsi="Times New Roman"/>
          <w:b/>
          <w:spacing w:val="0"/>
          <w:sz w:val="24"/>
          <w:szCs w:val="24"/>
          <w:lang w:val="en-ZA"/>
        </w:rPr>
        <w:t>War</w:t>
      </w:r>
      <w:r w:rsidR="000168D0" w:rsidRPr="00FE2FCD">
        <w:rPr>
          <w:rFonts w:ascii="Times New Roman" w:hAnsi="Times New Roman"/>
          <w:b/>
          <w:spacing w:val="0"/>
          <w:sz w:val="24"/>
          <w:szCs w:val="24"/>
          <w:lang w:val="en-ZA"/>
        </w:rPr>
        <w:t xml:space="preserve"> Museum</w:t>
      </w:r>
      <w:r w:rsidR="00AE49D0" w:rsidRPr="00FE2FCD">
        <w:rPr>
          <w:rFonts w:ascii="Times New Roman" w:hAnsi="Times New Roman"/>
          <w:b/>
          <w:spacing w:val="0"/>
          <w:sz w:val="24"/>
          <w:szCs w:val="24"/>
          <w:lang w:val="en-ZA"/>
        </w:rPr>
        <w:t xml:space="preserve"> </w:t>
      </w:r>
      <w:r w:rsidR="002B7DF5" w:rsidRPr="00FE2FCD">
        <w:rPr>
          <w:rFonts w:ascii="Times New Roman" w:hAnsi="Times New Roman"/>
          <w:b/>
          <w:spacing w:val="0"/>
          <w:sz w:val="24"/>
          <w:szCs w:val="24"/>
          <w:lang w:val="en-ZA"/>
        </w:rPr>
        <w:t>of the Boer Republic</w:t>
      </w:r>
      <w:r w:rsidR="00822729" w:rsidRPr="00FE2FCD">
        <w:rPr>
          <w:rFonts w:ascii="Times New Roman" w:hAnsi="Times New Roman"/>
          <w:b/>
          <w:spacing w:val="0"/>
          <w:sz w:val="24"/>
          <w:szCs w:val="24"/>
          <w:lang w:val="en-ZA"/>
        </w:rPr>
        <w:t>,</w:t>
      </w:r>
      <w:r w:rsidR="00AE49D0" w:rsidRPr="00FE2FCD">
        <w:rPr>
          <w:rFonts w:ascii="Times New Roman" w:hAnsi="Times New Roman"/>
          <w:b/>
          <w:spacing w:val="0"/>
          <w:sz w:val="24"/>
          <w:szCs w:val="24"/>
          <w:lang w:val="en-ZA"/>
        </w:rPr>
        <w:t xml:space="preserve"> the</w:t>
      </w:r>
      <w:r w:rsidR="000168D0" w:rsidRPr="00FE2FCD">
        <w:rPr>
          <w:rFonts w:ascii="Times New Roman" w:hAnsi="Times New Roman"/>
          <w:b/>
          <w:spacing w:val="0"/>
          <w:sz w:val="24"/>
          <w:szCs w:val="24"/>
          <w:lang w:val="en-ZA"/>
        </w:rPr>
        <w:t xml:space="preserve"> </w:t>
      </w:r>
      <w:r w:rsidR="002B7DF5" w:rsidRPr="00FE2FCD">
        <w:rPr>
          <w:rFonts w:ascii="Times New Roman" w:hAnsi="Times New Roman"/>
          <w:b/>
          <w:spacing w:val="0"/>
          <w:sz w:val="24"/>
          <w:szCs w:val="24"/>
          <w:lang w:val="en-ZA"/>
        </w:rPr>
        <w:t xml:space="preserve">KwaZulu Natal </w:t>
      </w:r>
      <w:r w:rsidR="000168D0" w:rsidRPr="00FE2FCD">
        <w:rPr>
          <w:rFonts w:ascii="Times New Roman" w:hAnsi="Times New Roman"/>
          <w:b/>
          <w:spacing w:val="0"/>
          <w:sz w:val="24"/>
          <w:szCs w:val="24"/>
          <w:lang w:val="en-ZA"/>
        </w:rPr>
        <w:t>Museum</w:t>
      </w:r>
      <w:r w:rsidR="00484D3B" w:rsidRPr="00FE2FCD">
        <w:rPr>
          <w:rFonts w:ascii="Times New Roman" w:hAnsi="Times New Roman"/>
          <w:b/>
          <w:spacing w:val="0"/>
          <w:sz w:val="24"/>
          <w:szCs w:val="24"/>
          <w:lang w:val="en-ZA"/>
        </w:rPr>
        <w:t xml:space="preserve"> and</w:t>
      </w:r>
      <w:r w:rsidR="00822729" w:rsidRPr="00FE2FCD">
        <w:rPr>
          <w:rFonts w:ascii="Times New Roman" w:hAnsi="Times New Roman"/>
          <w:b/>
          <w:spacing w:val="0"/>
          <w:sz w:val="24"/>
          <w:szCs w:val="24"/>
          <w:lang w:val="en-ZA"/>
        </w:rPr>
        <w:t xml:space="preserve"> Market Theatre</w:t>
      </w:r>
      <w:r w:rsidR="00484D3B" w:rsidRPr="00FE2FCD">
        <w:rPr>
          <w:rFonts w:ascii="Times New Roman" w:hAnsi="Times New Roman"/>
          <w:b/>
          <w:spacing w:val="0"/>
          <w:sz w:val="24"/>
          <w:szCs w:val="24"/>
          <w:lang w:val="en-ZA"/>
        </w:rPr>
        <w:t xml:space="preserve"> </w:t>
      </w:r>
      <w:r w:rsidRPr="00FE2FCD">
        <w:rPr>
          <w:rFonts w:ascii="Times New Roman" w:hAnsi="Times New Roman"/>
          <w:b/>
          <w:spacing w:val="0"/>
          <w:sz w:val="24"/>
          <w:szCs w:val="24"/>
          <w:lang w:val="en-ZA"/>
        </w:rPr>
        <w:t>the following issues emerged:</w:t>
      </w:r>
    </w:p>
    <w:p w14:paraId="35AC9B05" w14:textId="77777777" w:rsidR="00A83D71" w:rsidRPr="00FE2FCD" w:rsidRDefault="00A83D71">
      <w:pPr>
        <w:spacing w:line="360" w:lineRule="auto"/>
        <w:jc w:val="both"/>
        <w:rPr>
          <w:rFonts w:ascii="Times New Roman" w:hAnsi="Times New Roman"/>
          <w:spacing w:val="0"/>
          <w:sz w:val="24"/>
          <w:szCs w:val="24"/>
          <w:lang w:val="en-ZA"/>
        </w:rPr>
      </w:pPr>
    </w:p>
    <w:p w14:paraId="39C3EC2E" w14:textId="77777777" w:rsidR="00822729" w:rsidRPr="00FE2FCD" w:rsidRDefault="00822729" w:rsidP="00FE2FCD">
      <w:pPr>
        <w:spacing w:line="360" w:lineRule="auto"/>
        <w:ind w:left="360"/>
        <w:jc w:val="both"/>
        <w:rPr>
          <w:rFonts w:ascii="Times New Roman" w:hAnsi="Times New Roman"/>
          <w:sz w:val="24"/>
          <w:szCs w:val="24"/>
          <w:lang w:val="en-US"/>
        </w:rPr>
      </w:pPr>
      <w:r w:rsidRPr="00FE2FCD">
        <w:rPr>
          <w:rFonts w:ascii="Times New Roman" w:hAnsi="Times New Roman"/>
          <w:sz w:val="24"/>
          <w:szCs w:val="24"/>
          <w:lang w:val="en-US"/>
        </w:rPr>
        <w:t xml:space="preserve">The Committee commended the War Museum for the unqualified audit taking into account the challenges faced by the entity with GRAP 103. The Committee indicated that the organogram of the entity lacked details as it did not give clarity whether there was a vacuum within the entity created by the resignations and retirements. The Committee further questioned the equity plan as there were no black employees at management level.   </w:t>
      </w:r>
    </w:p>
    <w:p w14:paraId="2C4860A0" w14:textId="77777777" w:rsidR="00822729" w:rsidRPr="00FE2FCD" w:rsidRDefault="00822729" w:rsidP="00FE2FCD">
      <w:pPr>
        <w:spacing w:line="360" w:lineRule="auto"/>
        <w:ind w:left="360"/>
        <w:jc w:val="both"/>
        <w:rPr>
          <w:rFonts w:ascii="Times New Roman" w:hAnsi="Times New Roman"/>
          <w:sz w:val="24"/>
          <w:szCs w:val="24"/>
          <w:lang w:val="en-US"/>
        </w:rPr>
      </w:pPr>
    </w:p>
    <w:p w14:paraId="6FAFB1A3" w14:textId="77777777" w:rsidR="00822729" w:rsidRPr="00FE2FCD" w:rsidRDefault="00822729" w:rsidP="00FE2FCD">
      <w:pPr>
        <w:spacing w:line="360" w:lineRule="auto"/>
        <w:ind w:left="360"/>
        <w:jc w:val="both"/>
        <w:rPr>
          <w:rFonts w:ascii="Times New Roman" w:hAnsi="Times New Roman"/>
          <w:sz w:val="24"/>
          <w:szCs w:val="24"/>
          <w:lang w:val="en-US"/>
        </w:rPr>
      </w:pPr>
      <w:r w:rsidRPr="00FE2FCD">
        <w:rPr>
          <w:rFonts w:ascii="Times New Roman" w:hAnsi="Times New Roman"/>
          <w:sz w:val="24"/>
          <w:szCs w:val="24"/>
          <w:lang w:val="en-US"/>
        </w:rPr>
        <w:t>The Committee was impressed with the work done by the KwaZulu Natal Museum particularly because the Museum was the only entity doing the type of work in the country. The Committee noted that the issue of GRAP 103 was a concern as it would really put the entity into an unfavourable situation.</w:t>
      </w:r>
    </w:p>
    <w:p w14:paraId="423EC069" w14:textId="77777777" w:rsidR="00822729" w:rsidRPr="00FE2FCD" w:rsidRDefault="00822729" w:rsidP="00FE2FCD">
      <w:pPr>
        <w:spacing w:line="360" w:lineRule="auto"/>
        <w:ind w:left="360"/>
        <w:jc w:val="both"/>
        <w:rPr>
          <w:rFonts w:ascii="Times New Roman" w:hAnsi="Times New Roman"/>
          <w:sz w:val="24"/>
          <w:szCs w:val="24"/>
          <w:lang w:val="en-US"/>
        </w:rPr>
      </w:pPr>
    </w:p>
    <w:p w14:paraId="7C686245" w14:textId="77777777" w:rsidR="00822729" w:rsidRDefault="00822729" w:rsidP="00FE2FCD">
      <w:pPr>
        <w:spacing w:line="360" w:lineRule="auto"/>
        <w:ind w:left="360"/>
        <w:jc w:val="both"/>
        <w:rPr>
          <w:rFonts w:ascii="Times New Roman" w:hAnsi="Times New Roman"/>
          <w:sz w:val="24"/>
          <w:szCs w:val="24"/>
          <w:lang w:val="en-US"/>
        </w:rPr>
      </w:pPr>
      <w:r w:rsidRPr="00FE2FCD">
        <w:rPr>
          <w:rFonts w:ascii="Times New Roman" w:hAnsi="Times New Roman"/>
          <w:sz w:val="24"/>
          <w:szCs w:val="24"/>
          <w:lang w:val="en-US"/>
        </w:rPr>
        <w:t xml:space="preserve">The Market Theatre Foundation indicated that they had been through a difficult period with the amalgamation of the Windybrow Theatre and indicated that they believed that the entity would be better positioned to develop a case study on how to merge entities when the other collapses. The Chairperson further indicated that he was in the process of communicating with the Minister to consider extending the contracts of the Chief Executive Officer and the Chief Financial Officer as they had a vision that would take the </w:t>
      </w:r>
      <w:r w:rsidR="001A1E3E" w:rsidRPr="00FE2FCD">
        <w:rPr>
          <w:rFonts w:ascii="Times New Roman" w:hAnsi="Times New Roman"/>
          <w:sz w:val="24"/>
          <w:szCs w:val="24"/>
          <w:lang w:val="en-US"/>
        </w:rPr>
        <w:t>entity</w:t>
      </w:r>
      <w:r w:rsidRPr="00FE2FCD">
        <w:rPr>
          <w:rFonts w:ascii="Times New Roman" w:hAnsi="Times New Roman"/>
          <w:sz w:val="24"/>
          <w:szCs w:val="24"/>
          <w:lang w:val="en-US"/>
        </w:rPr>
        <w:t xml:space="preserve"> forward while passing on knowledge to those that will be left behind. The Committee commended the entity for the sterling work they are doing.      </w:t>
      </w:r>
    </w:p>
    <w:p w14:paraId="4B8EE102" w14:textId="77777777" w:rsidR="00052F7E" w:rsidRPr="00FE2FCD" w:rsidRDefault="00052F7E" w:rsidP="00FE2FCD">
      <w:pPr>
        <w:spacing w:line="360" w:lineRule="auto"/>
        <w:ind w:left="360"/>
        <w:jc w:val="both"/>
        <w:rPr>
          <w:rFonts w:ascii="Times New Roman" w:hAnsi="Times New Roman"/>
          <w:sz w:val="24"/>
          <w:szCs w:val="24"/>
          <w:lang w:val="en-US"/>
        </w:rPr>
      </w:pPr>
    </w:p>
    <w:p w14:paraId="435AF1F4" w14:textId="77777777" w:rsidR="00AC1B1D" w:rsidRPr="00FE2FCD" w:rsidRDefault="009A01BA" w:rsidP="00FE2FCD">
      <w:pPr>
        <w:pStyle w:val="ListParagraph"/>
        <w:numPr>
          <w:ilvl w:val="0"/>
          <w:numId w:val="41"/>
        </w:numPr>
        <w:spacing w:line="360" w:lineRule="auto"/>
        <w:jc w:val="both"/>
        <w:rPr>
          <w:rFonts w:ascii="Times New Roman" w:hAnsi="Times New Roman"/>
          <w:b/>
          <w:spacing w:val="0"/>
          <w:sz w:val="24"/>
          <w:szCs w:val="24"/>
          <w:lang w:val="en-ZA"/>
        </w:rPr>
      </w:pPr>
      <w:r w:rsidRPr="00FE2FCD">
        <w:rPr>
          <w:rFonts w:ascii="Times New Roman" w:hAnsi="Times New Roman"/>
          <w:b/>
          <w:spacing w:val="0"/>
          <w:sz w:val="24"/>
          <w:szCs w:val="24"/>
          <w:lang w:val="en-ZA"/>
        </w:rPr>
        <w:t xml:space="preserve">The Committee </w:t>
      </w:r>
      <w:r w:rsidR="00AC1B1D" w:rsidRPr="00FE2FCD">
        <w:rPr>
          <w:rFonts w:ascii="Times New Roman" w:hAnsi="Times New Roman"/>
          <w:b/>
          <w:spacing w:val="0"/>
          <w:sz w:val="24"/>
          <w:szCs w:val="24"/>
          <w:lang w:val="en-ZA"/>
        </w:rPr>
        <w:t xml:space="preserve">further </w:t>
      </w:r>
      <w:r w:rsidRPr="00FE2FCD">
        <w:rPr>
          <w:rFonts w:ascii="Times New Roman" w:hAnsi="Times New Roman"/>
          <w:b/>
          <w:spacing w:val="0"/>
          <w:sz w:val="24"/>
          <w:szCs w:val="24"/>
          <w:lang w:val="en-ZA"/>
        </w:rPr>
        <w:t>held engagements with the</w:t>
      </w:r>
      <w:r w:rsidR="000168D0" w:rsidRPr="00FE2FCD">
        <w:rPr>
          <w:rFonts w:ascii="Times New Roman" w:hAnsi="Times New Roman"/>
          <w:b/>
          <w:spacing w:val="0"/>
          <w:sz w:val="24"/>
          <w:szCs w:val="24"/>
          <w:lang w:val="en-ZA"/>
        </w:rPr>
        <w:t xml:space="preserve"> </w:t>
      </w:r>
      <w:r w:rsidR="001A1E3E" w:rsidRPr="00FE2FCD">
        <w:rPr>
          <w:rFonts w:ascii="Times New Roman" w:hAnsi="Times New Roman"/>
          <w:b/>
          <w:spacing w:val="0"/>
          <w:sz w:val="24"/>
          <w:szCs w:val="24"/>
          <w:lang w:val="en-ZA"/>
        </w:rPr>
        <w:t xml:space="preserve">National English Literacy Museum, </w:t>
      </w:r>
      <w:r w:rsidR="000168D0" w:rsidRPr="00FE2FCD">
        <w:rPr>
          <w:rFonts w:ascii="Times New Roman" w:hAnsi="Times New Roman"/>
          <w:b/>
          <w:spacing w:val="0"/>
          <w:sz w:val="24"/>
          <w:szCs w:val="24"/>
          <w:lang w:val="en-ZA"/>
        </w:rPr>
        <w:t xml:space="preserve">South African Library for the Blind </w:t>
      </w:r>
      <w:r w:rsidR="00BC2EB5" w:rsidRPr="00FE2FCD">
        <w:rPr>
          <w:rFonts w:ascii="Times New Roman" w:hAnsi="Times New Roman"/>
          <w:b/>
          <w:spacing w:val="0"/>
          <w:sz w:val="24"/>
          <w:szCs w:val="24"/>
          <w:lang w:val="en-ZA"/>
        </w:rPr>
        <w:t xml:space="preserve">(SALB) </w:t>
      </w:r>
      <w:r w:rsidR="000168D0" w:rsidRPr="00FE2FCD">
        <w:rPr>
          <w:rFonts w:ascii="Times New Roman" w:hAnsi="Times New Roman"/>
          <w:b/>
          <w:spacing w:val="0"/>
          <w:sz w:val="24"/>
          <w:szCs w:val="24"/>
          <w:lang w:val="en-ZA"/>
        </w:rPr>
        <w:t>and Blind South Africa and the following issues emerged</w:t>
      </w:r>
      <w:r w:rsidR="00AC1B1D" w:rsidRPr="00FE2FCD">
        <w:rPr>
          <w:rFonts w:ascii="Times New Roman" w:hAnsi="Times New Roman"/>
          <w:b/>
          <w:spacing w:val="0"/>
          <w:sz w:val="24"/>
          <w:szCs w:val="24"/>
          <w:lang w:val="en-ZA"/>
        </w:rPr>
        <w:t>:</w:t>
      </w:r>
    </w:p>
    <w:p w14:paraId="1300EA85" w14:textId="77777777" w:rsidR="001A1E3E" w:rsidRPr="00FE2FCD" w:rsidRDefault="001A1E3E">
      <w:pPr>
        <w:spacing w:line="360" w:lineRule="auto"/>
        <w:jc w:val="both"/>
        <w:rPr>
          <w:rFonts w:ascii="Times New Roman" w:hAnsi="Times New Roman"/>
          <w:b/>
          <w:spacing w:val="0"/>
          <w:sz w:val="24"/>
          <w:szCs w:val="24"/>
          <w:lang w:val="en-ZA"/>
        </w:rPr>
      </w:pPr>
    </w:p>
    <w:p w14:paraId="2531B1BB" w14:textId="77777777" w:rsidR="00A1770E" w:rsidRPr="00FE2FCD" w:rsidRDefault="00A1770E">
      <w:pPr>
        <w:spacing w:line="360" w:lineRule="auto"/>
        <w:jc w:val="both"/>
        <w:rPr>
          <w:rFonts w:ascii="Times New Roman" w:hAnsi="Times New Roman"/>
          <w:spacing w:val="0"/>
          <w:sz w:val="24"/>
          <w:szCs w:val="24"/>
          <w:lang w:val="en-ZA"/>
        </w:rPr>
      </w:pPr>
      <w:r w:rsidRPr="00FE2FCD">
        <w:rPr>
          <w:rFonts w:ascii="Times New Roman" w:hAnsi="Times New Roman"/>
          <w:spacing w:val="0"/>
          <w:sz w:val="24"/>
          <w:szCs w:val="24"/>
          <w:lang w:val="en-ZA"/>
        </w:rPr>
        <w:t xml:space="preserve">The Committee met with the </w:t>
      </w:r>
      <w:r w:rsidR="001A1E3E" w:rsidRPr="00FE2FCD">
        <w:rPr>
          <w:rFonts w:ascii="Times New Roman" w:hAnsi="Times New Roman"/>
          <w:spacing w:val="0"/>
          <w:sz w:val="24"/>
          <w:szCs w:val="24"/>
          <w:lang w:val="en-ZA"/>
        </w:rPr>
        <w:t xml:space="preserve">National English Literacy Museum, </w:t>
      </w:r>
      <w:r w:rsidRPr="00FE2FCD">
        <w:rPr>
          <w:rFonts w:ascii="Times New Roman" w:hAnsi="Times New Roman"/>
          <w:spacing w:val="0"/>
          <w:sz w:val="24"/>
          <w:szCs w:val="24"/>
          <w:lang w:val="en-ZA"/>
        </w:rPr>
        <w:t>BlindSA and the SALB and identified that the entities were doing a good job</w:t>
      </w:r>
      <w:r w:rsidR="001A1E3E" w:rsidRPr="00FE2FCD">
        <w:rPr>
          <w:rFonts w:ascii="Times New Roman" w:hAnsi="Times New Roman"/>
          <w:spacing w:val="0"/>
          <w:sz w:val="24"/>
          <w:szCs w:val="24"/>
          <w:lang w:val="en-ZA"/>
        </w:rPr>
        <w:t>. The Committee also discovered that the entities were</w:t>
      </w:r>
      <w:r w:rsidRPr="00FE2FCD">
        <w:rPr>
          <w:rFonts w:ascii="Times New Roman" w:hAnsi="Times New Roman"/>
          <w:spacing w:val="0"/>
          <w:sz w:val="24"/>
          <w:szCs w:val="24"/>
          <w:lang w:val="en-ZA"/>
        </w:rPr>
        <w:t xml:space="preserve"> seriously underfunded</w:t>
      </w:r>
      <w:r w:rsidR="001A1E3E" w:rsidRPr="00FE2FCD">
        <w:rPr>
          <w:rFonts w:ascii="Times New Roman" w:hAnsi="Times New Roman"/>
          <w:spacing w:val="0"/>
          <w:sz w:val="24"/>
          <w:szCs w:val="24"/>
          <w:lang w:val="en-ZA"/>
        </w:rPr>
        <w:t>, for example for the SALB</w:t>
      </w:r>
      <w:r w:rsidRPr="00FE2FCD">
        <w:rPr>
          <w:rFonts w:ascii="Times New Roman" w:hAnsi="Times New Roman"/>
          <w:spacing w:val="0"/>
          <w:sz w:val="24"/>
          <w:szCs w:val="24"/>
          <w:lang w:val="en-ZA"/>
        </w:rPr>
        <w:t xml:space="preserve"> </w:t>
      </w:r>
      <w:r w:rsidR="0065197E" w:rsidRPr="00FE2FCD">
        <w:rPr>
          <w:rFonts w:ascii="Times New Roman" w:hAnsi="Times New Roman"/>
          <w:spacing w:val="0"/>
          <w:sz w:val="24"/>
          <w:szCs w:val="24"/>
          <w:lang w:val="en-ZA"/>
        </w:rPr>
        <w:t xml:space="preserve">the price for a single braille book </w:t>
      </w:r>
      <w:r w:rsidR="00BC2EB5" w:rsidRPr="00FE2FCD">
        <w:rPr>
          <w:rFonts w:ascii="Times New Roman" w:hAnsi="Times New Roman"/>
          <w:spacing w:val="0"/>
          <w:sz w:val="24"/>
          <w:szCs w:val="24"/>
          <w:lang w:val="en-ZA"/>
        </w:rPr>
        <w:t>is approximately</w:t>
      </w:r>
      <w:r w:rsidR="0065197E" w:rsidRPr="00FE2FCD">
        <w:rPr>
          <w:rFonts w:ascii="Times New Roman" w:hAnsi="Times New Roman"/>
          <w:spacing w:val="0"/>
          <w:sz w:val="24"/>
          <w:szCs w:val="24"/>
          <w:lang w:val="en-ZA"/>
        </w:rPr>
        <w:t xml:space="preserve"> R7000</w:t>
      </w:r>
      <w:r w:rsidR="001A1E3E" w:rsidRPr="00FE2FCD">
        <w:rPr>
          <w:rFonts w:ascii="Times New Roman" w:hAnsi="Times New Roman"/>
          <w:spacing w:val="0"/>
          <w:sz w:val="24"/>
          <w:szCs w:val="24"/>
          <w:lang w:val="en-ZA"/>
        </w:rPr>
        <w:t xml:space="preserve"> although SALB is funded like a normal library</w:t>
      </w:r>
      <w:r w:rsidR="0065197E" w:rsidRPr="00FE2FCD">
        <w:rPr>
          <w:rFonts w:ascii="Times New Roman" w:hAnsi="Times New Roman"/>
          <w:spacing w:val="0"/>
          <w:sz w:val="24"/>
          <w:szCs w:val="24"/>
          <w:lang w:val="en-ZA"/>
        </w:rPr>
        <w:t xml:space="preserve">.  </w:t>
      </w:r>
    </w:p>
    <w:p w14:paraId="7E7C1C5C" w14:textId="77777777" w:rsidR="001A1E3E" w:rsidRPr="00FE2FCD" w:rsidRDefault="001A1E3E">
      <w:pPr>
        <w:spacing w:line="360" w:lineRule="auto"/>
        <w:jc w:val="both"/>
        <w:rPr>
          <w:rFonts w:ascii="Times New Roman" w:hAnsi="Times New Roman"/>
          <w:spacing w:val="0"/>
          <w:sz w:val="24"/>
          <w:szCs w:val="24"/>
          <w:lang w:val="en-ZA"/>
        </w:rPr>
      </w:pPr>
    </w:p>
    <w:p w14:paraId="7A58F5EC" w14:textId="77777777" w:rsidR="001A1E3E" w:rsidRDefault="001A1E3E">
      <w:pPr>
        <w:spacing w:line="360" w:lineRule="auto"/>
        <w:jc w:val="both"/>
        <w:rPr>
          <w:rFonts w:ascii="Times New Roman" w:hAnsi="Times New Roman"/>
          <w:spacing w:val="0"/>
          <w:sz w:val="24"/>
          <w:szCs w:val="24"/>
          <w:lang w:val="en-ZA"/>
        </w:rPr>
      </w:pPr>
      <w:r w:rsidRPr="00FE2FCD">
        <w:rPr>
          <w:rFonts w:ascii="Times New Roman" w:hAnsi="Times New Roman"/>
          <w:spacing w:val="0"/>
          <w:sz w:val="24"/>
          <w:szCs w:val="24"/>
          <w:lang w:val="en-ZA"/>
        </w:rPr>
        <w:t xml:space="preserve">The Committee met with the National English Literary Museum and indicated that it felt that the entity was identifying itself too much with its geographical positioning instead of spreading nationally. </w:t>
      </w:r>
      <w:r w:rsidR="00FE2FCD" w:rsidRPr="00FE2FCD">
        <w:rPr>
          <w:rFonts w:ascii="Times New Roman" w:hAnsi="Times New Roman"/>
          <w:spacing w:val="0"/>
          <w:sz w:val="24"/>
          <w:szCs w:val="24"/>
          <w:lang w:val="en-ZA"/>
        </w:rPr>
        <w:t xml:space="preserve">The Committee suggested that the entity should </w:t>
      </w:r>
      <w:r w:rsidR="003169F3">
        <w:rPr>
          <w:rFonts w:ascii="Times New Roman" w:hAnsi="Times New Roman"/>
          <w:spacing w:val="0"/>
          <w:sz w:val="24"/>
          <w:szCs w:val="24"/>
          <w:lang w:val="en-ZA"/>
        </w:rPr>
        <w:t>operate</w:t>
      </w:r>
      <w:r w:rsidR="00FE2FCD" w:rsidRPr="00FE2FCD">
        <w:rPr>
          <w:rFonts w:ascii="Times New Roman" w:hAnsi="Times New Roman"/>
          <w:spacing w:val="0"/>
          <w:sz w:val="24"/>
          <w:szCs w:val="24"/>
          <w:lang w:val="en-ZA"/>
        </w:rPr>
        <w:t xml:space="preserve"> </w:t>
      </w:r>
      <w:r w:rsidR="00FE2FCD" w:rsidRPr="00FE2FCD">
        <w:rPr>
          <w:rFonts w:ascii="Times New Roman" w:hAnsi="Times New Roman"/>
          <w:sz w:val="24"/>
          <w:szCs w:val="24"/>
          <w:lang w:val="en-US"/>
        </w:rPr>
        <w:t xml:space="preserve">nationally so that all South Africans can benefit from it and the entity agreed to that.  The Committee asked about the name change of the entity and the process followed. </w:t>
      </w:r>
      <w:r w:rsidRPr="00FE2FCD">
        <w:rPr>
          <w:rFonts w:ascii="Times New Roman" w:hAnsi="Times New Roman"/>
          <w:spacing w:val="0"/>
          <w:sz w:val="24"/>
          <w:szCs w:val="24"/>
          <w:lang w:val="en-ZA"/>
        </w:rPr>
        <w:t xml:space="preserve">The entity indicated that the name change process was in the pipeline and the Committee cautioned the NELM to ensure that proper public participation processes were followed in the name change as it would be disastrous for the entity not to involve the communities. The Committee further noted that the Department should ensure that the matter regarding the auditing fees is dealt with as there was sufficient documentation to close the matter and not proceed to court.  </w:t>
      </w:r>
    </w:p>
    <w:p w14:paraId="41DF4C5B" w14:textId="77777777" w:rsidR="00FE2FCD" w:rsidRPr="00FE2FCD" w:rsidRDefault="00FE2FCD">
      <w:pPr>
        <w:spacing w:line="360" w:lineRule="auto"/>
        <w:jc w:val="both"/>
        <w:rPr>
          <w:rFonts w:ascii="Times New Roman" w:hAnsi="Times New Roman"/>
          <w:spacing w:val="0"/>
          <w:sz w:val="24"/>
          <w:szCs w:val="24"/>
          <w:lang w:val="en-ZA"/>
        </w:rPr>
      </w:pPr>
    </w:p>
    <w:p w14:paraId="2E810F02" w14:textId="77777777" w:rsidR="001A1E3E" w:rsidRPr="00FE2FCD" w:rsidRDefault="001A1E3E" w:rsidP="00FE2FCD">
      <w:pPr>
        <w:spacing w:line="360" w:lineRule="auto"/>
        <w:jc w:val="both"/>
        <w:rPr>
          <w:rFonts w:ascii="Times New Roman" w:hAnsi="Times New Roman"/>
          <w:sz w:val="24"/>
          <w:szCs w:val="24"/>
          <w:lang w:val="en-US"/>
        </w:rPr>
      </w:pPr>
      <w:r w:rsidRPr="00FE2FCD">
        <w:rPr>
          <w:rFonts w:ascii="Times New Roman" w:hAnsi="Times New Roman"/>
          <w:sz w:val="24"/>
          <w:szCs w:val="24"/>
          <w:lang w:val="en-US"/>
        </w:rPr>
        <w:t xml:space="preserve">The Committee welcomed the presentation by Blind South Africa, and they wanted to know how </w:t>
      </w:r>
      <w:proofErr w:type="gramStart"/>
      <w:r w:rsidRPr="00FE2FCD">
        <w:rPr>
          <w:rFonts w:ascii="Times New Roman" w:hAnsi="Times New Roman"/>
          <w:sz w:val="24"/>
          <w:szCs w:val="24"/>
          <w:lang w:val="en-US"/>
        </w:rPr>
        <w:t>does Blind SA work</w:t>
      </w:r>
      <w:proofErr w:type="gramEnd"/>
      <w:r w:rsidRPr="00FE2FCD">
        <w:rPr>
          <w:rFonts w:ascii="Times New Roman" w:hAnsi="Times New Roman"/>
          <w:sz w:val="24"/>
          <w:szCs w:val="24"/>
          <w:lang w:val="en-US"/>
        </w:rPr>
        <w:t xml:space="preserve"> with other organisations for the blind in the country. The Committee suggested that Blind SA should make a concerted effort to reach to all other organisations for the blind even in the far flung rural areas. The Blind SA acknowledged the suggestion from the Committee.    </w:t>
      </w:r>
    </w:p>
    <w:p w14:paraId="2829924D" w14:textId="77777777" w:rsidR="00FE2FCD" w:rsidRPr="00FE2FCD" w:rsidRDefault="00FE2FCD" w:rsidP="00FE2FCD">
      <w:pPr>
        <w:spacing w:line="360" w:lineRule="auto"/>
        <w:jc w:val="both"/>
        <w:rPr>
          <w:rFonts w:ascii="Times New Roman" w:hAnsi="Times New Roman"/>
          <w:sz w:val="24"/>
          <w:szCs w:val="24"/>
          <w:lang w:val="en-US"/>
        </w:rPr>
      </w:pPr>
    </w:p>
    <w:p w14:paraId="5DDE4DE4" w14:textId="77777777" w:rsidR="001A1E3E" w:rsidRPr="00FE2FCD" w:rsidRDefault="001A1E3E" w:rsidP="00FE2FCD">
      <w:pPr>
        <w:spacing w:line="360" w:lineRule="auto"/>
        <w:jc w:val="both"/>
        <w:rPr>
          <w:rFonts w:ascii="Times New Roman" w:hAnsi="Times New Roman"/>
          <w:sz w:val="24"/>
          <w:szCs w:val="24"/>
          <w:lang w:val="en-US"/>
        </w:rPr>
      </w:pPr>
      <w:r w:rsidRPr="00FE2FCD">
        <w:rPr>
          <w:rFonts w:ascii="Times New Roman" w:hAnsi="Times New Roman"/>
          <w:sz w:val="24"/>
          <w:szCs w:val="24"/>
          <w:lang w:val="en-US"/>
        </w:rPr>
        <w:t xml:space="preserve">SA Library for the Blind made a presentation which was welcomed by the Committee. Their area of concern was funding as the material they use is expensive and most of it is imported.  </w:t>
      </w:r>
      <w:r w:rsidR="00FE2FCD" w:rsidRPr="00FE2FCD">
        <w:rPr>
          <w:rFonts w:ascii="Times New Roman" w:hAnsi="Times New Roman"/>
          <w:sz w:val="24"/>
          <w:szCs w:val="24"/>
          <w:lang w:val="en-US"/>
        </w:rPr>
        <w:t>They made an example of a braiile textbook which is</w:t>
      </w:r>
      <w:r w:rsidR="003B192A">
        <w:rPr>
          <w:rFonts w:ascii="Times New Roman" w:hAnsi="Times New Roman"/>
          <w:sz w:val="24"/>
          <w:szCs w:val="24"/>
          <w:lang w:val="en-US"/>
        </w:rPr>
        <w:t xml:space="preserve"> approximately R7 000, although</w:t>
      </w:r>
      <w:r w:rsidR="00FE2FCD" w:rsidRPr="00FE2FCD">
        <w:rPr>
          <w:rFonts w:ascii="Times New Roman" w:hAnsi="Times New Roman"/>
          <w:sz w:val="24"/>
          <w:szCs w:val="24"/>
          <w:lang w:val="en-US"/>
        </w:rPr>
        <w:t xml:space="preserve"> they are funded like a normal library. </w:t>
      </w:r>
      <w:r w:rsidRPr="00FE2FCD">
        <w:rPr>
          <w:rFonts w:ascii="Times New Roman" w:hAnsi="Times New Roman"/>
          <w:sz w:val="24"/>
          <w:szCs w:val="24"/>
          <w:lang w:val="en-US"/>
        </w:rPr>
        <w:t xml:space="preserve">           </w:t>
      </w:r>
    </w:p>
    <w:p w14:paraId="345F0D54" w14:textId="77777777" w:rsidR="001A1E3E" w:rsidRPr="00FE2FCD" w:rsidRDefault="001A1E3E" w:rsidP="00FE2FCD">
      <w:pPr>
        <w:spacing w:line="360" w:lineRule="auto"/>
        <w:jc w:val="both"/>
        <w:rPr>
          <w:rFonts w:ascii="Times New Roman" w:hAnsi="Times New Roman"/>
          <w:spacing w:val="0"/>
          <w:sz w:val="24"/>
          <w:szCs w:val="24"/>
          <w:lang w:val="en-ZA"/>
        </w:rPr>
      </w:pPr>
    </w:p>
    <w:p w14:paraId="3D8F1FC4" w14:textId="77777777" w:rsidR="00A1770E" w:rsidRDefault="00A1770E" w:rsidP="001E5B08">
      <w:pPr>
        <w:pStyle w:val="ListParagraph"/>
        <w:numPr>
          <w:ilvl w:val="0"/>
          <w:numId w:val="41"/>
        </w:numPr>
        <w:spacing w:line="360" w:lineRule="auto"/>
        <w:jc w:val="both"/>
        <w:rPr>
          <w:rFonts w:ascii="Times New Roman" w:hAnsi="Times New Roman"/>
          <w:b/>
          <w:spacing w:val="0"/>
          <w:sz w:val="24"/>
          <w:szCs w:val="24"/>
          <w:lang w:val="en-ZA"/>
        </w:rPr>
      </w:pPr>
      <w:r>
        <w:rPr>
          <w:rFonts w:ascii="Times New Roman" w:hAnsi="Times New Roman"/>
          <w:b/>
          <w:spacing w:val="0"/>
          <w:sz w:val="24"/>
          <w:szCs w:val="24"/>
          <w:lang w:val="en-ZA"/>
        </w:rPr>
        <w:t xml:space="preserve">The Committee further held engagements with the William Humphrey Art Gallery and the following issues emerged:  </w:t>
      </w:r>
    </w:p>
    <w:p w14:paraId="36C26A49" w14:textId="77777777" w:rsidR="00CF1CB9" w:rsidRDefault="00A83D71" w:rsidP="001E5B08">
      <w:pPr>
        <w:spacing w:line="360" w:lineRule="auto"/>
        <w:jc w:val="both"/>
        <w:rPr>
          <w:rFonts w:ascii="Times New Roman" w:hAnsi="Times New Roman"/>
          <w:spacing w:val="0"/>
          <w:sz w:val="24"/>
          <w:szCs w:val="24"/>
          <w:lang w:val="en-ZA"/>
        </w:rPr>
      </w:pPr>
      <w:r w:rsidRPr="00A83D71">
        <w:rPr>
          <w:rFonts w:ascii="Times New Roman" w:hAnsi="Times New Roman"/>
          <w:spacing w:val="0"/>
          <w:sz w:val="24"/>
          <w:szCs w:val="24"/>
          <w:lang w:val="en-ZA"/>
        </w:rPr>
        <w:t xml:space="preserve">The </w:t>
      </w:r>
      <w:r w:rsidR="00A1770E">
        <w:rPr>
          <w:rFonts w:ascii="Times New Roman" w:hAnsi="Times New Roman"/>
          <w:spacing w:val="0"/>
          <w:sz w:val="24"/>
          <w:szCs w:val="24"/>
          <w:lang w:val="en-ZA"/>
        </w:rPr>
        <w:t>entity indicated that their serious problem was understaffing</w:t>
      </w:r>
      <w:r w:rsidR="00BA7645">
        <w:rPr>
          <w:rFonts w:ascii="Times New Roman" w:hAnsi="Times New Roman"/>
          <w:spacing w:val="0"/>
          <w:sz w:val="24"/>
          <w:szCs w:val="24"/>
          <w:lang w:val="en-ZA"/>
        </w:rPr>
        <w:t xml:space="preserve"> and they were the only national art </w:t>
      </w:r>
      <w:r w:rsidR="00BC2EB5">
        <w:rPr>
          <w:rFonts w:ascii="Times New Roman" w:hAnsi="Times New Roman"/>
          <w:spacing w:val="0"/>
          <w:sz w:val="24"/>
          <w:szCs w:val="24"/>
          <w:lang w:val="en-ZA"/>
        </w:rPr>
        <w:t xml:space="preserve">gallery </w:t>
      </w:r>
      <w:r w:rsidR="00BA7645">
        <w:rPr>
          <w:rFonts w:ascii="Times New Roman" w:hAnsi="Times New Roman"/>
          <w:spacing w:val="0"/>
          <w:sz w:val="24"/>
          <w:szCs w:val="24"/>
          <w:lang w:val="en-ZA"/>
        </w:rPr>
        <w:t>in the Northern Cape</w:t>
      </w:r>
      <w:r w:rsidR="00BC2EB5">
        <w:rPr>
          <w:rFonts w:ascii="Times New Roman" w:hAnsi="Times New Roman"/>
          <w:spacing w:val="0"/>
          <w:sz w:val="24"/>
          <w:szCs w:val="24"/>
          <w:lang w:val="en-ZA"/>
        </w:rPr>
        <w:t>. The entity is underfunded and it</w:t>
      </w:r>
      <w:r w:rsidR="00CF1CB9">
        <w:rPr>
          <w:rFonts w:ascii="Times New Roman" w:hAnsi="Times New Roman"/>
          <w:spacing w:val="0"/>
          <w:sz w:val="24"/>
          <w:szCs w:val="24"/>
          <w:lang w:val="en-ZA"/>
        </w:rPr>
        <w:t xml:space="preserve"> </w:t>
      </w:r>
      <w:r w:rsidR="00BC2EB5">
        <w:rPr>
          <w:rFonts w:ascii="Times New Roman" w:hAnsi="Times New Roman"/>
          <w:spacing w:val="0"/>
          <w:sz w:val="24"/>
          <w:szCs w:val="24"/>
          <w:lang w:val="en-ZA"/>
        </w:rPr>
        <w:t xml:space="preserve">also struggling with </w:t>
      </w:r>
      <w:r w:rsidR="00A1770E">
        <w:rPr>
          <w:rFonts w:ascii="Times New Roman" w:hAnsi="Times New Roman"/>
          <w:spacing w:val="0"/>
          <w:sz w:val="24"/>
          <w:szCs w:val="24"/>
          <w:lang w:val="en-ZA"/>
        </w:rPr>
        <w:t xml:space="preserve">GRAP </w:t>
      </w:r>
      <w:r w:rsidR="00954AAD">
        <w:rPr>
          <w:rFonts w:ascii="Times New Roman" w:hAnsi="Times New Roman"/>
          <w:spacing w:val="0"/>
          <w:sz w:val="24"/>
          <w:szCs w:val="24"/>
          <w:lang w:val="en-ZA"/>
        </w:rPr>
        <w:t>103.</w:t>
      </w:r>
      <w:r w:rsidR="00A1770E">
        <w:rPr>
          <w:rFonts w:ascii="Times New Roman" w:hAnsi="Times New Roman"/>
          <w:spacing w:val="0"/>
          <w:sz w:val="24"/>
          <w:szCs w:val="24"/>
          <w:lang w:val="en-ZA"/>
        </w:rPr>
        <w:t xml:space="preserve"> The WHAG conducts outreach programmes </w:t>
      </w:r>
      <w:r w:rsidR="00BC2EB5">
        <w:rPr>
          <w:rFonts w:ascii="Times New Roman" w:hAnsi="Times New Roman"/>
          <w:spacing w:val="0"/>
          <w:sz w:val="24"/>
          <w:szCs w:val="24"/>
          <w:lang w:val="en-ZA"/>
        </w:rPr>
        <w:t>by</w:t>
      </w:r>
      <w:r w:rsidR="00A1770E">
        <w:rPr>
          <w:rFonts w:ascii="Times New Roman" w:hAnsi="Times New Roman"/>
          <w:spacing w:val="0"/>
          <w:sz w:val="24"/>
          <w:szCs w:val="24"/>
          <w:lang w:val="en-ZA"/>
        </w:rPr>
        <w:t xml:space="preserve"> </w:t>
      </w:r>
      <w:r w:rsidR="00BC2EB5">
        <w:rPr>
          <w:rFonts w:ascii="Times New Roman" w:hAnsi="Times New Roman"/>
          <w:spacing w:val="0"/>
          <w:sz w:val="24"/>
          <w:szCs w:val="24"/>
          <w:lang w:val="en-ZA"/>
        </w:rPr>
        <w:t xml:space="preserve">distributing </w:t>
      </w:r>
      <w:r w:rsidR="00A1770E">
        <w:rPr>
          <w:rFonts w:ascii="Times New Roman" w:hAnsi="Times New Roman"/>
          <w:spacing w:val="0"/>
          <w:sz w:val="24"/>
          <w:szCs w:val="24"/>
          <w:lang w:val="en-ZA"/>
        </w:rPr>
        <w:t>reading material in the previously deprived communities</w:t>
      </w:r>
      <w:r w:rsidR="00BC2EB5">
        <w:rPr>
          <w:rFonts w:ascii="Times New Roman" w:hAnsi="Times New Roman"/>
          <w:spacing w:val="0"/>
          <w:sz w:val="24"/>
          <w:szCs w:val="24"/>
          <w:lang w:val="en-ZA"/>
        </w:rPr>
        <w:t xml:space="preserve">. </w:t>
      </w:r>
      <w:r w:rsidR="00A1770E">
        <w:rPr>
          <w:rFonts w:ascii="Times New Roman" w:hAnsi="Times New Roman"/>
          <w:spacing w:val="0"/>
          <w:sz w:val="24"/>
          <w:szCs w:val="24"/>
          <w:lang w:val="en-ZA"/>
        </w:rPr>
        <w:t xml:space="preserve"> </w:t>
      </w:r>
      <w:r w:rsidR="003A611E">
        <w:rPr>
          <w:rFonts w:ascii="Times New Roman" w:hAnsi="Times New Roman"/>
          <w:spacing w:val="0"/>
          <w:sz w:val="24"/>
          <w:szCs w:val="24"/>
          <w:lang w:val="en-ZA"/>
        </w:rPr>
        <w:t xml:space="preserve"> Although </w:t>
      </w:r>
      <w:r w:rsidR="00954AAD">
        <w:rPr>
          <w:rFonts w:ascii="Times New Roman" w:hAnsi="Times New Roman"/>
          <w:spacing w:val="0"/>
          <w:sz w:val="24"/>
          <w:szCs w:val="24"/>
          <w:lang w:val="en-ZA"/>
        </w:rPr>
        <w:t>the entity</w:t>
      </w:r>
      <w:r w:rsidR="00CF1CB9">
        <w:rPr>
          <w:rFonts w:ascii="Times New Roman" w:hAnsi="Times New Roman"/>
          <w:spacing w:val="0"/>
          <w:sz w:val="24"/>
          <w:szCs w:val="24"/>
          <w:lang w:val="en-ZA"/>
        </w:rPr>
        <w:t xml:space="preserve"> has limited </w:t>
      </w:r>
      <w:r w:rsidR="00954AAD">
        <w:rPr>
          <w:rFonts w:ascii="Times New Roman" w:hAnsi="Times New Roman"/>
          <w:spacing w:val="0"/>
          <w:sz w:val="24"/>
          <w:szCs w:val="24"/>
          <w:lang w:val="en-ZA"/>
        </w:rPr>
        <w:t>resources, it</w:t>
      </w:r>
      <w:r w:rsidR="003A611E">
        <w:rPr>
          <w:rFonts w:ascii="Times New Roman" w:hAnsi="Times New Roman"/>
          <w:spacing w:val="0"/>
          <w:sz w:val="24"/>
          <w:szCs w:val="24"/>
          <w:lang w:val="en-ZA"/>
        </w:rPr>
        <w:t xml:space="preserve"> </w:t>
      </w:r>
      <w:r w:rsidR="00CF1CB9">
        <w:rPr>
          <w:rFonts w:ascii="Times New Roman" w:hAnsi="Times New Roman"/>
          <w:spacing w:val="0"/>
          <w:sz w:val="24"/>
          <w:szCs w:val="24"/>
          <w:lang w:val="en-ZA"/>
        </w:rPr>
        <w:t>still services the community</w:t>
      </w:r>
      <w:r w:rsidR="003A611E">
        <w:rPr>
          <w:rFonts w:ascii="Times New Roman" w:hAnsi="Times New Roman"/>
          <w:spacing w:val="0"/>
          <w:sz w:val="24"/>
          <w:szCs w:val="24"/>
          <w:lang w:val="en-ZA"/>
        </w:rPr>
        <w:t xml:space="preserve"> by offering educational opportunities to learners and it also develops its collection of material. </w:t>
      </w:r>
      <w:r w:rsidR="00CF1CB9">
        <w:rPr>
          <w:rFonts w:ascii="Times New Roman" w:hAnsi="Times New Roman"/>
          <w:spacing w:val="0"/>
          <w:sz w:val="24"/>
          <w:szCs w:val="24"/>
          <w:lang w:val="en-ZA"/>
        </w:rPr>
        <w:t xml:space="preserve"> The entity further indicated that it had set aside R1.2 million to purchase artwork for the permanent collection to address imbalance</w:t>
      </w:r>
      <w:r w:rsidR="003A611E">
        <w:rPr>
          <w:rFonts w:ascii="Times New Roman" w:hAnsi="Times New Roman"/>
          <w:spacing w:val="0"/>
          <w:sz w:val="24"/>
          <w:szCs w:val="24"/>
          <w:lang w:val="en-ZA"/>
        </w:rPr>
        <w:t xml:space="preserve"> of its collection</w:t>
      </w:r>
      <w:r w:rsidR="001E467F">
        <w:rPr>
          <w:rFonts w:ascii="Times New Roman" w:hAnsi="Times New Roman"/>
          <w:spacing w:val="0"/>
          <w:sz w:val="24"/>
          <w:szCs w:val="24"/>
          <w:lang w:val="en-ZA"/>
        </w:rPr>
        <w:t xml:space="preserve">. </w:t>
      </w:r>
      <w:r w:rsidR="00CF1CB9" w:rsidRPr="00CF1CB9">
        <w:rPr>
          <w:rFonts w:ascii="Times New Roman" w:hAnsi="Times New Roman"/>
          <w:spacing w:val="0"/>
          <w:sz w:val="24"/>
          <w:szCs w:val="24"/>
          <w:lang w:val="en-ZA"/>
        </w:rPr>
        <w:tab/>
      </w:r>
    </w:p>
    <w:p w14:paraId="5B744251" w14:textId="77777777" w:rsidR="00BA7645" w:rsidRDefault="00BA7645" w:rsidP="001E5B08">
      <w:pPr>
        <w:spacing w:line="360" w:lineRule="auto"/>
        <w:jc w:val="both"/>
        <w:rPr>
          <w:rFonts w:ascii="Times New Roman" w:hAnsi="Times New Roman"/>
          <w:spacing w:val="0"/>
          <w:sz w:val="24"/>
          <w:szCs w:val="24"/>
          <w:lang w:val="en-ZA"/>
        </w:rPr>
      </w:pPr>
    </w:p>
    <w:p w14:paraId="1621086D" w14:textId="77777777" w:rsidR="00A83D71" w:rsidRPr="00A83D71" w:rsidRDefault="00A1770E" w:rsidP="001E5B08">
      <w:pPr>
        <w:spacing w:line="360" w:lineRule="auto"/>
        <w:jc w:val="both"/>
        <w:rPr>
          <w:rFonts w:ascii="Times New Roman" w:hAnsi="Times New Roman"/>
          <w:spacing w:val="0"/>
          <w:sz w:val="24"/>
          <w:szCs w:val="24"/>
          <w:lang w:val="en-ZA"/>
        </w:rPr>
      </w:pPr>
      <w:r>
        <w:rPr>
          <w:rFonts w:ascii="Times New Roman" w:hAnsi="Times New Roman"/>
          <w:spacing w:val="0"/>
          <w:sz w:val="24"/>
          <w:szCs w:val="24"/>
          <w:lang w:val="en-ZA"/>
        </w:rPr>
        <w:t xml:space="preserve">The Committee indicated that the matter of GRAP 103 was a problem to many entities, and </w:t>
      </w:r>
      <w:r w:rsidR="00B11829">
        <w:rPr>
          <w:rFonts w:ascii="Times New Roman" w:hAnsi="Times New Roman"/>
          <w:spacing w:val="0"/>
          <w:sz w:val="24"/>
          <w:szCs w:val="24"/>
          <w:lang w:val="en-ZA"/>
        </w:rPr>
        <w:t>was</w:t>
      </w:r>
      <w:r>
        <w:rPr>
          <w:rFonts w:ascii="Times New Roman" w:hAnsi="Times New Roman"/>
          <w:spacing w:val="0"/>
          <w:sz w:val="24"/>
          <w:szCs w:val="24"/>
          <w:lang w:val="en-ZA"/>
        </w:rPr>
        <w:t xml:space="preserve"> disheartening that entities were moving from clean audits to qualified </w:t>
      </w:r>
      <w:r w:rsidR="0065197E">
        <w:rPr>
          <w:rFonts w:ascii="Times New Roman" w:hAnsi="Times New Roman"/>
          <w:spacing w:val="0"/>
          <w:sz w:val="24"/>
          <w:szCs w:val="24"/>
          <w:lang w:val="en-ZA"/>
        </w:rPr>
        <w:t xml:space="preserve">audits </w:t>
      </w:r>
      <w:r>
        <w:rPr>
          <w:rFonts w:ascii="Times New Roman" w:hAnsi="Times New Roman"/>
          <w:spacing w:val="0"/>
          <w:sz w:val="24"/>
          <w:szCs w:val="24"/>
          <w:lang w:val="en-ZA"/>
        </w:rPr>
        <w:t xml:space="preserve">because of the matter. The Committee identified that the DAC, </w:t>
      </w:r>
      <w:r w:rsidR="00B11829">
        <w:rPr>
          <w:rFonts w:ascii="Times New Roman" w:hAnsi="Times New Roman"/>
          <w:spacing w:val="0"/>
          <w:sz w:val="24"/>
          <w:szCs w:val="24"/>
          <w:lang w:val="en-ZA"/>
        </w:rPr>
        <w:t>CEO’s</w:t>
      </w:r>
      <w:r w:rsidR="00CF1CB9">
        <w:rPr>
          <w:rFonts w:ascii="Times New Roman" w:hAnsi="Times New Roman"/>
          <w:spacing w:val="0"/>
          <w:sz w:val="24"/>
          <w:szCs w:val="24"/>
          <w:lang w:val="en-ZA"/>
        </w:rPr>
        <w:t>; N</w:t>
      </w:r>
      <w:r w:rsidR="003A611E">
        <w:rPr>
          <w:rFonts w:ascii="Times New Roman" w:hAnsi="Times New Roman"/>
          <w:spacing w:val="0"/>
          <w:sz w:val="24"/>
          <w:szCs w:val="24"/>
          <w:lang w:val="en-ZA"/>
        </w:rPr>
        <w:t xml:space="preserve">ational </w:t>
      </w:r>
      <w:r w:rsidR="00CF1CB9">
        <w:rPr>
          <w:rFonts w:ascii="Times New Roman" w:hAnsi="Times New Roman"/>
          <w:spacing w:val="0"/>
          <w:sz w:val="24"/>
          <w:szCs w:val="24"/>
          <w:lang w:val="en-ZA"/>
        </w:rPr>
        <w:t>T</w:t>
      </w:r>
      <w:r w:rsidR="003A611E">
        <w:rPr>
          <w:rFonts w:ascii="Times New Roman" w:hAnsi="Times New Roman"/>
          <w:spacing w:val="0"/>
          <w:sz w:val="24"/>
          <w:szCs w:val="24"/>
          <w:lang w:val="en-ZA"/>
        </w:rPr>
        <w:t>reasury</w:t>
      </w:r>
      <w:r>
        <w:rPr>
          <w:rFonts w:ascii="Times New Roman" w:hAnsi="Times New Roman"/>
          <w:spacing w:val="0"/>
          <w:sz w:val="24"/>
          <w:szCs w:val="24"/>
          <w:lang w:val="en-ZA"/>
        </w:rPr>
        <w:t xml:space="preserve"> and the AG should sit and identify what can be done to rectify the matter.</w:t>
      </w:r>
      <w:r w:rsidR="0065197E">
        <w:rPr>
          <w:rFonts w:ascii="Times New Roman" w:hAnsi="Times New Roman"/>
          <w:spacing w:val="0"/>
          <w:sz w:val="24"/>
          <w:szCs w:val="24"/>
          <w:lang w:val="en-ZA"/>
        </w:rPr>
        <w:t xml:space="preserve"> </w:t>
      </w:r>
    </w:p>
    <w:p w14:paraId="0C4CFFC3" w14:textId="77777777" w:rsidR="00A547BB" w:rsidRPr="0018755E" w:rsidRDefault="00A547BB" w:rsidP="00A547BB">
      <w:pPr>
        <w:spacing w:line="360" w:lineRule="auto"/>
        <w:jc w:val="both"/>
        <w:rPr>
          <w:rFonts w:ascii="Times New Roman" w:hAnsi="Times New Roman"/>
          <w:spacing w:val="0"/>
          <w:sz w:val="24"/>
          <w:szCs w:val="24"/>
          <w:lang w:val="en-ZA"/>
        </w:rPr>
      </w:pPr>
    </w:p>
    <w:p w14:paraId="00FC9E3B" w14:textId="77777777" w:rsidR="00FD0553" w:rsidRPr="0018755E" w:rsidRDefault="009725A9" w:rsidP="00A547BB">
      <w:pPr>
        <w:spacing w:line="360" w:lineRule="auto"/>
        <w:jc w:val="both"/>
        <w:rPr>
          <w:rFonts w:ascii="Times New Roman" w:hAnsi="Times New Roman"/>
          <w:b/>
          <w:spacing w:val="0"/>
          <w:sz w:val="24"/>
          <w:szCs w:val="24"/>
          <w:lang w:val="en-ZA"/>
        </w:rPr>
      </w:pPr>
      <w:r w:rsidRPr="0018755E">
        <w:rPr>
          <w:rFonts w:ascii="Times New Roman" w:hAnsi="Times New Roman"/>
          <w:b/>
          <w:spacing w:val="0"/>
          <w:sz w:val="24"/>
          <w:szCs w:val="24"/>
          <w:lang w:val="en-ZA"/>
        </w:rPr>
        <w:t>7</w:t>
      </w:r>
      <w:r w:rsidR="00D97F40" w:rsidRPr="0018755E">
        <w:rPr>
          <w:rFonts w:ascii="Times New Roman" w:hAnsi="Times New Roman"/>
          <w:b/>
          <w:spacing w:val="0"/>
          <w:sz w:val="24"/>
          <w:szCs w:val="24"/>
          <w:lang w:val="en-ZA"/>
        </w:rPr>
        <w:t xml:space="preserve">.         </w:t>
      </w:r>
      <w:r w:rsidR="00B66A7A" w:rsidRPr="0018755E">
        <w:rPr>
          <w:rFonts w:ascii="Times New Roman" w:hAnsi="Times New Roman"/>
          <w:b/>
          <w:spacing w:val="0"/>
          <w:sz w:val="24"/>
          <w:szCs w:val="24"/>
          <w:lang w:val="en-ZA"/>
        </w:rPr>
        <w:t>Budget analysis</w:t>
      </w:r>
    </w:p>
    <w:p w14:paraId="764EEE5C"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r w:rsidRPr="00424B7B">
        <w:rPr>
          <w:rFonts w:ascii="Times New Roman" w:eastAsia="Calibri" w:hAnsi="Times New Roman"/>
          <w:color w:val="auto"/>
          <w:spacing w:val="0"/>
          <w:sz w:val="24"/>
          <w:szCs w:val="22"/>
          <w:lang w:val="en-ZA" w:eastAsia="en-US"/>
        </w:rPr>
        <w:t>The budget structure for the Department remains unchanged and has four expenditure programmes:</w:t>
      </w:r>
    </w:p>
    <w:p w14:paraId="4D1B30B7"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p>
    <w:p w14:paraId="2728B413" w14:textId="77777777" w:rsidR="00424B7B" w:rsidRPr="00424B7B" w:rsidRDefault="00424B7B" w:rsidP="00424B7B">
      <w:pPr>
        <w:numPr>
          <w:ilvl w:val="0"/>
          <w:numId w:val="27"/>
        </w:numPr>
        <w:spacing w:line="360" w:lineRule="auto"/>
        <w:jc w:val="both"/>
        <w:rPr>
          <w:rFonts w:ascii="Times New Roman" w:eastAsia="Calibri" w:hAnsi="Times New Roman"/>
          <w:color w:val="auto"/>
          <w:spacing w:val="0"/>
          <w:sz w:val="24"/>
          <w:szCs w:val="22"/>
          <w:lang w:val="en-ZA" w:eastAsia="en-US"/>
        </w:rPr>
      </w:pPr>
      <w:r w:rsidRPr="00424B7B">
        <w:rPr>
          <w:rFonts w:ascii="Times New Roman" w:eastAsia="Calibri" w:hAnsi="Times New Roman"/>
          <w:color w:val="auto"/>
          <w:spacing w:val="0"/>
          <w:sz w:val="24"/>
          <w:szCs w:val="22"/>
          <w:lang w:val="en-ZA" w:eastAsia="en-US"/>
        </w:rPr>
        <w:t>Programme 1: Administration</w:t>
      </w:r>
    </w:p>
    <w:p w14:paraId="5F90FD57" w14:textId="77777777" w:rsidR="00424B7B" w:rsidRPr="00424B7B" w:rsidRDefault="00424B7B" w:rsidP="00424B7B">
      <w:pPr>
        <w:numPr>
          <w:ilvl w:val="0"/>
          <w:numId w:val="27"/>
        </w:numPr>
        <w:spacing w:line="360" w:lineRule="auto"/>
        <w:jc w:val="both"/>
        <w:rPr>
          <w:rFonts w:ascii="Times New Roman" w:eastAsia="Calibri" w:hAnsi="Times New Roman"/>
          <w:color w:val="auto"/>
          <w:spacing w:val="0"/>
          <w:sz w:val="24"/>
          <w:szCs w:val="22"/>
          <w:lang w:val="en-ZA" w:eastAsia="en-US"/>
        </w:rPr>
      </w:pPr>
      <w:r w:rsidRPr="00424B7B">
        <w:rPr>
          <w:rFonts w:ascii="Times New Roman" w:eastAsia="Calibri" w:hAnsi="Times New Roman"/>
          <w:color w:val="auto"/>
          <w:spacing w:val="0"/>
          <w:sz w:val="24"/>
          <w:szCs w:val="22"/>
          <w:lang w:val="en-ZA" w:eastAsia="en-US"/>
        </w:rPr>
        <w:t>Programme 2: Institutional Governance</w:t>
      </w:r>
    </w:p>
    <w:p w14:paraId="5853D489" w14:textId="77777777" w:rsidR="00424B7B" w:rsidRPr="00424B7B" w:rsidRDefault="00424B7B" w:rsidP="00424B7B">
      <w:pPr>
        <w:numPr>
          <w:ilvl w:val="0"/>
          <w:numId w:val="27"/>
        </w:numPr>
        <w:spacing w:line="360" w:lineRule="auto"/>
        <w:jc w:val="both"/>
        <w:rPr>
          <w:rFonts w:ascii="Times New Roman" w:eastAsia="Calibri" w:hAnsi="Times New Roman"/>
          <w:color w:val="auto"/>
          <w:spacing w:val="0"/>
          <w:sz w:val="24"/>
          <w:szCs w:val="22"/>
          <w:lang w:val="en-ZA" w:eastAsia="en-US"/>
        </w:rPr>
      </w:pPr>
      <w:r w:rsidRPr="00424B7B">
        <w:rPr>
          <w:rFonts w:ascii="Times New Roman" w:eastAsia="Calibri" w:hAnsi="Times New Roman"/>
          <w:color w:val="auto"/>
          <w:spacing w:val="0"/>
          <w:sz w:val="24"/>
          <w:szCs w:val="22"/>
          <w:lang w:val="en-ZA" w:eastAsia="en-US"/>
        </w:rPr>
        <w:t>Programme 3: Arts and Culture Promotion and Development</w:t>
      </w:r>
    </w:p>
    <w:p w14:paraId="230D751F" w14:textId="77777777" w:rsidR="00424B7B" w:rsidRPr="00424B7B" w:rsidRDefault="00424B7B" w:rsidP="00424B7B">
      <w:pPr>
        <w:numPr>
          <w:ilvl w:val="0"/>
          <w:numId w:val="27"/>
        </w:numPr>
        <w:spacing w:line="360" w:lineRule="auto"/>
        <w:jc w:val="both"/>
        <w:rPr>
          <w:rFonts w:ascii="Times New Roman" w:eastAsia="Calibri" w:hAnsi="Times New Roman"/>
          <w:color w:val="auto"/>
          <w:spacing w:val="0"/>
          <w:sz w:val="24"/>
          <w:szCs w:val="22"/>
          <w:lang w:val="en-ZA" w:eastAsia="en-US"/>
        </w:rPr>
      </w:pPr>
      <w:r w:rsidRPr="00424B7B">
        <w:rPr>
          <w:rFonts w:ascii="Times New Roman" w:eastAsia="Calibri" w:hAnsi="Times New Roman"/>
          <w:color w:val="auto"/>
          <w:spacing w:val="0"/>
          <w:sz w:val="24"/>
          <w:szCs w:val="22"/>
          <w:lang w:val="en-ZA" w:eastAsia="en-US"/>
        </w:rPr>
        <w:t>Programme 4: Heritage Promotion and Preservation</w:t>
      </w:r>
    </w:p>
    <w:p w14:paraId="5652E892"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p>
    <w:p w14:paraId="45B11FBA"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r w:rsidRPr="00424B7B">
        <w:rPr>
          <w:rFonts w:ascii="Times New Roman" w:eastAsia="Calibri" w:hAnsi="Times New Roman"/>
          <w:color w:val="auto"/>
          <w:spacing w:val="0"/>
          <w:sz w:val="24"/>
          <w:szCs w:val="22"/>
          <w:lang w:val="en-ZA" w:eastAsia="en-US"/>
        </w:rPr>
        <w:t>For the 2017/18 financial year, the total budget allocation is R4.4 billion. During the 2016/17 financial year the adjusted budget was R4.1 billion. While there has been a nominal increase of 9.5 per cent, or R387.3 million, compared to 2016/17, when considering the inflation rate, the increase is in fact only 3.0 per cent, or R123.6 million.</w:t>
      </w:r>
    </w:p>
    <w:p w14:paraId="371AF19F"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p>
    <w:p w14:paraId="1FB42C71" w14:textId="77777777" w:rsidR="00424B7B" w:rsidRPr="00424B7B" w:rsidRDefault="000168D0" w:rsidP="00424B7B">
      <w:pPr>
        <w:spacing w:line="360" w:lineRule="auto"/>
        <w:jc w:val="both"/>
        <w:rPr>
          <w:rFonts w:ascii="Times New Roman" w:eastAsia="Calibri" w:hAnsi="Times New Roman"/>
          <w:color w:val="auto"/>
          <w:spacing w:val="0"/>
          <w:sz w:val="24"/>
          <w:szCs w:val="22"/>
          <w:lang w:val="en-ZA" w:eastAsia="en-US"/>
        </w:rPr>
      </w:pPr>
      <w:r w:rsidRPr="00424B7B">
        <w:rPr>
          <w:rFonts w:ascii="Times New Roman" w:eastAsia="Calibri" w:hAnsi="Times New Roman"/>
          <w:noProof/>
          <w:color w:val="auto"/>
          <w:spacing w:val="0"/>
          <w:sz w:val="24"/>
          <w:szCs w:val="22"/>
          <w:lang w:val="en-ZA" w:eastAsia="en-ZA"/>
        </w:rPr>
        <w:drawing>
          <wp:anchor distT="0" distB="0" distL="114300" distR="114300" simplePos="0" relativeHeight="251664384" behindDoc="0" locked="0" layoutInCell="1" allowOverlap="1" wp14:anchorId="3C3AD775" wp14:editId="38686DC2">
            <wp:simplePos x="0" y="0"/>
            <wp:positionH relativeFrom="margin">
              <wp:posOffset>-635</wp:posOffset>
            </wp:positionH>
            <wp:positionV relativeFrom="paragraph">
              <wp:posOffset>265430</wp:posOffset>
            </wp:positionV>
            <wp:extent cx="6510655" cy="3183255"/>
            <wp:effectExtent l="0" t="0" r="4445" b="17145"/>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424B7B" w:rsidRPr="00424B7B">
        <w:rPr>
          <w:rFonts w:ascii="Times New Roman" w:eastAsia="Calibri" w:hAnsi="Times New Roman"/>
          <w:color w:val="auto"/>
          <w:spacing w:val="0"/>
          <w:sz w:val="24"/>
          <w:szCs w:val="22"/>
          <w:lang w:val="en-ZA" w:eastAsia="en-US"/>
        </w:rPr>
        <w:t>Variations in the budget allocation of the medium-term are illustrated in the graph below:</w:t>
      </w:r>
    </w:p>
    <w:p w14:paraId="5E19B00F" w14:textId="77777777" w:rsidR="00424B7B" w:rsidRPr="00424B7B" w:rsidRDefault="000168D0" w:rsidP="00424B7B">
      <w:pPr>
        <w:spacing w:line="360" w:lineRule="auto"/>
        <w:jc w:val="both"/>
        <w:rPr>
          <w:rFonts w:ascii="Times New Roman" w:eastAsia="Calibri" w:hAnsi="Times New Roman"/>
          <w:b/>
          <w:color w:val="auto"/>
          <w:spacing w:val="0"/>
          <w:sz w:val="24"/>
          <w:szCs w:val="22"/>
          <w:lang w:val="en-ZA" w:eastAsia="en-US"/>
        </w:rPr>
      </w:pPr>
      <w:r>
        <w:rPr>
          <w:rFonts w:ascii="Times New Roman" w:eastAsia="Calibri" w:hAnsi="Times New Roman"/>
          <w:b/>
          <w:color w:val="auto"/>
          <w:spacing w:val="0"/>
          <w:sz w:val="24"/>
          <w:szCs w:val="22"/>
          <w:lang w:val="en-ZA" w:eastAsia="en-US"/>
        </w:rPr>
        <w:t xml:space="preserve">Figures 1: </w:t>
      </w:r>
      <w:r w:rsidR="001A4A9D" w:rsidRPr="00424B7B">
        <w:rPr>
          <w:rFonts w:ascii="Times New Roman" w:eastAsia="Calibri" w:hAnsi="Times New Roman"/>
          <w:b/>
          <w:color w:val="auto"/>
          <w:spacing w:val="0"/>
          <w:sz w:val="24"/>
          <w:szCs w:val="22"/>
          <w:lang w:val="en-ZA" w:eastAsia="en-US"/>
        </w:rPr>
        <w:t>Comparison</w:t>
      </w:r>
      <w:r w:rsidR="00424B7B" w:rsidRPr="00424B7B">
        <w:rPr>
          <w:rFonts w:ascii="Times New Roman" w:eastAsia="Calibri" w:hAnsi="Times New Roman"/>
          <w:b/>
          <w:color w:val="auto"/>
          <w:spacing w:val="0"/>
          <w:sz w:val="24"/>
          <w:szCs w:val="22"/>
          <w:lang w:val="en-ZA" w:eastAsia="en-US"/>
        </w:rPr>
        <w:t xml:space="preserve"> of budget allocations over the medium-term</w:t>
      </w:r>
    </w:p>
    <w:p w14:paraId="1A841475"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p>
    <w:p w14:paraId="58117A49"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r w:rsidRPr="00424B7B">
        <w:rPr>
          <w:rFonts w:ascii="Times New Roman" w:eastAsia="Calibri" w:hAnsi="Times New Roman"/>
          <w:color w:val="auto"/>
          <w:spacing w:val="0"/>
          <w:sz w:val="24"/>
          <w:szCs w:val="22"/>
          <w:lang w:val="en-ZA" w:eastAsia="en-US"/>
        </w:rPr>
        <w:t>While there is a nominal increase in the budget allocations over the financial years following 2016/17, due to inflation the budget stagnates around R4 billion for the next two financial years.</w:t>
      </w:r>
    </w:p>
    <w:p w14:paraId="318D1BAF"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p>
    <w:p w14:paraId="0D6BE843" w14:textId="77777777" w:rsidR="00424B7B" w:rsidRPr="001A4A9D" w:rsidRDefault="003A611E" w:rsidP="00954AAD">
      <w:pPr>
        <w:spacing w:line="360" w:lineRule="auto"/>
        <w:ind w:left="360"/>
        <w:jc w:val="both"/>
        <w:rPr>
          <w:rFonts w:ascii="Times New Roman" w:eastAsia="Calibri" w:hAnsi="Times New Roman"/>
          <w:color w:val="auto"/>
          <w:spacing w:val="0"/>
          <w:sz w:val="24"/>
          <w:szCs w:val="22"/>
          <w:lang w:val="en-ZA" w:eastAsia="en-US"/>
        </w:rPr>
      </w:pPr>
      <w:bookmarkStart w:id="7" w:name="_Toc479843767"/>
      <w:r>
        <w:rPr>
          <w:rFonts w:ascii="Times New Roman" w:eastAsia="Calibri" w:hAnsi="Times New Roman"/>
          <w:b/>
          <w:color w:val="auto"/>
          <w:spacing w:val="0"/>
          <w:sz w:val="24"/>
          <w:szCs w:val="22"/>
          <w:lang w:val="en-ZA" w:eastAsia="en-US"/>
        </w:rPr>
        <w:t xml:space="preserve">7.1 </w:t>
      </w:r>
      <w:r w:rsidR="00424B7B" w:rsidRPr="001A4A9D">
        <w:rPr>
          <w:rFonts w:ascii="Times New Roman" w:eastAsia="Calibri" w:hAnsi="Times New Roman"/>
          <w:b/>
          <w:color w:val="auto"/>
          <w:spacing w:val="0"/>
          <w:sz w:val="24"/>
          <w:szCs w:val="22"/>
          <w:lang w:val="en-ZA" w:eastAsia="en-US"/>
        </w:rPr>
        <w:t>Programme analysis</w:t>
      </w:r>
      <w:bookmarkEnd w:id="7"/>
      <w:r w:rsidR="00424B7B" w:rsidRPr="001A4A9D">
        <w:rPr>
          <w:rFonts w:ascii="Times New Roman" w:eastAsia="Calibri" w:hAnsi="Times New Roman"/>
          <w:b/>
          <w:color w:val="auto"/>
          <w:spacing w:val="0"/>
          <w:sz w:val="24"/>
          <w:szCs w:val="22"/>
          <w:lang w:val="en-ZA" w:eastAsia="en-US"/>
        </w:rPr>
        <w:t xml:space="preserve"> </w:t>
      </w:r>
    </w:p>
    <w:p w14:paraId="7FBA0417"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r w:rsidRPr="00424B7B">
        <w:rPr>
          <w:rFonts w:ascii="Times New Roman" w:eastAsia="Calibri" w:hAnsi="Times New Roman"/>
          <w:color w:val="auto"/>
          <w:spacing w:val="0"/>
          <w:sz w:val="24"/>
          <w:szCs w:val="22"/>
          <w:lang w:val="en-ZA" w:eastAsia="en-US"/>
        </w:rPr>
        <w:t>This section explores budget allocations per programme for the 2017/18 financial year. The table below sets out the budget allocation per programme for the current financial year and compares it to allocations in 2016/17.</w:t>
      </w:r>
    </w:p>
    <w:p w14:paraId="1E3BD793"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p>
    <w:p w14:paraId="78C9E78F"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val="en-ZA" w:eastAsia="en-US"/>
        </w:rPr>
        <w:t xml:space="preserve">Table 2: </w:t>
      </w:r>
      <w:r w:rsidRPr="00424B7B">
        <w:rPr>
          <w:rFonts w:ascii="Times New Roman" w:eastAsia="Calibri" w:hAnsi="Times New Roman"/>
          <w:b/>
          <w:color w:val="auto"/>
          <w:spacing w:val="0"/>
          <w:sz w:val="24"/>
          <w:szCs w:val="22"/>
          <w:lang w:eastAsia="en-US"/>
        </w:rPr>
        <w:t>Change to allocations per programme for 2017/18</w:t>
      </w:r>
    </w:p>
    <w:tbl>
      <w:tblPr>
        <w:tblW w:w="534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37"/>
        <w:gridCol w:w="1044"/>
        <w:gridCol w:w="1044"/>
        <w:gridCol w:w="1167"/>
        <w:gridCol w:w="1169"/>
        <w:gridCol w:w="1167"/>
        <w:gridCol w:w="1098"/>
      </w:tblGrid>
      <w:tr w:rsidR="00424B7B" w:rsidRPr="00424B7B" w14:paraId="7FDCBA6D" w14:textId="77777777" w:rsidTr="000168D0">
        <w:trPr>
          <w:trHeight w:val="2071"/>
          <w:jc w:val="center"/>
        </w:trPr>
        <w:tc>
          <w:tcPr>
            <w:tcW w:w="1910" w:type="pct"/>
            <w:shd w:val="clear" w:color="auto" w:fill="D9D9D9"/>
          </w:tcPr>
          <w:p w14:paraId="74C54BE3"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Programme</w:t>
            </w:r>
          </w:p>
        </w:tc>
        <w:tc>
          <w:tcPr>
            <w:tcW w:w="964" w:type="pct"/>
            <w:gridSpan w:val="2"/>
            <w:shd w:val="clear" w:color="auto" w:fill="D9D9D9"/>
          </w:tcPr>
          <w:p w14:paraId="4FFD35E1"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 xml:space="preserve">Budget </w:t>
            </w:r>
          </w:p>
          <w:p w14:paraId="4008E0AA"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p>
        </w:tc>
        <w:tc>
          <w:tcPr>
            <w:tcW w:w="539" w:type="pct"/>
            <w:shd w:val="clear" w:color="auto" w:fill="D9D9D9"/>
          </w:tcPr>
          <w:p w14:paraId="2F9FB120"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Nominal Rand change</w:t>
            </w:r>
          </w:p>
        </w:tc>
        <w:tc>
          <w:tcPr>
            <w:tcW w:w="539" w:type="pct"/>
            <w:shd w:val="clear" w:color="auto" w:fill="D9D9D9"/>
          </w:tcPr>
          <w:p w14:paraId="1C5AEA86"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Real Rand change</w:t>
            </w:r>
          </w:p>
        </w:tc>
        <w:tc>
          <w:tcPr>
            <w:tcW w:w="539" w:type="pct"/>
            <w:shd w:val="clear" w:color="auto" w:fill="D9D9D9"/>
          </w:tcPr>
          <w:p w14:paraId="66E3DE9C"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Nominal per cent change 2017/18</w:t>
            </w:r>
          </w:p>
        </w:tc>
        <w:tc>
          <w:tcPr>
            <w:tcW w:w="506" w:type="pct"/>
            <w:shd w:val="clear" w:color="auto" w:fill="D9D9D9"/>
          </w:tcPr>
          <w:p w14:paraId="4EDFEEE6"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Real per cent change 2017/18</w:t>
            </w:r>
          </w:p>
        </w:tc>
      </w:tr>
      <w:tr w:rsidR="00424B7B" w:rsidRPr="00424B7B" w14:paraId="77788DC1" w14:textId="77777777" w:rsidTr="000168D0">
        <w:trPr>
          <w:trHeight w:val="817"/>
          <w:jc w:val="center"/>
        </w:trPr>
        <w:tc>
          <w:tcPr>
            <w:tcW w:w="1910" w:type="pct"/>
            <w:shd w:val="clear" w:color="auto" w:fill="D9D9D9"/>
          </w:tcPr>
          <w:p w14:paraId="51E8F5BC"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color w:val="auto"/>
                <w:spacing w:val="0"/>
                <w:sz w:val="24"/>
                <w:szCs w:val="22"/>
                <w:lang w:eastAsia="en-US"/>
              </w:rPr>
              <w:t>R million</w:t>
            </w:r>
          </w:p>
        </w:tc>
        <w:tc>
          <w:tcPr>
            <w:tcW w:w="482" w:type="pct"/>
            <w:shd w:val="clear" w:color="auto" w:fill="D9D9D9"/>
          </w:tcPr>
          <w:p w14:paraId="71281D2A"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2016/17</w:t>
            </w:r>
          </w:p>
        </w:tc>
        <w:tc>
          <w:tcPr>
            <w:tcW w:w="482" w:type="pct"/>
            <w:shd w:val="clear" w:color="auto" w:fill="D9D9D9"/>
          </w:tcPr>
          <w:p w14:paraId="2AF3B55E"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2017/18</w:t>
            </w:r>
          </w:p>
        </w:tc>
        <w:tc>
          <w:tcPr>
            <w:tcW w:w="1079" w:type="pct"/>
            <w:gridSpan w:val="2"/>
            <w:shd w:val="clear" w:color="auto" w:fill="D9D9D9"/>
          </w:tcPr>
          <w:p w14:paraId="62819A35"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2016/17 – 2017/18</w:t>
            </w:r>
          </w:p>
        </w:tc>
        <w:tc>
          <w:tcPr>
            <w:tcW w:w="1046" w:type="pct"/>
            <w:gridSpan w:val="2"/>
            <w:shd w:val="clear" w:color="auto" w:fill="D9D9D9"/>
          </w:tcPr>
          <w:p w14:paraId="2105D2E6"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2016/17 – 2017/18</w:t>
            </w:r>
          </w:p>
        </w:tc>
      </w:tr>
      <w:tr w:rsidR="00424B7B" w:rsidRPr="00424B7B" w14:paraId="431357BD" w14:textId="77777777" w:rsidTr="000168D0">
        <w:trPr>
          <w:trHeight w:val="417"/>
          <w:jc w:val="center"/>
        </w:trPr>
        <w:tc>
          <w:tcPr>
            <w:tcW w:w="1910" w:type="pct"/>
          </w:tcPr>
          <w:p w14:paraId="66E31AE6"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 Administration</w:t>
            </w:r>
          </w:p>
        </w:tc>
        <w:tc>
          <w:tcPr>
            <w:tcW w:w="482" w:type="pct"/>
          </w:tcPr>
          <w:p w14:paraId="318BD813"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264.9</w:t>
            </w:r>
          </w:p>
        </w:tc>
        <w:tc>
          <w:tcPr>
            <w:tcW w:w="482" w:type="pct"/>
          </w:tcPr>
          <w:p w14:paraId="5CED27AB"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266.5</w:t>
            </w:r>
          </w:p>
        </w:tc>
        <w:tc>
          <w:tcPr>
            <w:tcW w:w="539" w:type="pct"/>
          </w:tcPr>
          <w:p w14:paraId="1117B200"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1.6</w:t>
            </w:r>
          </w:p>
        </w:tc>
        <w:tc>
          <w:tcPr>
            <w:tcW w:w="539" w:type="pct"/>
          </w:tcPr>
          <w:p w14:paraId="55146C89"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-14.2</w:t>
            </w:r>
          </w:p>
        </w:tc>
        <w:tc>
          <w:tcPr>
            <w:tcW w:w="539" w:type="pct"/>
          </w:tcPr>
          <w:p w14:paraId="0B94A900"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0.60%</w:t>
            </w:r>
          </w:p>
        </w:tc>
        <w:tc>
          <w:tcPr>
            <w:tcW w:w="506" w:type="pct"/>
          </w:tcPr>
          <w:p w14:paraId="612427AF"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-5.4%</w:t>
            </w:r>
          </w:p>
        </w:tc>
      </w:tr>
      <w:tr w:rsidR="00424B7B" w:rsidRPr="00424B7B" w14:paraId="1DDDDBB3" w14:textId="77777777" w:rsidTr="000168D0">
        <w:trPr>
          <w:trHeight w:val="400"/>
          <w:jc w:val="center"/>
        </w:trPr>
        <w:tc>
          <w:tcPr>
            <w:tcW w:w="1910" w:type="pct"/>
          </w:tcPr>
          <w:p w14:paraId="5819CE77"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2: Institutional Governance</w:t>
            </w:r>
          </w:p>
        </w:tc>
        <w:tc>
          <w:tcPr>
            <w:tcW w:w="482" w:type="pct"/>
          </w:tcPr>
          <w:p w14:paraId="71129F24"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321.5</w:t>
            </w:r>
          </w:p>
        </w:tc>
        <w:tc>
          <w:tcPr>
            <w:tcW w:w="482" w:type="pct"/>
          </w:tcPr>
          <w:p w14:paraId="72702834"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386.0</w:t>
            </w:r>
          </w:p>
        </w:tc>
        <w:tc>
          <w:tcPr>
            <w:tcW w:w="539" w:type="pct"/>
          </w:tcPr>
          <w:p w14:paraId="53C3441B"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64.5</w:t>
            </w:r>
          </w:p>
        </w:tc>
        <w:tc>
          <w:tcPr>
            <w:tcW w:w="539" w:type="pct"/>
          </w:tcPr>
          <w:p w14:paraId="0518AB56"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41.6</w:t>
            </w:r>
          </w:p>
        </w:tc>
        <w:tc>
          <w:tcPr>
            <w:tcW w:w="539" w:type="pct"/>
          </w:tcPr>
          <w:p w14:paraId="1E71A875"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20.1%</w:t>
            </w:r>
          </w:p>
        </w:tc>
        <w:tc>
          <w:tcPr>
            <w:tcW w:w="506" w:type="pct"/>
          </w:tcPr>
          <w:p w14:paraId="09585C69"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13.0%</w:t>
            </w:r>
          </w:p>
        </w:tc>
      </w:tr>
      <w:tr w:rsidR="00424B7B" w:rsidRPr="00424B7B" w14:paraId="2224C897" w14:textId="77777777" w:rsidTr="000168D0">
        <w:trPr>
          <w:trHeight w:val="817"/>
          <w:jc w:val="center"/>
        </w:trPr>
        <w:tc>
          <w:tcPr>
            <w:tcW w:w="1910" w:type="pct"/>
          </w:tcPr>
          <w:p w14:paraId="6342144D"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3: Arts and Culture Promotion and Development</w:t>
            </w:r>
          </w:p>
        </w:tc>
        <w:tc>
          <w:tcPr>
            <w:tcW w:w="482" w:type="pct"/>
          </w:tcPr>
          <w:p w14:paraId="7911C99A"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1068.3</w:t>
            </w:r>
          </w:p>
        </w:tc>
        <w:tc>
          <w:tcPr>
            <w:tcW w:w="482" w:type="pct"/>
          </w:tcPr>
          <w:p w14:paraId="3A700DE9"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1154.3</w:t>
            </w:r>
          </w:p>
        </w:tc>
        <w:tc>
          <w:tcPr>
            <w:tcW w:w="539" w:type="pct"/>
          </w:tcPr>
          <w:p w14:paraId="77D26BF2"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86.0</w:t>
            </w:r>
          </w:p>
        </w:tc>
        <w:tc>
          <w:tcPr>
            <w:tcW w:w="539" w:type="pct"/>
          </w:tcPr>
          <w:p w14:paraId="5E842DFB"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17.6</w:t>
            </w:r>
          </w:p>
        </w:tc>
        <w:tc>
          <w:tcPr>
            <w:tcW w:w="539" w:type="pct"/>
          </w:tcPr>
          <w:p w14:paraId="0FE4D4D2"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8.1%</w:t>
            </w:r>
          </w:p>
        </w:tc>
        <w:tc>
          <w:tcPr>
            <w:tcW w:w="506" w:type="pct"/>
          </w:tcPr>
          <w:p w14:paraId="58C53F93"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1.7%</w:t>
            </w:r>
          </w:p>
        </w:tc>
      </w:tr>
      <w:tr w:rsidR="00424B7B" w:rsidRPr="00424B7B" w14:paraId="75BED298" w14:textId="77777777" w:rsidTr="000168D0">
        <w:trPr>
          <w:trHeight w:val="835"/>
          <w:jc w:val="center"/>
        </w:trPr>
        <w:tc>
          <w:tcPr>
            <w:tcW w:w="1910" w:type="pct"/>
          </w:tcPr>
          <w:p w14:paraId="783008B1"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4: Heritage Promotion and Preservation</w:t>
            </w:r>
          </w:p>
        </w:tc>
        <w:tc>
          <w:tcPr>
            <w:tcW w:w="482" w:type="pct"/>
          </w:tcPr>
          <w:p w14:paraId="65CA6536"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2047.9</w:t>
            </w:r>
          </w:p>
        </w:tc>
        <w:tc>
          <w:tcPr>
            <w:tcW w:w="482" w:type="pct"/>
          </w:tcPr>
          <w:p w14:paraId="2099ACA6"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2643.1</w:t>
            </w:r>
          </w:p>
        </w:tc>
        <w:tc>
          <w:tcPr>
            <w:tcW w:w="539" w:type="pct"/>
          </w:tcPr>
          <w:p w14:paraId="42812296"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235.2</w:t>
            </w:r>
          </w:p>
        </w:tc>
        <w:tc>
          <w:tcPr>
            <w:tcW w:w="539" w:type="pct"/>
          </w:tcPr>
          <w:p w14:paraId="6F18BCDD"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78.6</w:t>
            </w:r>
          </w:p>
        </w:tc>
        <w:tc>
          <w:tcPr>
            <w:tcW w:w="539" w:type="pct"/>
          </w:tcPr>
          <w:p w14:paraId="23126B77"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9.8%</w:t>
            </w:r>
          </w:p>
        </w:tc>
        <w:tc>
          <w:tcPr>
            <w:tcW w:w="506" w:type="pct"/>
          </w:tcPr>
          <w:p w14:paraId="14B16D67"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3.3%</w:t>
            </w:r>
          </w:p>
        </w:tc>
      </w:tr>
      <w:tr w:rsidR="00424B7B" w:rsidRPr="00424B7B" w14:paraId="4830C449" w14:textId="77777777" w:rsidTr="000168D0">
        <w:trPr>
          <w:trHeight w:val="400"/>
          <w:jc w:val="center"/>
        </w:trPr>
        <w:tc>
          <w:tcPr>
            <w:tcW w:w="1910" w:type="pct"/>
          </w:tcPr>
          <w:p w14:paraId="34A20AAE"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TOTAL</w:t>
            </w:r>
          </w:p>
        </w:tc>
        <w:tc>
          <w:tcPr>
            <w:tcW w:w="482" w:type="pct"/>
          </w:tcPr>
          <w:p w14:paraId="4780799F"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4062.6</w:t>
            </w:r>
          </w:p>
        </w:tc>
        <w:tc>
          <w:tcPr>
            <w:tcW w:w="482" w:type="pct"/>
          </w:tcPr>
          <w:p w14:paraId="26C69C62"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4449.8</w:t>
            </w:r>
          </w:p>
        </w:tc>
        <w:tc>
          <w:tcPr>
            <w:tcW w:w="539" w:type="pct"/>
          </w:tcPr>
          <w:p w14:paraId="2C6A2A5A"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387.3</w:t>
            </w:r>
          </w:p>
        </w:tc>
        <w:tc>
          <w:tcPr>
            <w:tcW w:w="539" w:type="pct"/>
          </w:tcPr>
          <w:p w14:paraId="7FE794DC"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123.6</w:t>
            </w:r>
          </w:p>
        </w:tc>
        <w:tc>
          <w:tcPr>
            <w:tcW w:w="539" w:type="pct"/>
          </w:tcPr>
          <w:p w14:paraId="7246B7C7"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9.5</w:t>
            </w:r>
            <w:r w:rsidRPr="00424B7B">
              <w:rPr>
                <w:rFonts w:ascii="Times New Roman" w:eastAsia="Calibri" w:hAnsi="Times New Roman"/>
                <w:color w:val="auto"/>
                <w:spacing w:val="0"/>
                <w:sz w:val="24"/>
                <w:szCs w:val="22"/>
                <w:lang w:eastAsia="en-US"/>
              </w:rPr>
              <w:t>%</w:t>
            </w:r>
          </w:p>
        </w:tc>
        <w:tc>
          <w:tcPr>
            <w:tcW w:w="506" w:type="pct"/>
          </w:tcPr>
          <w:p w14:paraId="1E0530E0"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3.0</w:t>
            </w:r>
            <w:r w:rsidRPr="00424B7B">
              <w:rPr>
                <w:rFonts w:ascii="Times New Roman" w:eastAsia="Calibri" w:hAnsi="Times New Roman"/>
                <w:color w:val="auto"/>
                <w:spacing w:val="0"/>
                <w:sz w:val="24"/>
                <w:szCs w:val="22"/>
                <w:lang w:eastAsia="en-US"/>
              </w:rPr>
              <w:t>%</w:t>
            </w:r>
          </w:p>
        </w:tc>
      </w:tr>
    </w:tbl>
    <w:p w14:paraId="11E7063B"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p>
    <w:p w14:paraId="66E6B383"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r w:rsidRPr="00424B7B">
        <w:rPr>
          <w:rFonts w:ascii="Times New Roman" w:eastAsia="Calibri" w:hAnsi="Times New Roman"/>
          <w:color w:val="auto"/>
          <w:spacing w:val="0"/>
          <w:sz w:val="24"/>
          <w:szCs w:val="22"/>
          <w:lang w:val="en-ZA" w:eastAsia="en-US"/>
        </w:rPr>
        <w:t>The following graph is a visual representation of the budget allocations (not adjusted to inflation) tabulated above:</w:t>
      </w:r>
    </w:p>
    <w:p w14:paraId="3B819DA1"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p>
    <w:p w14:paraId="7688F8AF" w14:textId="77777777" w:rsidR="00424B7B" w:rsidRPr="00424B7B" w:rsidRDefault="00424B7B" w:rsidP="00424B7B">
      <w:pPr>
        <w:spacing w:line="360" w:lineRule="auto"/>
        <w:jc w:val="both"/>
        <w:rPr>
          <w:rFonts w:ascii="Times New Roman" w:eastAsia="Calibri" w:hAnsi="Times New Roman"/>
          <w:b/>
          <w:color w:val="auto"/>
          <w:spacing w:val="0"/>
          <w:sz w:val="24"/>
          <w:szCs w:val="22"/>
          <w:lang w:val="en-ZA" w:eastAsia="en-US"/>
        </w:rPr>
      </w:pPr>
      <w:r w:rsidRPr="00424B7B">
        <w:rPr>
          <w:rFonts w:ascii="Times New Roman" w:eastAsia="Calibri" w:hAnsi="Times New Roman"/>
          <w:noProof/>
          <w:color w:val="auto"/>
          <w:spacing w:val="0"/>
          <w:sz w:val="24"/>
          <w:szCs w:val="22"/>
          <w:lang w:val="en-ZA" w:eastAsia="en-ZA"/>
        </w:rPr>
        <w:drawing>
          <wp:anchor distT="0" distB="0" distL="114300" distR="114300" simplePos="0" relativeHeight="251663360" behindDoc="0" locked="0" layoutInCell="1" allowOverlap="1" wp14:anchorId="1947858B" wp14:editId="67DAE5B5">
            <wp:simplePos x="0" y="0"/>
            <wp:positionH relativeFrom="margin">
              <wp:posOffset>-1270</wp:posOffset>
            </wp:positionH>
            <wp:positionV relativeFrom="paragraph">
              <wp:posOffset>383540</wp:posOffset>
            </wp:positionV>
            <wp:extent cx="5731200" cy="3499200"/>
            <wp:effectExtent l="0" t="0" r="3175" b="635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Pr="00424B7B">
        <w:rPr>
          <w:rFonts w:ascii="Times New Roman" w:eastAsia="Calibri" w:hAnsi="Times New Roman"/>
          <w:b/>
          <w:color w:val="auto"/>
          <w:spacing w:val="0"/>
          <w:sz w:val="24"/>
          <w:szCs w:val="22"/>
          <w:lang w:val="en-ZA" w:eastAsia="en-US"/>
        </w:rPr>
        <w:t>Figure 2: Comparison of budget allocations per programme for 2016/17 and 2017/18 (not inflation-adjusted)</w:t>
      </w:r>
    </w:p>
    <w:p w14:paraId="7FB9518C"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p>
    <w:p w14:paraId="037A715B" w14:textId="77777777" w:rsidR="00424B7B" w:rsidRPr="001A4A9D" w:rsidRDefault="003A611E" w:rsidP="00954AAD">
      <w:pPr>
        <w:spacing w:line="360" w:lineRule="auto"/>
        <w:ind w:left="720"/>
        <w:jc w:val="both"/>
        <w:rPr>
          <w:rFonts w:ascii="Times New Roman" w:eastAsia="Calibri" w:hAnsi="Times New Roman"/>
          <w:color w:val="auto"/>
          <w:spacing w:val="0"/>
          <w:sz w:val="24"/>
          <w:szCs w:val="22"/>
          <w:lang w:val="en-ZA" w:eastAsia="en-US"/>
        </w:rPr>
      </w:pPr>
      <w:bookmarkStart w:id="8" w:name="_Toc479843768"/>
      <w:r>
        <w:rPr>
          <w:rFonts w:ascii="Times New Roman" w:eastAsia="Calibri" w:hAnsi="Times New Roman"/>
          <w:b/>
          <w:i/>
          <w:color w:val="auto"/>
          <w:spacing w:val="0"/>
          <w:sz w:val="24"/>
          <w:szCs w:val="22"/>
          <w:lang w:val="en-ZA" w:eastAsia="en-US"/>
        </w:rPr>
        <w:t xml:space="preserve">7.1.1 </w:t>
      </w:r>
      <w:r w:rsidR="00424B7B" w:rsidRPr="001A4A9D">
        <w:rPr>
          <w:rFonts w:ascii="Times New Roman" w:eastAsia="Calibri" w:hAnsi="Times New Roman"/>
          <w:b/>
          <w:i/>
          <w:color w:val="auto"/>
          <w:spacing w:val="0"/>
          <w:sz w:val="24"/>
          <w:szCs w:val="22"/>
          <w:lang w:val="en-ZA" w:eastAsia="en-US"/>
        </w:rPr>
        <w:t>Programme 1: Administration</w:t>
      </w:r>
      <w:bookmarkEnd w:id="8"/>
    </w:p>
    <w:p w14:paraId="0B5B6F87"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r w:rsidRPr="00424B7B">
        <w:rPr>
          <w:rFonts w:ascii="Times New Roman" w:eastAsia="Calibri" w:hAnsi="Times New Roman"/>
          <w:color w:val="auto"/>
          <w:spacing w:val="0"/>
          <w:sz w:val="24"/>
          <w:szCs w:val="22"/>
          <w:lang w:val="en-ZA" w:eastAsia="en-US"/>
        </w:rPr>
        <w:t>The programme is responsible for the provision of leadership, management and support functions to the Minister, Deputy Minister, Director-General (DG) and the Department.</w:t>
      </w:r>
    </w:p>
    <w:p w14:paraId="4DD23BC0"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p>
    <w:p w14:paraId="154B06F3"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r w:rsidRPr="00424B7B">
        <w:rPr>
          <w:rFonts w:ascii="Times New Roman" w:eastAsia="Calibri" w:hAnsi="Times New Roman"/>
          <w:color w:val="auto"/>
          <w:spacing w:val="0"/>
          <w:sz w:val="24"/>
          <w:szCs w:val="22"/>
          <w:lang w:val="en-ZA" w:eastAsia="en-US"/>
        </w:rPr>
        <w:t>For the 2017/18 financial year, the budget allocation for this programme is R266.5 million. During the previous financial year, the budget was R264.9 million, representing a nominal increase of R1.6 million. However, taking inflation into consideration, the budget for this programme has decreased by 5.4 per cent, or R14.2 million.</w:t>
      </w:r>
    </w:p>
    <w:p w14:paraId="7A5655B7"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p>
    <w:p w14:paraId="5D234B95"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r w:rsidRPr="00424B7B">
        <w:rPr>
          <w:rFonts w:ascii="Times New Roman" w:eastAsia="Calibri" w:hAnsi="Times New Roman"/>
          <w:color w:val="auto"/>
          <w:spacing w:val="0"/>
          <w:sz w:val="24"/>
          <w:szCs w:val="22"/>
          <w:lang w:val="en-ZA" w:eastAsia="en-US"/>
        </w:rPr>
        <w:t>Budget allocations for all sub-programmes are tabulated below:</w:t>
      </w:r>
    </w:p>
    <w:p w14:paraId="2E1787F2" w14:textId="77777777" w:rsidR="001A4A9D" w:rsidRDefault="001A4A9D" w:rsidP="00424B7B">
      <w:pPr>
        <w:spacing w:line="360" w:lineRule="auto"/>
        <w:jc w:val="both"/>
        <w:rPr>
          <w:rFonts w:ascii="Times New Roman" w:eastAsia="Calibri" w:hAnsi="Times New Roman"/>
          <w:b/>
          <w:color w:val="auto"/>
          <w:spacing w:val="0"/>
          <w:sz w:val="24"/>
          <w:szCs w:val="22"/>
          <w:lang w:val="en-ZA" w:eastAsia="en-US"/>
        </w:rPr>
      </w:pPr>
    </w:p>
    <w:p w14:paraId="57C70935" w14:textId="77777777" w:rsidR="00424B7B" w:rsidRPr="00424B7B" w:rsidRDefault="00424B7B" w:rsidP="00424B7B">
      <w:pPr>
        <w:spacing w:line="360" w:lineRule="auto"/>
        <w:jc w:val="both"/>
        <w:rPr>
          <w:rFonts w:ascii="Times New Roman" w:eastAsia="Calibri" w:hAnsi="Times New Roman"/>
          <w:b/>
          <w:color w:val="auto"/>
          <w:spacing w:val="0"/>
          <w:sz w:val="24"/>
          <w:szCs w:val="22"/>
          <w:lang w:val="en-ZA" w:eastAsia="en-US"/>
        </w:rPr>
      </w:pPr>
      <w:r w:rsidRPr="00424B7B">
        <w:rPr>
          <w:rFonts w:ascii="Times New Roman" w:eastAsia="Calibri" w:hAnsi="Times New Roman"/>
          <w:b/>
          <w:color w:val="auto"/>
          <w:spacing w:val="0"/>
          <w:sz w:val="24"/>
          <w:szCs w:val="22"/>
          <w:lang w:val="en-ZA" w:eastAsia="en-US"/>
        </w:rPr>
        <w:t>Table 3: Programme 1: Administration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2"/>
        <w:gridCol w:w="2321"/>
        <w:gridCol w:w="2344"/>
      </w:tblGrid>
      <w:tr w:rsidR="00424B7B" w:rsidRPr="00424B7B" w14:paraId="06AC6413" w14:textId="77777777" w:rsidTr="00424B7B">
        <w:trPr>
          <w:jc w:val="center"/>
        </w:trPr>
        <w:tc>
          <w:tcPr>
            <w:tcW w:w="2699" w:type="pct"/>
            <w:shd w:val="clear" w:color="auto" w:fill="D9D9D9"/>
          </w:tcPr>
          <w:p w14:paraId="09B91C3C"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Sub-programme</w:t>
            </w:r>
          </w:p>
        </w:tc>
        <w:tc>
          <w:tcPr>
            <w:tcW w:w="1145" w:type="pct"/>
            <w:shd w:val="clear" w:color="auto" w:fill="D9D9D9"/>
          </w:tcPr>
          <w:p w14:paraId="1D7CE571"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Budget</w:t>
            </w:r>
          </w:p>
          <w:p w14:paraId="5B7AEA01"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2017/18</w:t>
            </w:r>
          </w:p>
        </w:tc>
        <w:tc>
          <w:tcPr>
            <w:tcW w:w="1156" w:type="pct"/>
            <w:shd w:val="clear" w:color="auto" w:fill="D9D9D9"/>
          </w:tcPr>
          <w:p w14:paraId="15700CEC"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Percentage of total programme budget</w:t>
            </w:r>
          </w:p>
        </w:tc>
      </w:tr>
      <w:tr w:rsidR="00424B7B" w:rsidRPr="00424B7B" w14:paraId="5B92B39C" w14:textId="77777777" w:rsidTr="00424B7B">
        <w:trPr>
          <w:jc w:val="center"/>
        </w:trPr>
        <w:tc>
          <w:tcPr>
            <w:tcW w:w="5000" w:type="pct"/>
            <w:gridSpan w:val="3"/>
          </w:tcPr>
          <w:p w14:paraId="1E87D212"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R million</w:t>
            </w:r>
          </w:p>
        </w:tc>
      </w:tr>
      <w:tr w:rsidR="00424B7B" w:rsidRPr="00424B7B" w14:paraId="088FFFAE" w14:textId="77777777" w:rsidTr="00424B7B">
        <w:trPr>
          <w:jc w:val="center"/>
        </w:trPr>
        <w:tc>
          <w:tcPr>
            <w:tcW w:w="2699" w:type="pct"/>
          </w:tcPr>
          <w:p w14:paraId="260154EB"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 Ministry</w:t>
            </w:r>
          </w:p>
        </w:tc>
        <w:tc>
          <w:tcPr>
            <w:tcW w:w="1145" w:type="pct"/>
          </w:tcPr>
          <w:p w14:paraId="1C238EC5"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4.6</w:t>
            </w:r>
          </w:p>
        </w:tc>
        <w:tc>
          <w:tcPr>
            <w:tcW w:w="1156" w:type="pct"/>
          </w:tcPr>
          <w:p w14:paraId="1B28D56A"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1.7%</w:t>
            </w:r>
          </w:p>
        </w:tc>
      </w:tr>
      <w:tr w:rsidR="00424B7B" w:rsidRPr="00424B7B" w14:paraId="089DED3E" w14:textId="77777777" w:rsidTr="00424B7B">
        <w:trPr>
          <w:jc w:val="center"/>
        </w:trPr>
        <w:tc>
          <w:tcPr>
            <w:tcW w:w="2699" w:type="pct"/>
          </w:tcPr>
          <w:p w14:paraId="17506438"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2: Management</w:t>
            </w:r>
          </w:p>
        </w:tc>
        <w:tc>
          <w:tcPr>
            <w:tcW w:w="1145" w:type="pct"/>
          </w:tcPr>
          <w:p w14:paraId="0221800E"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46.9</w:t>
            </w:r>
          </w:p>
        </w:tc>
        <w:tc>
          <w:tcPr>
            <w:tcW w:w="1156" w:type="pct"/>
          </w:tcPr>
          <w:p w14:paraId="5A3A460B"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17.6%</w:t>
            </w:r>
          </w:p>
        </w:tc>
      </w:tr>
      <w:tr w:rsidR="00424B7B" w:rsidRPr="00424B7B" w14:paraId="293207B5" w14:textId="77777777" w:rsidTr="00424B7B">
        <w:trPr>
          <w:jc w:val="center"/>
        </w:trPr>
        <w:tc>
          <w:tcPr>
            <w:tcW w:w="2699" w:type="pct"/>
          </w:tcPr>
          <w:p w14:paraId="2DA31474"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3: Corporate Services</w:t>
            </w:r>
          </w:p>
        </w:tc>
        <w:tc>
          <w:tcPr>
            <w:tcW w:w="1145" w:type="pct"/>
          </w:tcPr>
          <w:p w14:paraId="64547111"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82.0</w:t>
            </w:r>
          </w:p>
        </w:tc>
        <w:tc>
          <w:tcPr>
            <w:tcW w:w="1156" w:type="pct"/>
          </w:tcPr>
          <w:p w14:paraId="16828B98"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30.8%</w:t>
            </w:r>
          </w:p>
        </w:tc>
      </w:tr>
      <w:tr w:rsidR="00424B7B" w:rsidRPr="00424B7B" w14:paraId="74551904" w14:textId="77777777" w:rsidTr="00424B7B">
        <w:trPr>
          <w:jc w:val="center"/>
        </w:trPr>
        <w:tc>
          <w:tcPr>
            <w:tcW w:w="2699" w:type="pct"/>
          </w:tcPr>
          <w:p w14:paraId="7F5E7B26"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4: Office of the CFO</w:t>
            </w:r>
          </w:p>
        </w:tc>
        <w:tc>
          <w:tcPr>
            <w:tcW w:w="1145" w:type="pct"/>
          </w:tcPr>
          <w:p w14:paraId="66A75D2F"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27.2</w:t>
            </w:r>
          </w:p>
        </w:tc>
        <w:tc>
          <w:tcPr>
            <w:tcW w:w="1156" w:type="pct"/>
          </w:tcPr>
          <w:p w14:paraId="3DAEC1FF"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10.2%</w:t>
            </w:r>
          </w:p>
        </w:tc>
      </w:tr>
      <w:tr w:rsidR="00424B7B" w:rsidRPr="00424B7B" w14:paraId="182E2354" w14:textId="77777777" w:rsidTr="00424B7B">
        <w:trPr>
          <w:jc w:val="center"/>
        </w:trPr>
        <w:tc>
          <w:tcPr>
            <w:tcW w:w="2699" w:type="pct"/>
          </w:tcPr>
          <w:p w14:paraId="7FADB64B"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5: Office Accommodation</w:t>
            </w:r>
          </w:p>
        </w:tc>
        <w:tc>
          <w:tcPr>
            <w:tcW w:w="1145" w:type="pct"/>
          </w:tcPr>
          <w:p w14:paraId="46376796"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105.8</w:t>
            </w:r>
          </w:p>
        </w:tc>
        <w:tc>
          <w:tcPr>
            <w:tcW w:w="1156" w:type="pct"/>
          </w:tcPr>
          <w:p w14:paraId="568DC793"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39.8%</w:t>
            </w:r>
          </w:p>
        </w:tc>
      </w:tr>
      <w:tr w:rsidR="00424B7B" w:rsidRPr="00424B7B" w14:paraId="53CF4267" w14:textId="77777777" w:rsidTr="00424B7B">
        <w:trPr>
          <w:jc w:val="center"/>
        </w:trPr>
        <w:tc>
          <w:tcPr>
            <w:tcW w:w="2699" w:type="pct"/>
          </w:tcPr>
          <w:p w14:paraId="3D0E0796"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TOTAL</w:t>
            </w:r>
          </w:p>
        </w:tc>
        <w:tc>
          <w:tcPr>
            <w:tcW w:w="1145" w:type="pct"/>
          </w:tcPr>
          <w:p w14:paraId="5E45D690"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266.5</w:t>
            </w:r>
          </w:p>
        </w:tc>
        <w:tc>
          <w:tcPr>
            <w:tcW w:w="1156" w:type="pct"/>
            <w:vAlign w:val="bottom"/>
          </w:tcPr>
          <w:p w14:paraId="384540AF"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100%</w:t>
            </w:r>
          </w:p>
        </w:tc>
      </w:tr>
    </w:tbl>
    <w:p w14:paraId="51335889"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p>
    <w:p w14:paraId="39D867EC"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r w:rsidRPr="00424B7B">
        <w:rPr>
          <w:rFonts w:ascii="Times New Roman" w:eastAsia="Calibri" w:hAnsi="Times New Roman"/>
          <w:color w:val="auto"/>
          <w:spacing w:val="0"/>
          <w:sz w:val="24"/>
          <w:szCs w:val="22"/>
          <w:lang w:val="en-ZA" w:eastAsia="en-US"/>
        </w:rPr>
        <w:t xml:space="preserve">Table 4 below reflects how </w:t>
      </w:r>
      <w:proofErr w:type="gramStart"/>
      <w:r w:rsidRPr="00424B7B">
        <w:rPr>
          <w:rFonts w:ascii="Times New Roman" w:eastAsia="Calibri" w:hAnsi="Times New Roman"/>
          <w:color w:val="auto"/>
          <w:spacing w:val="0"/>
          <w:sz w:val="24"/>
          <w:szCs w:val="22"/>
          <w:lang w:val="en-ZA" w:eastAsia="en-US"/>
        </w:rPr>
        <w:t>budget allocations per sub-programme has</w:t>
      </w:r>
      <w:proofErr w:type="gramEnd"/>
      <w:r w:rsidRPr="00424B7B">
        <w:rPr>
          <w:rFonts w:ascii="Times New Roman" w:eastAsia="Calibri" w:hAnsi="Times New Roman"/>
          <w:color w:val="auto"/>
          <w:spacing w:val="0"/>
          <w:sz w:val="24"/>
          <w:szCs w:val="22"/>
          <w:lang w:val="en-ZA" w:eastAsia="en-US"/>
        </w:rPr>
        <w:t xml:space="preserve"> changed between financial years 2016/17 and 2017/18.</w:t>
      </w:r>
    </w:p>
    <w:p w14:paraId="3E178EA5"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p>
    <w:p w14:paraId="28C8157A"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Table 4: Change to allocations per sub-programme for Programme 1</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38"/>
        <w:gridCol w:w="1245"/>
        <w:gridCol w:w="1245"/>
        <w:gridCol w:w="1397"/>
        <w:gridCol w:w="1312"/>
      </w:tblGrid>
      <w:tr w:rsidR="00424B7B" w:rsidRPr="00424B7B" w14:paraId="01889CD0" w14:textId="77777777" w:rsidTr="00424B7B">
        <w:trPr>
          <w:trHeight w:val="842"/>
          <w:jc w:val="center"/>
        </w:trPr>
        <w:tc>
          <w:tcPr>
            <w:tcW w:w="2436" w:type="pct"/>
            <w:shd w:val="clear" w:color="auto" w:fill="BFBFBF" w:themeFill="background1" w:themeFillShade="BF"/>
          </w:tcPr>
          <w:p w14:paraId="1EECB261"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Sub-programme</w:t>
            </w:r>
          </w:p>
        </w:tc>
        <w:tc>
          <w:tcPr>
            <w:tcW w:w="1228" w:type="pct"/>
            <w:gridSpan w:val="2"/>
            <w:shd w:val="clear" w:color="auto" w:fill="BFBFBF" w:themeFill="background1" w:themeFillShade="BF"/>
          </w:tcPr>
          <w:p w14:paraId="7983EA88"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 xml:space="preserve">Budget </w:t>
            </w:r>
          </w:p>
          <w:p w14:paraId="54C9658E"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p>
        </w:tc>
        <w:tc>
          <w:tcPr>
            <w:tcW w:w="689" w:type="pct"/>
            <w:vMerge w:val="restart"/>
            <w:shd w:val="clear" w:color="auto" w:fill="BFBFBF" w:themeFill="background1" w:themeFillShade="BF"/>
          </w:tcPr>
          <w:p w14:paraId="4D49E60E"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Nominal per cent change in 2017/18</w:t>
            </w:r>
          </w:p>
        </w:tc>
        <w:tc>
          <w:tcPr>
            <w:tcW w:w="647" w:type="pct"/>
            <w:vMerge w:val="restart"/>
            <w:shd w:val="clear" w:color="auto" w:fill="BFBFBF" w:themeFill="background1" w:themeFillShade="BF"/>
          </w:tcPr>
          <w:p w14:paraId="270B8F63"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Real per cent change in 2017/18</w:t>
            </w:r>
          </w:p>
        </w:tc>
      </w:tr>
      <w:tr w:rsidR="00424B7B" w:rsidRPr="00424B7B" w14:paraId="0A7A1B33" w14:textId="77777777" w:rsidTr="00424B7B">
        <w:trPr>
          <w:jc w:val="center"/>
        </w:trPr>
        <w:tc>
          <w:tcPr>
            <w:tcW w:w="2436" w:type="pct"/>
            <w:shd w:val="clear" w:color="auto" w:fill="auto"/>
          </w:tcPr>
          <w:p w14:paraId="70F494DA"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R million</w:t>
            </w:r>
          </w:p>
        </w:tc>
        <w:tc>
          <w:tcPr>
            <w:tcW w:w="614" w:type="pct"/>
            <w:shd w:val="clear" w:color="auto" w:fill="BFBFBF" w:themeFill="background1" w:themeFillShade="BF"/>
          </w:tcPr>
          <w:p w14:paraId="71FF5F5D"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b/>
                <w:color w:val="auto"/>
                <w:spacing w:val="0"/>
                <w:sz w:val="24"/>
                <w:szCs w:val="22"/>
                <w:lang w:eastAsia="en-US"/>
              </w:rPr>
              <w:t>2016/17</w:t>
            </w:r>
          </w:p>
        </w:tc>
        <w:tc>
          <w:tcPr>
            <w:tcW w:w="614" w:type="pct"/>
            <w:shd w:val="clear" w:color="auto" w:fill="BFBFBF" w:themeFill="background1" w:themeFillShade="BF"/>
          </w:tcPr>
          <w:p w14:paraId="6CFA5504"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b/>
                <w:color w:val="auto"/>
                <w:spacing w:val="0"/>
                <w:sz w:val="24"/>
                <w:szCs w:val="22"/>
                <w:lang w:eastAsia="en-US"/>
              </w:rPr>
              <w:t>2017/18</w:t>
            </w:r>
          </w:p>
        </w:tc>
        <w:tc>
          <w:tcPr>
            <w:tcW w:w="689" w:type="pct"/>
            <w:vMerge/>
            <w:shd w:val="clear" w:color="auto" w:fill="BFBFBF" w:themeFill="background1" w:themeFillShade="BF"/>
          </w:tcPr>
          <w:p w14:paraId="5A9C5963"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p>
        </w:tc>
        <w:tc>
          <w:tcPr>
            <w:tcW w:w="647" w:type="pct"/>
            <w:vMerge/>
            <w:shd w:val="clear" w:color="auto" w:fill="BFBFBF" w:themeFill="background1" w:themeFillShade="BF"/>
          </w:tcPr>
          <w:p w14:paraId="3B1E0A33"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p>
        </w:tc>
      </w:tr>
      <w:tr w:rsidR="00424B7B" w:rsidRPr="00424B7B" w14:paraId="669130A8" w14:textId="77777777" w:rsidTr="00424B7B">
        <w:trPr>
          <w:jc w:val="center"/>
        </w:trPr>
        <w:tc>
          <w:tcPr>
            <w:tcW w:w="2436" w:type="pct"/>
          </w:tcPr>
          <w:p w14:paraId="097230BF"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 Ministry</w:t>
            </w:r>
          </w:p>
        </w:tc>
        <w:tc>
          <w:tcPr>
            <w:tcW w:w="614" w:type="pct"/>
          </w:tcPr>
          <w:p w14:paraId="7CC4D238"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4.3</w:t>
            </w:r>
          </w:p>
        </w:tc>
        <w:tc>
          <w:tcPr>
            <w:tcW w:w="614" w:type="pct"/>
          </w:tcPr>
          <w:p w14:paraId="25C1AF72"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4.6</w:t>
            </w:r>
          </w:p>
        </w:tc>
        <w:tc>
          <w:tcPr>
            <w:tcW w:w="689" w:type="pct"/>
          </w:tcPr>
          <w:p w14:paraId="1274810F"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7%</w:t>
            </w:r>
          </w:p>
        </w:tc>
        <w:tc>
          <w:tcPr>
            <w:tcW w:w="647" w:type="pct"/>
          </w:tcPr>
          <w:p w14:paraId="1A87CB5B"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0.6%</w:t>
            </w:r>
          </w:p>
        </w:tc>
      </w:tr>
      <w:tr w:rsidR="00424B7B" w:rsidRPr="00424B7B" w14:paraId="7C4E7ABD" w14:textId="77777777" w:rsidTr="00424B7B">
        <w:trPr>
          <w:jc w:val="center"/>
        </w:trPr>
        <w:tc>
          <w:tcPr>
            <w:tcW w:w="2436" w:type="pct"/>
          </w:tcPr>
          <w:p w14:paraId="6B048BA0"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2: Management</w:t>
            </w:r>
          </w:p>
        </w:tc>
        <w:tc>
          <w:tcPr>
            <w:tcW w:w="614" w:type="pct"/>
          </w:tcPr>
          <w:p w14:paraId="286D56DD"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50.5</w:t>
            </w:r>
          </w:p>
        </w:tc>
        <w:tc>
          <w:tcPr>
            <w:tcW w:w="614" w:type="pct"/>
          </w:tcPr>
          <w:p w14:paraId="05AA18C2"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46.9</w:t>
            </w:r>
          </w:p>
        </w:tc>
        <w:tc>
          <w:tcPr>
            <w:tcW w:w="689" w:type="pct"/>
          </w:tcPr>
          <w:p w14:paraId="69846DFE"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-7.1%</w:t>
            </w:r>
          </w:p>
        </w:tc>
        <w:tc>
          <w:tcPr>
            <w:tcW w:w="647" w:type="pct"/>
          </w:tcPr>
          <w:p w14:paraId="187C86DD"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-12.6%</w:t>
            </w:r>
          </w:p>
        </w:tc>
      </w:tr>
      <w:tr w:rsidR="00424B7B" w:rsidRPr="00424B7B" w14:paraId="2BCD7F4F" w14:textId="77777777" w:rsidTr="00424B7B">
        <w:trPr>
          <w:jc w:val="center"/>
        </w:trPr>
        <w:tc>
          <w:tcPr>
            <w:tcW w:w="2436" w:type="pct"/>
          </w:tcPr>
          <w:p w14:paraId="69C7962D"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3: Corporate Services</w:t>
            </w:r>
          </w:p>
        </w:tc>
        <w:tc>
          <w:tcPr>
            <w:tcW w:w="614" w:type="pct"/>
          </w:tcPr>
          <w:p w14:paraId="28D91D62"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95.4</w:t>
            </w:r>
          </w:p>
        </w:tc>
        <w:tc>
          <w:tcPr>
            <w:tcW w:w="614" w:type="pct"/>
          </w:tcPr>
          <w:p w14:paraId="2C48F4B2"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82.0</w:t>
            </w:r>
          </w:p>
        </w:tc>
        <w:tc>
          <w:tcPr>
            <w:tcW w:w="689" w:type="pct"/>
          </w:tcPr>
          <w:p w14:paraId="05E01E12"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-14.1%</w:t>
            </w:r>
          </w:p>
        </w:tc>
        <w:tc>
          <w:tcPr>
            <w:tcW w:w="647" w:type="pct"/>
          </w:tcPr>
          <w:p w14:paraId="01EE3E02"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-19.1%</w:t>
            </w:r>
          </w:p>
        </w:tc>
      </w:tr>
      <w:tr w:rsidR="00424B7B" w:rsidRPr="00424B7B" w14:paraId="3EA70549" w14:textId="77777777" w:rsidTr="00424B7B">
        <w:trPr>
          <w:jc w:val="center"/>
        </w:trPr>
        <w:tc>
          <w:tcPr>
            <w:tcW w:w="2436" w:type="pct"/>
          </w:tcPr>
          <w:p w14:paraId="0599D677"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4: Office of the CFO</w:t>
            </w:r>
          </w:p>
        </w:tc>
        <w:tc>
          <w:tcPr>
            <w:tcW w:w="614" w:type="pct"/>
          </w:tcPr>
          <w:p w14:paraId="79C558C3"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29.2</w:t>
            </w:r>
          </w:p>
        </w:tc>
        <w:tc>
          <w:tcPr>
            <w:tcW w:w="614" w:type="pct"/>
          </w:tcPr>
          <w:p w14:paraId="22EB2043"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27.2</w:t>
            </w:r>
          </w:p>
        </w:tc>
        <w:tc>
          <w:tcPr>
            <w:tcW w:w="689" w:type="pct"/>
          </w:tcPr>
          <w:p w14:paraId="314161B7"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-6.9%</w:t>
            </w:r>
          </w:p>
        </w:tc>
        <w:tc>
          <w:tcPr>
            <w:tcW w:w="647" w:type="pct"/>
          </w:tcPr>
          <w:p w14:paraId="344E65E0"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-12.4%</w:t>
            </w:r>
          </w:p>
        </w:tc>
      </w:tr>
      <w:tr w:rsidR="00424B7B" w:rsidRPr="00424B7B" w14:paraId="6ED6D5D0" w14:textId="77777777" w:rsidTr="00424B7B">
        <w:trPr>
          <w:jc w:val="center"/>
        </w:trPr>
        <w:tc>
          <w:tcPr>
            <w:tcW w:w="2436" w:type="pct"/>
          </w:tcPr>
          <w:p w14:paraId="2882A33A"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5: Office Accommodation</w:t>
            </w:r>
          </w:p>
        </w:tc>
        <w:tc>
          <w:tcPr>
            <w:tcW w:w="614" w:type="pct"/>
          </w:tcPr>
          <w:p w14:paraId="36BCBC84"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85.4</w:t>
            </w:r>
          </w:p>
        </w:tc>
        <w:tc>
          <w:tcPr>
            <w:tcW w:w="614" w:type="pct"/>
          </w:tcPr>
          <w:p w14:paraId="0198E2A2"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105.8</w:t>
            </w:r>
          </w:p>
        </w:tc>
        <w:tc>
          <w:tcPr>
            <w:tcW w:w="689" w:type="pct"/>
          </w:tcPr>
          <w:p w14:paraId="613B09B0"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23.9%</w:t>
            </w:r>
          </w:p>
        </w:tc>
        <w:tc>
          <w:tcPr>
            <w:tcW w:w="647" w:type="pct"/>
          </w:tcPr>
          <w:p w14:paraId="30EF7E8E"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16.6%</w:t>
            </w:r>
          </w:p>
        </w:tc>
      </w:tr>
      <w:tr w:rsidR="00424B7B" w:rsidRPr="00424B7B" w14:paraId="3D0DA4F6" w14:textId="77777777" w:rsidTr="00424B7B">
        <w:trPr>
          <w:jc w:val="center"/>
        </w:trPr>
        <w:tc>
          <w:tcPr>
            <w:tcW w:w="2436" w:type="pct"/>
          </w:tcPr>
          <w:p w14:paraId="42D590A9"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TOTAL</w:t>
            </w:r>
          </w:p>
        </w:tc>
        <w:tc>
          <w:tcPr>
            <w:tcW w:w="614" w:type="pct"/>
          </w:tcPr>
          <w:p w14:paraId="161B863A"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264.9</w:t>
            </w:r>
          </w:p>
        </w:tc>
        <w:tc>
          <w:tcPr>
            <w:tcW w:w="614" w:type="pct"/>
          </w:tcPr>
          <w:p w14:paraId="38F928F3"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266.5</w:t>
            </w:r>
          </w:p>
        </w:tc>
        <w:tc>
          <w:tcPr>
            <w:tcW w:w="689" w:type="pct"/>
          </w:tcPr>
          <w:p w14:paraId="49A4CFDD"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0.6</w:t>
            </w:r>
            <w:r w:rsidRPr="00424B7B">
              <w:rPr>
                <w:rFonts w:ascii="Times New Roman" w:eastAsia="Calibri" w:hAnsi="Times New Roman"/>
                <w:color w:val="auto"/>
                <w:spacing w:val="0"/>
                <w:sz w:val="24"/>
                <w:szCs w:val="22"/>
                <w:lang w:eastAsia="en-US"/>
              </w:rPr>
              <w:t>%</w:t>
            </w:r>
          </w:p>
        </w:tc>
        <w:tc>
          <w:tcPr>
            <w:tcW w:w="647" w:type="pct"/>
          </w:tcPr>
          <w:p w14:paraId="52C7261A"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-5.4</w:t>
            </w:r>
            <w:r w:rsidRPr="00424B7B">
              <w:rPr>
                <w:rFonts w:ascii="Times New Roman" w:eastAsia="Calibri" w:hAnsi="Times New Roman"/>
                <w:color w:val="auto"/>
                <w:spacing w:val="0"/>
                <w:sz w:val="24"/>
                <w:szCs w:val="22"/>
                <w:lang w:eastAsia="en-US"/>
              </w:rPr>
              <w:t>%</w:t>
            </w:r>
          </w:p>
        </w:tc>
      </w:tr>
    </w:tbl>
    <w:p w14:paraId="4F7E5253"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p>
    <w:p w14:paraId="3C2915A4"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r w:rsidRPr="00424B7B">
        <w:rPr>
          <w:rFonts w:ascii="Times New Roman" w:eastAsia="Calibri" w:hAnsi="Times New Roman"/>
          <w:color w:val="auto"/>
          <w:spacing w:val="0"/>
          <w:sz w:val="24"/>
          <w:szCs w:val="22"/>
          <w:lang w:val="en-ZA" w:eastAsia="en-US"/>
        </w:rPr>
        <w:t>Once again, the sub-programme that receives the biggest portion and biggest budget increase of the programme budget is Office Accommodation. The budget for this sub-programme sees a nominal increase of 23.9 percent in 2017/18, i.e. the budget grew from R85.4 million in 2016/17 to R105.8 million in 2017/18. As reflected in Table 3 above, 39.8 per cent of the programme budget is allocated to office accommodation. The Committee should consider scrutinising this budget allocation and enquire from the Department if there are any long-term solutions to curb this expenditure.</w:t>
      </w:r>
    </w:p>
    <w:p w14:paraId="0F30061A"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p>
    <w:p w14:paraId="4066DEE6"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r w:rsidRPr="00424B7B">
        <w:rPr>
          <w:rFonts w:ascii="Times New Roman" w:eastAsia="Calibri" w:hAnsi="Times New Roman"/>
          <w:color w:val="auto"/>
          <w:spacing w:val="0"/>
          <w:sz w:val="24"/>
          <w:szCs w:val="22"/>
          <w:lang w:val="en-ZA" w:eastAsia="en-US"/>
        </w:rPr>
        <w:t xml:space="preserve">Table 3 also shows that budgets for three sub-programmes have </w:t>
      </w:r>
      <w:proofErr w:type="gramStart"/>
      <w:r w:rsidRPr="00424B7B">
        <w:rPr>
          <w:rFonts w:ascii="Times New Roman" w:eastAsia="Calibri" w:hAnsi="Times New Roman"/>
          <w:color w:val="auto"/>
          <w:spacing w:val="0"/>
          <w:sz w:val="24"/>
          <w:szCs w:val="22"/>
          <w:lang w:val="en-ZA" w:eastAsia="en-US"/>
        </w:rPr>
        <w:t>decreased,</w:t>
      </w:r>
      <w:proofErr w:type="gramEnd"/>
      <w:r w:rsidRPr="00424B7B">
        <w:rPr>
          <w:rFonts w:ascii="Times New Roman" w:eastAsia="Calibri" w:hAnsi="Times New Roman"/>
          <w:color w:val="auto"/>
          <w:spacing w:val="0"/>
          <w:sz w:val="24"/>
          <w:szCs w:val="22"/>
          <w:lang w:val="en-ZA" w:eastAsia="en-US"/>
        </w:rPr>
        <w:t xml:space="preserve"> namely Management, Corporate Services and Office of the CFO. The Committee should establish why these budget cuts have been made and how, if at all, it will affect this programme’s ability to contribute to the delivery of the Department’s strategic goals.</w:t>
      </w:r>
    </w:p>
    <w:p w14:paraId="4581F406"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p>
    <w:p w14:paraId="257B552F" w14:textId="77777777" w:rsidR="00424B7B" w:rsidRPr="00424B7B" w:rsidRDefault="003A611E" w:rsidP="00424B7B">
      <w:pPr>
        <w:spacing w:line="360" w:lineRule="auto"/>
        <w:jc w:val="both"/>
        <w:rPr>
          <w:rFonts w:ascii="Times New Roman" w:eastAsia="Calibri" w:hAnsi="Times New Roman"/>
          <w:color w:val="auto"/>
          <w:spacing w:val="0"/>
          <w:sz w:val="24"/>
          <w:szCs w:val="22"/>
          <w:lang w:val="en-ZA" w:eastAsia="en-US"/>
        </w:rPr>
      </w:pPr>
      <w:bookmarkStart w:id="9" w:name="_Toc479843769"/>
      <w:r>
        <w:rPr>
          <w:rFonts w:ascii="Times New Roman" w:eastAsia="Calibri" w:hAnsi="Times New Roman"/>
          <w:b/>
          <w:i/>
          <w:color w:val="auto"/>
          <w:spacing w:val="0"/>
          <w:sz w:val="24"/>
          <w:szCs w:val="22"/>
          <w:lang w:val="en-ZA" w:eastAsia="en-US"/>
        </w:rPr>
        <w:t>7</w:t>
      </w:r>
      <w:r w:rsidR="00424B7B" w:rsidRPr="00424B7B">
        <w:rPr>
          <w:rFonts w:ascii="Times New Roman" w:eastAsia="Calibri" w:hAnsi="Times New Roman"/>
          <w:b/>
          <w:i/>
          <w:color w:val="auto"/>
          <w:spacing w:val="0"/>
          <w:sz w:val="24"/>
          <w:szCs w:val="22"/>
          <w:lang w:val="en-ZA" w:eastAsia="en-US"/>
        </w:rPr>
        <w:t>.1.2</w:t>
      </w:r>
      <w:r w:rsidR="00424B7B" w:rsidRPr="00424B7B">
        <w:rPr>
          <w:rFonts w:ascii="Times New Roman" w:eastAsia="Calibri" w:hAnsi="Times New Roman"/>
          <w:b/>
          <w:i/>
          <w:color w:val="auto"/>
          <w:spacing w:val="0"/>
          <w:sz w:val="24"/>
          <w:szCs w:val="22"/>
          <w:lang w:val="en-ZA" w:eastAsia="en-US"/>
        </w:rPr>
        <w:tab/>
        <w:t>Programme 2: Institutional Governance</w:t>
      </w:r>
      <w:bookmarkEnd w:id="9"/>
    </w:p>
    <w:p w14:paraId="077FBF19"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r w:rsidRPr="00424B7B">
        <w:rPr>
          <w:rFonts w:ascii="Times New Roman" w:eastAsia="Calibri" w:hAnsi="Times New Roman"/>
          <w:color w:val="auto"/>
          <w:spacing w:val="0"/>
          <w:sz w:val="24"/>
          <w:szCs w:val="22"/>
          <w:lang w:val="en-ZA" w:eastAsia="en-US"/>
        </w:rPr>
        <w:t>The purpose of this programme is to coordinate and manage all cross-cutting functions of the Department and its public entities and provide support and oversight to these public entities.</w:t>
      </w:r>
    </w:p>
    <w:p w14:paraId="4AD2DF73"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p>
    <w:p w14:paraId="16D30F8E"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r w:rsidRPr="00424B7B">
        <w:rPr>
          <w:rFonts w:ascii="Times New Roman" w:eastAsia="Calibri" w:hAnsi="Times New Roman"/>
          <w:color w:val="auto"/>
          <w:spacing w:val="0"/>
          <w:sz w:val="24"/>
          <w:szCs w:val="22"/>
          <w:lang w:val="en-ZA" w:eastAsia="en-US"/>
        </w:rPr>
        <w:t>In the 2017/18 financial year, this programme has seen an increase in budget allocation; from R321.5 million in 2016/17 to R386.0 million in 2017/18. This represents a decrease of 13 per cent when inflation is taken into consideration.</w:t>
      </w:r>
    </w:p>
    <w:p w14:paraId="3A0866B8"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p>
    <w:p w14:paraId="6F597A28"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r w:rsidRPr="00424B7B">
        <w:rPr>
          <w:rFonts w:ascii="Times New Roman" w:eastAsia="Calibri" w:hAnsi="Times New Roman"/>
          <w:color w:val="auto"/>
          <w:spacing w:val="0"/>
          <w:sz w:val="24"/>
          <w:szCs w:val="22"/>
          <w:lang w:val="en-ZA" w:eastAsia="en-US"/>
        </w:rPr>
        <w:t>The budget allocation for this programme is divided amongst its sub-programmes as follows:</w:t>
      </w:r>
    </w:p>
    <w:p w14:paraId="56B03E26"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p>
    <w:p w14:paraId="424D2E1E" w14:textId="77777777" w:rsidR="00424B7B" w:rsidRPr="00424B7B" w:rsidRDefault="00424B7B" w:rsidP="00424B7B">
      <w:pPr>
        <w:spacing w:line="360" w:lineRule="auto"/>
        <w:jc w:val="both"/>
        <w:rPr>
          <w:rFonts w:ascii="Times New Roman" w:eastAsia="Calibri" w:hAnsi="Times New Roman"/>
          <w:b/>
          <w:color w:val="auto"/>
          <w:spacing w:val="0"/>
          <w:sz w:val="24"/>
          <w:szCs w:val="22"/>
          <w:lang w:val="en-ZA" w:eastAsia="en-US"/>
        </w:rPr>
      </w:pPr>
      <w:r w:rsidRPr="00424B7B">
        <w:rPr>
          <w:rFonts w:ascii="Times New Roman" w:eastAsia="Calibri" w:hAnsi="Times New Roman"/>
          <w:b/>
          <w:color w:val="auto"/>
          <w:spacing w:val="0"/>
          <w:sz w:val="24"/>
          <w:szCs w:val="22"/>
          <w:lang w:val="en-ZA" w:eastAsia="en-US"/>
        </w:rPr>
        <w:t>Table 5: Programme 2: Institutional Governance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2"/>
        <w:gridCol w:w="2321"/>
        <w:gridCol w:w="2344"/>
      </w:tblGrid>
      <w:tr w:rsidR="00424B7B" w:rsidRPr="00424B7B" w14:paraId="329BC735" w14:textId="77777777" w:rsidTr="00424B7B">
        <w:trPr>
          <w:jc w:val="center"/>
        </w:trPr>
        <w:tc>
          <w:tcPr>
            <w:tcW w:w="2699" w:type="pct"/>
            <w:shd w:val="clear" w:color="auto" w:fill="D9D9D9"/>
          </w:tcPr>
          <w:p w14:paraId="25EF0779"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Sub-programme</w:t>
            </w:r>
          </w:p>
        </w:tc>
        <w:tc>
          <w:tcPr>
            <w:tcW w:w="1145" w:type="pct"/>
            <w:shd w:val="clear" w:color="auto" w:fill="D9D9D9"/>
          </w:tcPr>
          <w:p w14:paraId="5DFE66E0"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Budget</w:t>
            </w:r>
          </w:p>
          <w:p w14:paraId="03BD88E1"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2017/18</w:t>
            </w:r>
          </w:p>
        </w:tc>
        <w:tc>
          <w:tcPr>
            <w:tcW w:w="1156" w:type="pct"/>
            <w:shd w:val="clear" w:color="auto" w:fill="D9D9D9"/>
          </w:tcPr>
          <w:p w14:paraId="1938C9A0"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Percentage of total programme budget</w:t>
            </w:r>
          </w:p>
        </w:tc>
      </w:tr>
      <w:tr w:rsidR="00424B7B" w:rsidRPr="00424B7B" w14:paraId="3D7939B9" w14:textId="77777777" w:rsidTr="00424B7B">
        <w:trPr>
          <w:jc w:val="center"/>
        </w:trPr>
        <w:tc>
          <w:tcPr>
            <w:tcW w:w="5000" w:type="pct"/>
            <w:gridSpan w:val="3"/>
          </w:tcPr>
          <w:p w14:paraId="1D360C0E"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R million</w:t>
            </w:r>
          </w:p>
        </w:tc>
      </w:tr>
      <w:tr w:rsidR="00424B7B" w:rsidRPr="00424B7B" w14:paraId="5776C380" w14:textId="77777777" w:rsidTr="00424B7B">
        <w:trPr>
          <w:jc w:val="center"/>
        </w:trPr>
        <w:tc>
          <w:tcPr>
            <w:tcW w:w="2699" w:type="pct"/>
          </w:tcPr>
          <w:p w14:paraId="6EA8305E"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 International Co-operation</w:t>
            </w:r>
          </w:p>
        </w:tc>
        <w:tc>
          <w:tcPr>
            <w:tcW w:w="1145" w:type="pct"/>
          </w:tcPr>
          <w:p w14:paraId="45546EE6"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37.3</w:t>
            </w:r>
          </w:p>
        </w:tc>
        <w:tc>
          <w:tcPr>
            <w:tcW w:w="1156" w:type="pct"/>
          </w:tcPr>
          <w:p w14:paraId="532F44FF"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9.7%</w:t>
            </w:r>
          </w:p>
        </w:tc>
      </w:tr>
      <w:tr w:rsidR="00424B7B" w:rsidRPr="00424B7B" w14:paraId="376CF382" w14:textId="77777777" w:rsidTr="00424B7B">
        <w:trPr>
          <w:jc w:val="center"/>
        </w:trPr>
        <w:tc>
          <w:tcPr>
            <w:tcW w:w="2699" w:type="pct"/>
          </w:tcPr>
          <w:p w14:paraId="0236EFAD"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2: Social Cohesion and Nation Building</w:t>
            </w:r>
          </w:p>
        </w:tc>
        <w:tc>
          <w:tcPr>
            <w:tcW w:w="1145" w:type="pct"/>
          </w:tcPr>
          <w:p w14:paraId="10958216"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62.3</w:t>
            </w:r>
          </w:p>
        </w:tc>
        <w:tc>
          <w:tcPr>
            <w:tcW w:w="1156" w:type="pct"/>
          </w:tcPr>
          <w:p w14:paraId="52AC4F59"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16.1%</w:t>
            </w:r>
          </w:p>
        </w:tc>
      </w:tr>
      <w:tr w:rsidR="00424B7B" w:rsidRPr="00424B7B" w14:paraId="7017E035" w14:textId="77777777" w:rsidTr="00424B7B">
        <w:trPr>
          <w:jc w:val="center"/>
        </w:trPr>
        <w:tc>
          <w:tcPr>
            <w:tcW w:w="2699" w:type="pct"/>
          </w:tcPr>
          <w:p w14:paraId="69C68476"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3: Coordination, Monitoring, Evaluation and Good Governance</w:t>
            </w:r>
          </w:p>
        </w:tc>
        <w:tc>
          <w:tcPr>
            <w:tcW w:w="1145" w:type="pct"/>
          </w:tcPr>
          <w:p w14:paraId="7FD49295"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38.1</w:t>
            </w:r>
          </w:p>
        </w:tc>
        <w:tc>
          <w:tcPr>
            <w:tcW w:w="1156" w:type="pct"/>
          </w:tcPr>
          <w:p w14:paraId="190857AA"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9.9%</w:t>
            </w:r>
          </w:p>
        </w:tc>
      </w:tr>
      <w:tr w:rsidR="00424B7B" w:rsidRPr="00424B7B" w14:paraId="2068F58B" w14:textId="77777777" w:rsidTr="00424B7B">
        <w:trPr>
          <w:jc w:val="center"/>
        </w:trPr>
        <w:tc>
          <w:tcPr>
            <w:tcW w:w="2699" w:type="pct"/>
          </w:tcPr>
          <w:p w14:paraId="5F014E15"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4: Capital Works</w:t>
            </w:r>
          </w:p>
        </w:tc>
        <w:tc>
          <w:tcPr>
            <w:tcW w:w="1145" w:type="pct"/>
          </w:tcPr>
          <w:p w14:paraId="501D6D25"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248.3</w:t>
            </w:r>
          </w:p>
        </w:tc>
        <w:tc>
          <w:tcPr>
            <w:tcW w:w="1156" w:type="pct"/>
          </w:tcPr>
          <w:p w14:paraId="13F10567"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64.3%</w:t>
            </w:r>
          </w:p>
        </w:tc>
      </w:tr>
      <w:tr w:rsidR="00424B7B" w:rsidRPr="00424B7B" w14:paraId="4919F1A5" w14:textId="77777777" w:rsidTr="00424B7B">
        <w:trPr>
          <w:jc w:val="center"/>
        </w:trPr>
        <w:tc>
          <w:tcPr>
            <w:tcW w:w="2699" w:type="pct"/>
          </w:tcPr>
          <w:p w14:paraId="75A0A704"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TOTAL</w:t>
            </w:r>
          </w:p>
        </w:tc>
        <w:tc>
          <w:tcPr>
            <w:tcW w:w="1145" w:type="pct"/>
          </w:tcPr>
          <w:p w14:paraId="2F343645"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386.0</w:t>
            </w:r>
          </w:p>
        </w:tc>
        <w:tc>
          <w:tcPr>
            <w:tcW w:w="1156" w:type="pct"/>
          </w:tcPr>
          <w:p w14:paraId="0112CB9D"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100</w:t>
            </w:r>
            <w:r w:rsidRPr="00424B7B">
              <w:rPr>
                <w:rFonts w:ascii="Times New Roman" w:eastAsia="Calibri" w:hAnsi="Times New Roman"/>
                <w:color w:val="auto"/>
                <w:spacing w:val="0"/>
                <w:sz w:val="24"/>
                <w:szCs w:val="22"/>
                <w:lang w:eastAsia="en-US"/>
              </w:rPr>
              <w:t>%</w:t>
            </w:r>
          </w:p>
        </w:tc>
      </w:tr>
    </w:tbl>
    <w:p w14:paraId="035815D9"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p>
    <w:p w14:paraId="654AC8AC"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r w:rsidRPr="00424B7B">
        <w:rPr>
          <w:rFonts w:ascii="Times New Roman" w:eastAsia="Calibri" w:hAnsi="Times New Roman"/>
          <w:color w:val="auto"/>
          <w:spacing w:val="0"/>
          <w:sz w:val="24"/>
          <w:szCs w:val="22"/>
          <w:lang w:val="en-ZA" w:eastAsia="en-US"/>
        </w:rPr>
        <w:t xml:space="preserve">Table 6 reflects how </w:t>
      </w:r>
      <w:proofErr w:type="gramStart"/>
      <w:r w:rsidRPr="00424B7B">
        <w:rPr>
          <w:rFonts w:ascii="Times New Roman" w:eastAsia="Calibri" w:hAnsi="Times New Roman"/>
          <w:color w:val="auto"/>
          <w:spacing w:val="0"/>
          <w:sz w:val="24"/>
          <w:szCs w:val="22"/>
          <w:lang w:val="en-ZA" w:eastAsia="en-US"/>
        </w:rPr>
        <w:t>budget allocations per sub-programme has</w:t>
      </w:r>
      <w:proofErr w:type="gramEnd"/>
      <w:r w:rsidRPr="00424B7B">
        <w:rPr>
          <w:rFonts w:ascii="Times New Roman" w:eastAsia="Calibri" w:hAnsi="Times New Roman"/>
          <w:color w:val="auto"/>
          <w:spacing w:val="0"/>
          <w:sz w:val="24"/>
          <w:szCs w:val="22"/>
          <w:lang w:val="en-ZA" w:eastAsia="en-US"/>
        </w:rPr>
        <w:t xml:space="preserve"> changed between financial years 2016/17 and 2017/18.</w:t>
      </w:r>
    </w:p>
    <w:p w14:paraId="01015A16"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p>
    <w:p w14:paraId="2BE9AB2D"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Table 6: Change to allocations per sub-programme for Programme 2</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38"/>
        <w:gridCol w:w="1245"/>
        <w:gridCol w:w="1245"/>
        <w:gridCol w:w="1397"/>
        <w:gridCol w:w="1312"/>
      </w:tblGrid>
      <w:tr w:rsidR="00424B7B" w:rsidRPr="00424B7B" w14:paraId="6A70B906" w14:textId="77777777" w:rsidTr="00424B7B">
        <w:trPr>
          <w:trHeight w:val="779"/>
          <w:jc w:val="center"/>
        </w:trPr>
        <w:tc>
          <w:tcPr>
            <w:tcW w:w="2436" w:type="pct"/>
            <w:shd w:val="clear" w:color="auto" w:fill="D9D9D9"/>
          </w:tcPr>
          <w:p w14:paraId="3E58A521"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Sub-programme</w:t>
            </w:r>
          </w:p>
        </w:tc>
        <w:tc>
          <w:tcPr>
            <w:tcW w:w="1228" w:type="pct"/>
            <w:gridSpan w:val="2"/>
            <w:shd w:val="clear" w:color="auto" w:fill="D9D9D9"/>
          </w:tcPr>
          <w:p w14:paraId="69C3C8C7"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 xml:space="preserve">Budget </w:t>
            </w:r>
          </w:p>
        </w:tc>
        <w:tc>
          <w:tcPr>
            <w:tcW w:w="689" w:type="pct"/>
            <w:vMerge w:val="restart"/>
            <w:shd w:val="clear" w:color="auto" w:fill="D9D9D9"/>
          </w:tcPr>
          <w:p w14:paraId="16FA5E1A"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Nominal per cent change in 2017/18</w:t>
            </w:r>
          </w:p>
        </w:tc>
        <w:tc>
          <w:tcPr>
            <w:tcW w:w="647" w:type="pct"/>
            <w:vMerge w:val="restart"/>
            <w:shd w:val="clear" w:color="auto" w:fill="D9D9D9"/>
          </w:tcPr>
          <w:p w14:paraId="1DF8BCD3"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Real per cent change in 2017/18</w:t>
            </w:r>
          </w:p>
        </w:tc>
      </w:tr>
      <w:tr w:rsidR="00424B7B" w:rsidRPr="00424B7B" w14:paraId="06A10A32" w14:textId="77777777" w:rsidTr="00424B7B">
        <w:trPr>
          <w:jc w:val="center"/>
        </w:trPr>
        <w:tc>
          <w:tcPr>
            <w:tcW w:w="2436" w:type="pct"/>
            <w:shd w:val="clear" w:color="auto" w:fill="auto"/>
          </w:tcPr>
          <w:p w14:paraId="01771B3C"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color w:val="auto"/>
                <w:spacing w:val="0"/>
                <w:sz w:val="24"/>
                <w:szCs w:val="22"/>
                <w:lang w:eastAsia="en-US"/>
              </w:rPr>
              <w:t>R million</w:t>
            </w:r>
          </w:p>
        </w:tc>
        <w:tc>
          <w:tcPr>
            <w:tcW w:w="614" w:type="pct"/>
            <w:shd w:val="clear" w:color="auto" w:fill="D9D9D9"/>
          </w:tcPr>
          <w:p w14:paraId="515C9088"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2016/17</w:t>
            </w:r>
          </w:p>
        </w:tc>
        <w:tc>
          <w:tcPr>
            <w:tcW w:w="614" w:type="pct"/>
            <w:shd w:val="clear" w:color="auto" w:fill="D9D9D9"/>
          </w:tcPr>
          <w:p w14:paraId="67219309"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2017/18</w:t>
            </w:r>
          </w:p>
        </w:tc>
        <w:tc>
          <w:tcPr>
            <w:tcW w:w="689" w:type="pct"/>
            <w:vMerge/>
            <w:shd w:val="clear" w:color="auto" w:fill="D9D9D9"/>
          </w:tcPr>
          <w:p w14:paraId="0E12BF93"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p>
        </w:tc>
        <w:tc>
          <w:tcPr>
            <w:tcW w:w="647" w:type="pct"/>
            <w:vMerge/>
            <w:shd w:val="clear" w:color="auto" w:fill="D9D9D9"/>
          </w:tcPr>
          <w:p w14:paraId="004C352F"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p>
        </w:tc>
      </w:tr>
      <w:tr w:rsidR="00424B7B" w:rsidRPr="00424B7B" w14:paraId="360D4E65" w14:textId="77777777" w:rsidTr="00424B7B">
        <w:trPr>
          <w:jc w:val="center"/>
        </w:trPr>
        <w:tc>
          <w:tcPr>
            <w:tcW w:w="2436" w:type="pct"/>
          </w:tcPr>
          <w:p w14:paraId="6B10C388"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 International Co-operation</w:t>
            </w:r>
          </w:p>
        </w:tc>
        <w:tc>
          <w:tcPr>
            <w:tcW w:w="614" w:type="pct"/>
          </w:tcPr>
          <w:p w14:paraId="7D2A166C"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35.7</w:t>
            </w:r>
          </w:p>
        </w:tc>
        <w:tc>
          <w:tcPr>
            <w:tcW w:w="614" w:type="pct"/>
          </w:tcPr>
          <w:p w14:paraId="52AB3B5F"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37.3</w:t>
            </w:r>
          </w:p>
        </w:tc>
        <w:tc>
          <w:tcPr>
            <w:tcW w:w="689" w:type="pct"/>
          </w:tcPr>
          <w:p w14:paraId="0E119B62"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4.5%</w:t>
            </w:r>
          </w:p>
        </w:tc>
        <w:tc>
          <w:tcPr>
            <w:tcW w:w="647" w:type="pct"/>
          </w:tcPr>
          <w:p w14:paraId="5482B958"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-1.7%</w:t>
            </w:r>
          </w:p>
        </w:tc>
      </w:tr>
      <w:tr w:rsidR="00424B7B" w:rsidRPr="00424B7B" w14:paraId="4C8D7A96" w14:textId="77777777" w:rsidTr="00424B7B">
        <w:trPr>
          <w:jc w:val="center"/>
        </w:trPr>
        <w:tc>
          <w:tcPr>
            <w:tcW w:w="2436" w:type="pct"/>
          </w:tcPr>
          <w:p w14:paraId="378541F9"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2: Social Cohesion and Nation Building</w:t>
            </w:r>
          </w:p>
        </w:tc>
        <w:tc>
          <w:tcPr>
            <w:tcW w:w="614" w:type="pct"/>
          </w:tcPr>
          <w:p w14:paraId="0E40B9AA"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45.7</w:t>
            </w:r>
          </w:p>
        </w:tc>
        <w:tc>
          <w:tcPr>
            <w:tcW w:w="614" w:type="pct"/>
          </w:tcPr>
          <w:p w14:paraId="641F57D1"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62.3</w:t>
            </w:r>
          </w:p>
        </w:tc>
        <w:tc>
          <w:tcPr>
            <w:tcW w:w="689" w:type="pct"/>
          </w:tcPr>
          <w:p w14:paraId="2178DB72"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36.3%</w:t>
            </w:r>
          </w:p>
        </w:tc>
        <w:tc>
          <w:tcPr>
            <w:tcW w:w="647" w:type="pct"/>
          </w:tcPr>
          <w:p w14:paraId="34877B2F"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28.2%</w:t>
            </w:r>
          </w:p>
        </w:tc>
      </w:tr>
      <w:tr w:rsidR="00424B7B" w:rsidRPr="00424B7B" w14:paraId="7D03C5C2" w14:textId="77777777" w:rsidTr="00424B7B">
        <w:trPr>
          <w:jc w:val="center"/>
        </w:trPr>
        <w:tc>
          <w:tcPr>
            <w:tcW w:w="2436" w:type="pct"/>
          </w:tcPr>
          <w:p w14:paraId="6AA4B564"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3: Coordination, Monitoring, Evaluation and Good Governance</w:t>
            </w:r>
          </w:p>
        </w:tc>
        <w:tc>
          <w:tcPr>
            <w:tcW w:w="614" w:type="pct"/>
          </w:tcPr>
          <w:p w14:paraId="4BCFA28E"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20.3</w:t>
            </w:r>
          </w:p>
        </w:tc>
        <w:tc>
          <w:tcPr>
            <w:tcW w:w="614" w:type="pct"/>
          </w:tcPr>
          <w:p w14:paraId="779C0AA2"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38.1</w:t>
            </w:r>
          </w:p>
        </w:tc>
        <w:tc>
          <w:tcPr>
            <w:tcW w:w="689" w:type="pct"/>
          </w:tcPr>
          <w:p w14:paraId="3850DC04"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87.7%</w:t>
            </w:r>
          </w:p>
        </w:tc>
        <w:tc>
          <w:tcPr>
            <w:tcW w:w="647" w:type="pct"/>
          </w:tcPr>
          <w:p w14:paraId="11156657"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76.6%</w:t>
            </w:r>
          </w:p>
        </w:tc>
      </w:tr>
      <w:tr w:rsidR="00424B7B" w:rsidRPr="00424B7B" w14:paraId="17FB79B4" w14:textId="77777777" w:rsidTr="00424B7B">
        <w:trPr>
          <w:jc w:val="center"/>
        </w:trPr>
        <w:tc>
          <w:tcPr>
            <w:tcW w:w="2436" w:type="pct"/>
          </w:tcPr>
          <w:p w14:paraId="14C69F7C"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4: Capital Works</w:t>
            </w:r>
          </w:p>
        </w:tc>
        <w:tc>
          <w:tcPr>
            <w:tcW w:w="614" w:type="pct"/>
          </w:tcPr>
          <w:p w14:paraId="22E12334"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219.7</w:t>
            </w:r>
          </w:p>
        </w:tc>
        <w:tc>
          <w:tcPr>
            <w:tcW w:w="614" w:type="pct"/>
          </w:tcPr>
          <w:p w14:paraId="32103C7C"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248.3</w:t>
            </w:r>
          </w:p>
        </w:tc>
        <w:tc>
          <w:tcPr>
            <w:tcW w:w="689" w:type="pct"/>
          </w:tcPr>
          <w:p w14:paraId="33ED3C89"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13.0%</w:t>
            </w:r>
          </w:p>
        </w:tc>
        <w:tc>
          <w:tcPr>
            <w:tcW w:w="647" w:type="pct"/>
          </w:tcPr>
          <w:p w14:paraId="2F38254B"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6.3%</w:t>
            </w:r>
          </w:p>
        </w:tc>
      </w:tr>
      <w:tr w:rsidR="00424B7B" w:rsidRPr="00424B7B" w14:paraId="4DD314BD" w14:textId="77777777" w:rsidTr="00424B7B">
        <w:trPr>
          <w:jc w:val="center"/>
        </w:trPr>
        <w:tc>
          <w:tcPr>
            <w:tcW w:w="2436" w:type="pct"/>
          </w:tcPr>
          <w:p w14:paraId="25789E7F"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TOTAL</w:t>
            </w:r>
          </w:p>
        </w:tc>
        <w:tc>
          <w:tcPr>
            <w:tcW w:w="614" w:type="pct"/>
          </w:tcPr>
          <w:p w14:paraId="1F653924"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321.5</w:t>
            </w:r>
          </w:p>
        </w:tc>
        <w:tc>
          <w:tcPr>
            <w:tcW w:w="614" w:type="pct"/>
          </w:tcPr>
          <w:p w14:paraId="094DED1A"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386.0</w:t>
            </w:r>
          </w:p>
        </w:tc>
        <w:tc>
          <w:tcPr>
            <w:tcW w:w="689" w:type="pct"/>
          </w:tcPr>
          <w:p w14:paraId="0D8DBBD1"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20.1</w:t>
            </w:r>
            <w:r w:rsidRPr="00424B7B">
              <w:rPr>
                <w:rFonts w:ascii="Times New Roman" w:eastAsia="Calibri" w:hAnsi="Times New Roman"/>
                <w:color w:val="auto"/>
                <w:spacing w:val="0"/>
                <w:sz w:val="24"/>
                <w:szCs w:val="22"/>
                <w:lang w:eastAsia="en-US"/>
              </w:rPr>
              <w:t>%</w:t>
            </w:r>
          </w:p>
        </w:tc>
        <w:tc>
          <w:tcPr>
            <w:tcW w:w="647" w:type="pct"/>
          </w:tcPr>
          <w:p w14:paraId="116AEB57"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13.0</w:t>
            </w:r>
            <w:r w:rsidRPr="00424B7B">
              <w:rPr>
                <w:rFonts w:ascii="Times New Roman" w:eastAsia="Calibri" w:hAnsi="Times New Roman"/>
                <w:color w:val="auto"/>
                <w:spacing w:val="0"/>
                <w:sz w:val="24"/>
                <w:szCs w:val="22"/>
                <w:lang w:eastAsia="en-US"/>
              </w:rPr>
              <w:t>%</w:t>
            </w:r>
          </w:p>
        </w:tc>
      </w:tr>
    </w:tbl>
    <w:p w14:paraId="35CF6FFA"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p>
    <w:p w14:paraId="72079113"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r w:rsidRPr="00424B7B">
        <w:rPr>
          <w:rFonts w:ascii="Times New Roman" w:eastAsia="Calibri" w:hAnsi="Times New Roman"/>
          <w:color w:val="auto"/>
          <w:spacing w:val="0"/>
          <w:sz w:val="24"/>
          <w:szCs w:val="22"/>
          <w:lang w:val="en-ZA" w:eastAsia="en-US"/>
        </w:rPr>
        <w:t>There has been a considerable increase in the budget for Social Cohesion and Nation Building sub-programme, as reflected in Table 6. The Department set aside an amount of R8 million to host a national social cohesion summit in 2017/18 which will provide government and other sectors in society with an opportunity to sign a compact on working together to address social issues such as racism and xenophobia. In addition, R22.7 million has been allocated for initiatives such as the Young Patriots programme and other moral regeneration projects that aim to promote social cohesion and nation building.</w:t>
      </w:r>
      <w:r w:rsidRPr="00424B7B">
        <w:rPr>
          <w:rFonts w:ascii="Times New Roman" w:eastAsia="Calibri" w:hAnsi="Times New Roman"/>
          <w:color w:val="auto"/>
          <w:spacing w:val="0"/>
          <w:sz w:val="24"/>
          <w:szCs w:val="22"/>
          <w:vertAlign w:val="superscript"/>
          <w:lang w:val="en-ZA" w:eastAsia="en-US"/>
        </w:rPr>
        <w:footnoteReference w:id="17"/>
      </w:r>
    </w:p>
    <w:p w14:paraId="27557C24"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p>
    <w:p w14:paraId="15883CD5"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r w:rsidRPr="00424B7B">
        <w:rPr>
          <w:rFonts w:ascii="Times New Roman" w:eastAsia="Calibri" w:hAnsi="Times New Roman"/>
          <w:color w:val="auto"/>
          <w:spacing w:val="0"/>
          <w:sz w:val="24"/>
          <w:szCs w:val="22"/>
          <w:lang w:val="en-ZA" w:eastAsia="en-US"/>
        </w:rPr>
        <w:t>It is encouraging to note that there has been a substantial increase in the budget for Sub-programme 3. The budget for this sub-programme has increased from R20.3 million in 2016/17 to R38.1 million in 2017/18. This brings the percentage of the total programme budget for this sub-programme close to 10 per cent, a significant increase from 5.2 per cent in 2016/17.</w:t>
      </w:r>
      <w:r w:rsidRPr="00424B7B">
        <w:rPr>
          <w:rFonts w:ascii="Times New Roman" w:eastAsia="Calibri" w:hAnsi="Times New Roman"/>
          <w:color w:val="auto"/>
          <w:spacing w:val="0"/>
          <w:sz w:val="24"/>
          <w:szCs w:val="22"/>
          <w:vertAlign w:val="superscript"/>
          <w:lang w:val="en-ZA" w:eastAsia="en-US"/>
        </w:rPr>
        <w:footnoteReference w:id="18"/>
      </w:r>
      <w:r w:rsidRPr="00424B7B">
        <w:rPr>
          <w:rFonts w:ascii="Times New Roman" w:eastAsia="Calibri" w:hAnsi="Times New Roman"/>
          <w:color w:val="auto"/>
          <w:spacing w:val="0"/>
          <w:sz w:val="24"/>
          <w:szCs w:val="22"/>
          <w:lang w:val="en-ZA" w:eastAsia="en-US"/>
        </w:rPr>
        <w:t xml:space="preserve"> Potentially this means that the Department can play a more meaningful role in oversight of its own projects as well its public entities.</w:t>
      </w:r>
    </w:p>
    <w:p w14:paraId="2692835C"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p>
    <w:p w14:paraId="5DC61AF0" w14:textId="77777777" w:rsidR="00424B7B" w:rsidRPr="00424B7B" w:rsidRDefault="003A611E" w:rsidP="00954AAD">
      <w:pPr>
        <w:spacing w:line="360" w:lineRule="auto"/>
        <w:ind w:left="1418"/>
        <w:jc w:val="both"/>
        <w:rPr>
          <w:rFonts w:ascii="Times New Roman" w:eastAsia="Calibri" w:hAnsi="Times New Roman"/>
          <w:b/>
          <w:i/>
          <w:color w:val="auto"/>
          <w:spacing w:val="0"/>
          <w:sz w:val="24"/>
          <w:szCs w:val="22"/>
          <w:lang w:val="en-ZA" w:eastAsia="en-US"/>
        </w:rPr>
      </w:pPr>
      <w:bookmarkStart w:id="10" w:name="_Toc479843770"/>
      <w:r>
        <w:rPr>
          <w:rFonts w:ascii="Times New Roman" w:eastAsia="Calibri" w:hAnsi="Times New Roman"/>
          <w:b/>
          <w:i/>
          <w:color w:val="auto"/>
          <w:spacing w:val="0"/>
          <w:sz w:val="24"/>
          <w:szCs w:val="22"/>
          <w:lang w:val="en-ZA" w:eastAsia="en-US"/>
        </w:rPr>
        <w:t xml:space="preserve">7.2.3 </w:t>
      </w:r>
      <w:r w:rsidR="00424B7B" w:rsidRPr="00424B7B">
        <w:rPr>
          <w:rFonts w:ascii="Times New Roman" w:eastAsia="Calibri" w:hAnsi="Times New Roman"/>
          <w:b/>
          <w:i/>
          <w:color w:val="auto"/>
          <w:spacing w:val="0"/>
          <w:sz w:val="24"/>
          <w:szCs w:val="22"/>
          <w:lang w:val="en-ZA" w:eastAsia="en-US"/>
        </w:rPr>
        <w:t>Programme 3: Arts and Culture Promotion and Development</w:t>
      </w:r>
      <w:bookmarkEnd w:id="10"/>
    </w:p>
    <w:p w14:paraId="14046413"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p>
    <w:p w14:paraId="077FDC30"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r w:rsidRPr="00424B7B">
        <w:rPr>
          <w:rFonts w:ascii="Times New Roman" w:eastAsia="Calibri" w:hAnsi="Times New Roman"/>
          <w:color w:val="auto"/>
          <w:spacing w:val="0"/>
          <w:sz w:val="24"/>
          <w:szCs w:val="22"/>
          <w:lang w:val="en-ZA" w:eastAsia="en-US"/>
        </w:rPr>
        <w:t>The purpose of Programme 3 is to promote and develop arts, culture and languages. Figure 2 above illustrates that this programme receives the second largest allocation of the total budget, i.e. 26.0 per cent or R1.2 billion. In terms of percentage change compared to the last financial year, Programme 3 has experienced a slight increase of 1.7 per cent or R17.6 million, adjusted for inflation.</w:t>
      </w:r>
    </w:p>
    <w:p w14:paraId="4F2EC227"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p>
    <w:p w14:paraId="4FDB2C28"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r w:rsidRPr="00424B7B">
        <w:rPr>
          <w:rFonts w:ascii="Times New Roman" w:eastAsia="Calibri" w:hAnsi="Times New Roman"/>
          <w:color w:val="auto"/>
          <w:spacing w:val="0"/>
          <w:sz w:val="24"/>
          <w:szCs w:val="22"/>
          <w:lang w:val="en-ZA" w:eastAsia="en-US"/>
        </w:rPr>
        <w:t xml:space="preserve">Programme 3 will, </w:t>
      </w:r>
      <w:r w:rsidRPr="00424B7B">
        <w:rPr>
          <w:rFonts w:ascii="Times New Roman" w:eastAsia="Calibri" w:hAnsi="Times New Roman"/>
          <w:i/>
          <w:color w:val="auto"/>
          <w:spacing w:val="0"/>
          <w:sz w:val="24"/>
          <w:szCs w:val="22"/>
          <w:lang w:val="en-ZA" w:eastAsia="en-US"/>
        </w:rPr>
        <w:t>inter alia</w:t>
      </w:r>
      <w:r w:rsidRPr="00424B7B">
        <w:rPr>
          <w:rFonts w:ascii="Times New Roman" w:eastAsia="Calibri" w:hAnsi="Times New Roman"/>
          <w:color w:val="auto"/>
          <w:spacing w:val="0"/>
          <w:sz w:val="24"/>
          <w:szCs w:val="22"/>
          <w:lang w:val="en-ZA" w:eastAsia="en-US"/>
        </w:rPr>
        <w:t>, invest in initiatives that stimulate local content creation, implement social cohesion programmes that contribute to economic growth (community arts and artists in schools, contribute to skills development and promote South African language through the provision of access to information by translating and/or editing documents received).</w:t>
      </w:r>
    </w:p>
    <w:p w14:paraId="2639DA24"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p>
    <w:p w14:paraId="1472683A"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r w:rsidRPr="00424B7B">
        <w:rPr>
          <w:rFonts w:ascii="Times New Roman" w:eastAsia="Calibri" w:hAnsi="Times New Roman"/>
          <w:color w:val="auto"/>
          <w:spacing w:val="0"/>
          <w:sz w:val="24"/>
          <w:szCs w:val="22"/>
          <w:lang w:val="en-ZA" w:eastAsia="en-US"/>
        </w:rPr>
        <w:t>The budget allocation for this programme is divided amongst its sub-programmes as follows:</w:t>
      </w:r>
    </w:p>
    <w:p w14:paraId="0415480C"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p>
    <w:p w14:paraId="3F79B912" w14:textId="77777777" w:rsidR="00424B7B" w:rsidRPr="00424B7B" w:rsidRDefault="00424B7B" w:rsidP="00424B7B">
      <w:pPr>
        <w:spacing w:line="360" w:lineRule="auto"/>
        <w:jc w:val="both"/>
        <w:rPr>
          <w:rFonts w:ascii="Times New Roman" w:eastAsia="Calibri" w:hAnsi="Times New Roman"/>
          <w:b/>
          <w:color w:val="auto"/>
          <w:spacing w:val="0"/>
          <w:sz w:val="24"/>
          <w:szCs w:val="22"/>
          <w:lang w:val="en-ZA" w:eastAsia="en-US"/>
        </w:rPr>
      </w:pPr>
      <w:r w:rsidRPr="00424B7B">
        <w:rPr>
          <w:rFonts w:ascii="Times New Roman" w:eastAsia="Calibri" w:hAnsi="Times New Roman"/>
          <w:b/>
          <w:color w:val="auto"/>
          <w:spacing w:val="0"/>
          <w:sz w:val="24"/>
          <w:szCs w:val="22"/>
          <w:lang w:val="en-ZA" w:eastAsia="en-US"/>
        </w:rPr>
        <w:t>Table 7: Programme 3: Arts and Culture Development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7"/>
        <w:gridCol w:w="1757"/>
        <w:gridCol w:w="1882"/>
      </w:tblGrid>
      <w:tr w:rsidR="00424B7B" w:rsidRPr="00424B7B" w14:paraId="4F6EED6D" w14:textId="77777777" w:rsidTr="00424B7B">
        <w:trPr>
          <w:jc w:val="center"/>
        </w:trPr>
        <w:tc>
          <w:tcPr>
            <w:tcW w:w="5377" w:type="dxa"/>
            <w:shd w:val="clear" w:color="auto" w:fill="D9D9D9"/>
          </w:tcPr>
          <w:p w14:paraId="3BBDB0AB"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Sub-programme</w:t>
            </w:r>
          </w:p>
        </w:tc>
        <w:tc>
          <w:tcPr>
            <w:tcW w:w="1757" w:type="dxa"/>
            <w:shd w:val="clear" w:color="auto" w:fill="D9D9D9"/>
          </w:tcPr>
          <w:p w14:paraId="772F74BF"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Budget 2017/2018</w:t>
            </w:r>
          </w:p>
        </w:tc>
        <w:tc>
          <w:tcPr>
            <w:tcW w:w="1882" w:type="dxa"/>
            <w:shd w:val="clear" w:color="auto" w:fill="D9D9D9"/>
          </w:tcPr>
          <w:p w14:paraId="729EC16A"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Percentage of total programme budget</w:t>
            </w:r>
          </w:p>
        </w:tc>
      </w:tr>
      <w:tr w:rsidR="00424B7B" w:rsidRPr="00424B7B" w14:paraId="6274A352" w14:textId="77777777" w:rsidTr="00424B7B">
        <w:trPr>
          <w:jc w:val="center"/>
        </w:trPr>
        <w:tc>
          <w:tcPr>
            <w:tcW w:w="9016" w:type="dxa"/>
            <w:gridSpan w:val="3"/>
          </w:tcPr>
          <w:p w14:paraId="6D975A6B"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R million</w:t>
            </w:r>
          </w:p>
        </w:tc>
      </w:tr>
      <w:tr w:rsidR="00424B7B" w:rsidRPr="00424B7B" w14:paraId="7E339EA4" w14:textId="77777777" w:rsidTr="00424B7B">
        <w:trPr>
          <w:jc w:val="center"/>
        </w:trPr>
        <w:tc>
          <w:tcPr>
            <w:tcW w:w="5377" w:type="dxa"/>
          </w:tcPr>
          <w:p w14:paraId="2FAA62B9"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 National Language Services</w:t>
            </w:r>
          </w:p>
        </w:tc>
        <w:tc>
          <w:tcPr>
            <w:tcW w:w="1757" w:type="dxa"/>
          </w:tcPr>
          <w:p w14:paraId="369A1632"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50.9</w:t>
            </w:r>
          </w:p>
        </w:tc>
        <w:tc>
          <w:tcPr>
            <w:tcW w:w="1882" w:type="dxa"/>
          </w:tcPr>
          <w:p w14:paraId="50523E7A"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4.4%</w:t>
            </w:r>
          </w:p>
        </w:tc>
      </w:tr>
      <w:tr w:rsidR="00424B7B" w:rsidRPr="00424B7B" w14:paraId="0744A934" w14:textId="77777777" w:rsidTr="00424B7B">
        <w:trPr>
          <w:jc w:val="center"/>
        </w:trPr>
        <w:tc>
          <w:tcPr>
            <w:tcW w:w="5377" w:type="dxa"/>
          </w:tcPr>
          <w:p w14:paraId="1D59EEFE"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2: Pan South African Language Board</w:t>
            </w:r>
          </w:p>
        </w:tc>
        <w:tc>
          <w:tcPr>
            <w:tcW w:w="1757" w:type="dxa"/>
          </w:tcPr>
          <w:p w14:paraId="1E325207"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108.6</w:t>
            </w:r>
          </w:p>
        </w:tc>
        <w:tc>
          <w:tcPr>
            <w:tcW w:w="1882" w:type="dxa"/>
          </w:tcPr>
          <w:p w14:paraId="0B81A286"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9.4%</w:t>
            </w:r>
          </w:p>
        </w:tc>
      </w:tr>
      <w:tr w:rsidR="00424B7B" w:rsidRPr="00424B7B" w14:paraId="34ACBDFC" w14:textId="77777777" w:rsidTr="00424B7B">
        <w:trPr>
          <w:jc w:val="center"/>
        </w:trPr>
        <w:tc>
          <w:tcPr>
            <w:tcW w:w="5377" w:type="dxa"/>
          </w:tcPr>
          <w:p w14:paraId="701BDE0B"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3: Cultural and Creative Industries Development</w:t>
            </w:r>
          </w:p>
        </w:tc>
        <w:tc>
          <w:tcPr>
            <w:tcW w:w="1757" w:type="dxa"/>
          </w:tcPr>
          <w:p w14:paraId="78224800"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368.6</w:t>
            </w:r>
          </w:p>
        </w:tc>
        <w:tc>
          <w:tcPr>
            <w:tcW w:w="1882" w:type="dxa"/>
          </w:tcPr>
          <w:p w14:paraId="56311984"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31.9%</w:t>
            </w:r>
          </w:p>
        </w:tc>
      </w:tr>
      <w:tr w:rsidR="00424B7B" w:rsidRPr="00424B7B" w14:paraId="6211FADA" w14:textId="77777777" w:rsidTr="00424B7B">
        <w:trPr>
          <w:jc w:val="center"/>
        </w:trPr>
        <w:tc>
          <w:tcPr>
            <w:tcW w:w="5377" w:type="dxa"/>
          </w:tcPr>
          <w:p w14:paraId="62014F00"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4: Performing Arts Institutions</w:t>
            </w:r>
          </w:p>
        </w:tc>
        <w:tc>
          <w:tcPr>
            <w:tcW w:w="1757" w:type="dxa"/>
          </w:tcPr>
          <w:p w14:paraId="6740A6C3"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344.0</w:t>
            </w:r>
          </w:p>
        </w:tc>
        <w:tc>
          <w:tcPr>
            <w:tcW w:w="1882" w:type="dxa"/>
          </w:tcPr>
          <w:p w14:paraId="364A7908"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29.8%</w:t>
            </w:r>
          </w:p>
        </w:tc>
      </w:tr>
      <w:tr w:rsidR="00424B7B" w:rsidRPr="00424B7B" w14:paraId="0D4E2EB0" w14:textId="77777777" w:rsidTr="00424B7B">
        <w:trPr>
          <w:jc w:val="center"/>
        </w:trPr>
        <w:tc>
          <w:tcPr>
            <w:tcW w:w="5377" w:type="dxa"/>
          </w:tcPr>
          <w:p w14:paraId="66D159F4"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5: National Film and Video Foundation</w:t>
            </w:r>
          </w:p>
        </w:tc>
        <w:tc>
          <w:tcPr>
            <w:tcW w:w="1757" w:type="dxa"/>
          </w:tcPr>
          <w:p w14:paraId="0874E0E7"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129.1</w:t>
            </w:r>
          </w:p>
        </w:tc>
        <w:tc>
          <w:tcPr>
            <w:tcW w:w="1882" w:type="dxa"/>
          </w:tcPr>
          <w:p w14:paraId="06E4A9AE"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11.2%</w:t>
            </w:r>
          </w:p>
        </w:tc>
      </w:tr>
      <w:tr w:rsidR="00424B7B" w:rsidRPr="00424B7B" w14:paraId="47DB7025" w14:textId="77777777" w:rsidTr="00424B7B">
        <w:trPr>
          <w:jc w:val="center"/>
        </w:trPr>
        <w:tc>
          <w:tcPr>
            <w:tcW w:w="5377" w:type="dxa"/>
          </w:tcPr>
          <w:p w14:paraId="0B61CB71"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6: National Arts Council</w:t>
            </w:r>
          </w:p>
        </w:tc>
        <w:tc>
          <w:tcPr>
            <w:tcW w:w="1757" w:type="dxa"/>
          </w:tcPr>
          <w:p w14:paraId="41C655B0"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106.2</w:t>
            </w:r>
          </w:p>
        </w:tc>
        <w:tc>
          <w:tcPr>
            <w:tcW w:w="1882" w:type="dxa"/>
          </w:tcPr>
          <w:p w14:paraId="70D21E25"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9.2%</w:t>
            </w:r>
          </w:p>
        </w:tc>
      </w:tr>
      <w:tr w:rsidR="00424B7B" w:rsidRPr="00424B7B" w14:paraId="1310F63B" w14:textId="77777777" w:rsidTr="00424B7B">
        <w:trPr>
          <w:jc w:val="center"/>
        </w:trPr>
        <w:tc>
          <w:tcPr>
            <w:tcW w:w="5377" w:type="dxa"/>
          </w:tcPr>
          <w:p w14:paraId="486A1B46"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7: Capital Works of Performing Arts Institutions</w:t>
            </w:r>
          </w:p>
        </w:tc>
        <w:tc>
          <w:tcPr>
            <w:tcW w:w="1757" w:type="dxa"/>
          </w:tcPr>
          <w:p w14:paraId="29A5327C"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46.9</w:t>
            </w:r>
          </w:p>
        </w:tc>
        <w:tc>
          <w:tcPr>
            <w:tcW w:w="1882" w:type="dxa"/>
          </w:tcPr>
          <w:p w14:paraId="418E81A9"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4.1%</w:t>
            </w:r>
          </w:p>
        </w:tc>
      </w:tr>
      <w:tr w:rsidR="00424B7B" w:rsidRPr="00424B7B" w14:paraId="281B2E2A" w14:textId="77777777" w:rsidTr="00424B7B">
        <w:trPr>
          <w:jc w:val="center"/>
        </w:trPr>
        <w:tc>
          <w:tcPr>
            <w:tcW w:w="5377" w:type="dxa"/>
          </w:tcPr>
          <w:p w14:paraId="0CC2F401"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TOTAL</w:t>
            </w:r>
          </w:p>
        </w:tc>
        <w:tc>
          <w:tcPr>
            <w:tcW w:w="1757" w:type="dxa"/>
          </w:tcPr>
          <w:p w14:paraId="2E17712D"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1154.3</w:t>
            </w:r>
          </w:p>
        </w:tc>
        <w:tc>
          <w:tcPr>
            <w:tcW w:w="1882" w:type="dxa"/>
          </w:tcPr>
          <w:p w14:paraId="545DA8A2"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100</w:t>
            </w:r>
            <w:r w:rsidRPr="00424B7B">
              <w:rPr>
                <w:rFonts w:ascii="Times New Roman" w:eastAsia="Calibri" w:hAnsi="Times New Roman"/>
                <w:color w:val="auto"/>
                <w:spacing w:val="0"/>
                <w:sz w:val="24"/>
                <w:szCs w:val="22"/>
                <w:lang w:eastAsia="en-US"/>
              </w:rPr>
              <w:t>%</w:t>
            </w:r>
          </w:p>
        </w:tc>
      </w:tr>
    </w:tbl>
    <w:p w14:paraId="35C6B688"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p>
    <w:p w14:paraId="23555EDE"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r w:rsidRPr="00424B7B">
        <w:rPr>
          <w:rFonts w:ascii="Times New Roman" w:eastAsia="Calibri" w:hAnsi="Times New Roman"/>
          <w:color w:val="auto"/>
          <w:spacing w:val="0"/>
          <w:sz w:val="24"/>
          <w:szCs w:val="22"/>
          <w:lang w:val="en-ZA" w:eastAsia="en-US"/>
        </w:rPr>
        <w:t xml:space="preserve">Table 8 below reflects how </w:t>
      </w:r>
      <w:proofErr w:type="gramStart"/>
      <w:r w:rsidRPr="00424B7B">
        <w:rPr>
          <w:rFonts w:ascii="Times New Roman" w:eastAsia="Calibri" w:hAnsi="Times New Roman"/>
          <w:color w:val="auto"/>
          <w:spacing w:val="0"/>
          <w:sz w:val="24"/>
          <w:szCs w:val="22"/>
          <w:lang w:val="en-ZA" w:eastAsia="en-US"/>
        </w:rPr>
        <w:t>budget allocations per sub-programme has</w:t>
      </w:r>
      <w:proofErr w:type="gramEnd"/>
      <w:r w:rsidRPr="00424B7B">
        <w:rPr>
          <w:rFonts w:ascii="Times New Roman" w:eastAsia="Calibri" w:hAnsi="Times New Roman"/>
          <w:color w:val="auto"/>
          <w:spacing w:val="0"/>
          <w:sz w:val="24"/>
          <w:szCs w:val="22"/>
          <w:lang w:val="en-ZA" w:eastAsia="en-US"/>
        </w:rPr>
        <w:t xml:space="preserve"> changed between financial years 2016/17 and 2017/18.</w:t>
      </w:r>
    </w:p>
    <w:p w14:paraId="1D252DDD"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p>
    <w:p w14:paraId="365D2824"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Table 8: Change to allocations per sub-programme for Programme 3</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8"/>
        <w:gridCol w:w="1245"/>
        <w:gridCol w:w="1245"/>
        <w:gridCol w:w="1397"/>
        <w:gridCol w:w="1312"/>
      </w:tblGrid>
      <w:tr w:rsidR="00424B7B" w:rsidRPr="00424B7B" w14:paraId="4A9579AD" w14:textId="77777777" w:rsidTr="00424B7B">
        <w:trPr>
          <w:trHeight w:val="779"/>
          <w:jc w:val="center"/>
        </w:trPr>
        <w:tc>
          <w:tcPr>
            <w:tcW w:w="2436" w:type="pct"/>
            <w:shd w:val="clear" w:color="auto" w:fill="D9D9D9"/>
          </w:tcPr>
          <w:p w14:paraId="2ED9B10A"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Sub-programme</w:t>
            </w:r>
          </w:p>
        </w:tc>
        <w:tc>
          <w:tcPr>
            <w:tcW w:w="1228" w:type="pct"/>
            <w:gridSpan w:val="2"/>
            <w:shd w:val="clear" w:color="auto" w:fill="D9D9D9"/>
          </w:tcPr>
          <w:p w14:paraId="70699CCE"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 xml:space="preserve">Budget </w:t>
            </w:r>
          </w:p>
        </w:tc>
        <w:tc>
          <w:tcPr>
            <w:tcW w:w="689" w:type="pct"/>
            <w:vMerge w:val="restart"/>
            <w:shd w:val="clear" w:color="auto" w:fill="D9D9D9"/>
          </w:tcPr>
          <w:p w14:paraId="1EB17250"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Nominal per cent change in 2017/18</w:t>
            </w:r>
          </w:p>
        </w:tc>
        <w:tc>
          <w:tcPr>
            <w:tcW w:w="647" w:type="pct"/>
            <w:vMerge w:val="restart"/>
            <w:shd w:val="clear" w:color="auto" w:fill="D9D9D9"/>
          </w:tcPr>
          <w:p w14:paraId="187B3B0F"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Real per cent change in 2017/18</w:t>
            </w:r>
          </w:p>
        </w:tc>
      </w:tr>
      <w:tr w:rsidR="00424B7B" w:rsidRPr="00424B7B" w14:paraId="6713833E" w14:textId="77777777" w:rsidTr="00424B7B">
        <w:trPr>
          <w:jc w:val="center"/>
        </w:trPr>
        <w:tc>
          <w:tcPr>
            <w:tcW w:w="2436" w:type="pct"/>
            <w:shd w:val="clear" w:color="auto" w:fill="auto"/>
          </w:tcPr>
          <w:p w14:paraId="6369C9C5"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color w:val="auto"/>
                <w:spacing w:val="0"/>
                <w:sz w:val="24"/>
                <w:szCs w:val="22"/>
                <w:lang w:eastAsia="en-US"/>
              </w:rPr>
              <w:t>R million</w:t>
            </w:r>
          </w:p>
        </w:tc>
        <w:tc>
          <w:tcPr>
            <w:tcW w:w="614" w:type="pct"/>
            <w:shd w:val="clear" w:color="auto" w:fill="D9D9D9"/>
          </w:tcPr>
          <w:p w14:paraId="6C6E884B"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2016/17</w:t>
            </w:r>
          </w:p>
        </w:tc>
        <w:tc>
          <w:tcPr>
            <w:tcW w:w="614" w:type="pct"/>
            <w:shd w:val="clear" w:color="auto" w:fill="D9D9D9"/>
          </w:tcPr>
          <w:p w14:paraId="676F9D81"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2017/18</w:t>
            </w:r>
          </w:p>
        </w:tc>
        <w:tc>
          <w:tcPr>
            <w:tcW w:w="689" w:type="pct"/>
            <w:vMerge/>
            <w:shd w:val="clear" w:color="auto" w:fill="D9D9D9"/>
          </w:tcPr>
          <w:p w14:paraId="3FFA4C3C"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p>
        </w:tc>
        <w:tc>
          <w:tcPr>
            <w:tcW w:w="647" w:type="pct"/>
            <w:vMerge/>
            <w:shd w:val="clear" w:color="auto" w:fill="D9D9D9"/>
          </w:tcPr>
          <w:p w14:paraId="004B62A2"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p>
        </w:tc>
      </w:tr>
      <w:tr w:rsidR="00424B7B" w:rsidRPr="00424B7B" w14:paraId="02577849" w14:textId="77777777" w:rsidTr="00424B7B">
        <w:trPr>
          <w:jc w:val="center"/>
        </w:trPr>
        <w:tc>
          <w:tcPr>
            <w:tcW w:w="2436" w:type="pct"/>
          </w:tcPr>
          <w:p w14:paraId="729EC9AC"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 National Language Services</w:t>
            </w:r>
          </w:p>
        </w:tc>
        <w:tc>
          <w:tcPr>
            <w:tcW w:w="614" w:type="pct"/>
          </w:tcPr>
          <w:p w14:paraId="50ABC624"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49.9</w:t>
            </w:r>
          </w:p>
        </w:tc>
        <w:tc>
          <w:tcPr>
            <w:tcW w:w="614" w:type="pct"/>
          </w:tcPr>
          <w:p w14:paraId="68DD3A41"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50.9</w:t>
            </w:r>
          </w:p>
        </w:tc>
        <w:tc>
          <w:tcPr>
            <w:tcW w:w="689" w:type="pct"/>
          </w:tcPr>
          <w:p w14:paraId="0A10AE07"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2.0%</w:t>
            </w:r>
          </w:p>
        </w:tc>
        <w:tc>
          <w:tcPr>
            <w:tcW w:w="647" w:type="pct"/>
          </w:tcPr>
          <w:p w14:paraId="3CF0F0ED"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-4.0%</w:t>
            </w:r>
          </w:p>
        </w:tc>
      </w:tr>
      <w:tr w:rsidR="00424B7B" w:rsidRPr="00424B7B" w14:paraId="0CC67681" w14:textId="77777777" w:rsidTr="00424B7B">
        <w:trPr>
          <w:jc w:val="center"/>
        </w:trPr>
        <w:tc>
          <w:tcPr>
            <w:tcW w:w="2436" w:type="pct"/>
          </w:tcPr>
          <w:p w14:paraId="70AE473B"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2: Pan South African Language Board</w:t>
            </w:r>
          </w:p>
        </w:tc>
        <w:tc>
          <w:tcPr>
            <w:tcW w:w="614" w:type="pct"/>
          </w:tcPr>
          <w:p w14:paraId="68EFA3E9"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93.5</w:t>
            </w:r>
          </w:p>
        </w:tc>
        <w:tc>
          <w:tcPr>
            <w:tcW w:w="614" w:type="pct"/>
          </w:tcPr>
          <w:p w14:paraId="4C700DC4"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108.6</w:t>
            </w:r>
          </w:p>
        </w:tc>
        <w:tc>
          <w:tcPr>
            <w:tcW w:w="689" w:type="pct"/>
          </w:tcPr>
          <w:p w14:paraId="01CCF62B"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16.2%</w:t>
            </w:r>
          </w:p>
        </w:tc>
        <w:tc>
          <w:tcPr>
            <w:tcW w:w="647" w:type="pct"/>
          </w:tcPr>
          <w:p w14:paraId="2F0C7A8E"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9.3%</w:t>
            </w:r>
          </w:p>
        </w:tc>
      </w:tr>
      <w:tr w:rsidR="00424B7B" w:rsidRPr="00424B7B" w14:paraId="0592E081" w14:textId="77777777" w:rsidTr="00424B7B">
        <w:trPr>
          <w:jc w:val="center"/>
        </w:trPr>
        <w:tc>
          <w:tcPr>
            <w:tcW w:w="2436" w:type="pct"/>
          </w:tcPr>
          <w:p w14:paraId="34BCDFF9"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3: Cultural and Creative Industries Development</w:t>
            </w:r>
          </w:p>
        </w:tc>
        <w:tc>
          <w:tcPr>
            <w:tcW w:w="614" w:type="pct"/>
          </w:tcPr>
          <w:p w14:paraId="4CE91445"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353.1</w:t>
            </w:r>
          </w:p>
        </w:tc>
        <w:tc>
          <w:tcPr>
            <w:tcW w:w="614" w:type="pct"/>
          </w:tcPr>
          <w:p w14:paraId="24BB797A"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368.6</w:t>
            </w:r>
          </w:p>
        </w:tc>
        <w:tc>
          <w:tcPr>
            <w:tcW w:w="689" w:type="pct"/>
          </w:tcPr>
          <w:p w14:paraId="47301210"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4.4%</w:t>
            </w:r>
          </w:p>
        </w:tc>
        <w:tc>
          <w:tcPr>
            <w:tcW w:w="647" w:type="pct"/>
          </w:tcPr>
          <w:p w14:paraId="1A31DA5D"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-1.8%</w:t>
            </w:r>
          </w:p>
        </w:tc>
      </w:tr>
      <w:tr w:rsidR="00424B7B" w:rsidRPr="00424B7B" w14:paraId="55B43EA9" w14:textId="77777777" w:rsidTr="00424B7B">
        <w:trPr>
          <w:jc w:val="center"/>
        </w:trPr>
        <w:tc>
          <w:tcPr>
            <w:tcW w:w="2436" w:type="pct"/>
          </w:tcPr>
          <w:p w14:paraId="6EBB699C"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4: Performing Arts Institutions</w:t>
            </w:r>
          </w:p>
        </w:tc>
        <w:tc>
          <w:tcPr>
            <w:tcW w:w="614" w:type="pct"/>
          </w:tcPr>
          <w:p w14:paraId="26CF8115"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316.5</w:t>
            </w:r>
          </w:p>
        </w:tc>
        <w:tc>
          <w:tcPr>
            <w:tcW w:w="614" w:type="pct"/>
          </w:tcPr>
          <w:p w14:paraId="0197BC67"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344.0</w:t>
            </w:r>
          </w:p>
        </w:tc>
        <w:tc>
          <w:tcPr>
            <w:tcW w:w="689" w:type="pct"/>
          </w:tcPr>
          <w:p w14:paraId="3523709E"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8.7%</w:t>
            </w:r>
          </w:p>
        </w:tc>
        <w:tc>
          <w:tcPr>
            <w:tcW w:w="647" w:type="pct"/>
          </w:tcPr>
          <w:p w14:paraId="2BA435E4"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2.3%</w:t>
            </w:r>
          </w:p>
        </w:tc>
      </w:tr>
      <w:tr w:rsidR="00424B7B" w:rsidRPr="00424B7B" w14:paraId="081C0344" w14:textId="77777777" w:rsidTr="00424B7B">
        <w:trPr>
          <w:jc w:val="center"/>
        </w:trPr>
        <w:tc>
          <w:tcPr>
            <w:tcW w:w="2436" w:type="pct"/>
          </w:tcPr>
          <w:p w14:paraId="7ED4BEE2"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5: National Film and Video Foundation</w:t>
            </w:r>
          </w:p>
        </w:tc>
        <w:tc>
          <w:tcPr>
            <w:tcW w:w="614" w:type="pct"/>
          </w:tcPr>
          <w:p w14:paraId="42ABD265"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122.9</w:t>
            </w:r>
          </w:p>
        </w:tc>
        <w:tc>
          <w:tcPr>
            <w:tcW w:w="614" w:type="pct"/>
          </w:tcPr>
          <w:p w14:paraId="54B354EA"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129.1</w:t>
            </w:r>
          </w:p>
        </w:tc>
        <w:tc>
          <w:tcPr>
            <w:tcW w:w="689" w:type="pct"/>
          </w:tcPr>
          <w:p w14:paraId="7ECD883E"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5.0%</w:t>
            </w:r>
          </w:p>
        </w:tc>
        <w:tc>
          <w:tcPr>
            <w:tcW w:w="647" w:type="pct"/>
          </w:tcPr>
          <w:p w14:paraId="2DF0C0AA"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-1.2%</w:t>
            </w:r>
          </w:p>
        </w:tc>
      </w:tr>
      <w:tr w:rsidR="00424B7B" w:rsidRPr="00424B7B" w14:paraId="11518077" w14:textId="77777777" w:rsidTr="00424B7B">
        <w:trPr>
          <w:jc w:val="center"/>
        </w:trPr>
        <w:tc>
          <w:tcPr>
            <w:tcW w:w="2436" w:type="pct"/>
          </w:tcPr>
          <w:p w14:paraId="35B60273"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6: National Arts Council</w:t>
            </w:r>
          </w:p>
        </w:tc>
        <w:tc>
          <w:tcPr>
            <w:tcW w:w="614" w:type="pct"/>
          </w:tcPr>
          <w:p w14:paraId="2288B8D7"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101.2</w:t>
            </w:r>
          </w:p>
        </w:tc>
        <w:tc>
          <w:tcPr>
            <w:tcW w:w="614" w:type="pct"/>
          </w:tcPr>
          <w:p w14:paraId="7227D962"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106.2</w:t>
            </w:r>
          </w:p>
        </w:tc>
        <w:tc>
          <w:tcPr>
            <w:tcW w:w="689" w:type="pct"/>
          </w:tcPr>
          <w:p w14:paraId="7DCB772A"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4.9%</w:t>
            </w:r>
          </w:p>
        </w:tc>
        <w:tc>
          <w:tcPr>
            <w:tcW w:w="647" w:type="pct"/>
          </w:tcPr>
          <w:p w14:paraId="01A77C20"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-1.3%</w:t>
            </w:r>
          </w:p>
        </w:tc>
      </w:tr>
      <w:tr w:rsidR="00424B7B" w:rsidRPr="00424B7B" w14:paraId="1337830B" w14:textId="77777777" w:rsidTr="00424B7B">
        <w:trPr>
          <w:jc w:val="center"/>
        </w:trPr>
        <w:tc>
          <w:tcPr>
            <w:tcW w:w="2436" w:type="pct"/>
          </w:tcPr>
          <w:p w14:paraId="7EBA087B"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7: Capital Works of Performing Arts Institutions</w:t>
            </w:r>
          </w:p>
        </w:tc>
        <w:tc>
          <w:tcPr>
            <w:tcW w:w="614" w:type="pct"/>
          </w:tcPr>
          <w:p w14:paraId="41E44551"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31.1</w:t>
            </w:r>
          </w:p>
        </w:tc>
        <w:tc>
          <w:tcPr>
            <w:tcW w:w="614" w:type="pct"/>
          </w:tcPr>
          <w:p w14:paraId="6D440293"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46.9</w:t>
            </w:r>
          </w:p>
        </w:tc>
        <w:tc>
          <w:tcPr>
            <w:tcW w:w="689" w:type="pct"/>
          </w:tcPr>
          <w:p w14:paraId="6523AC8C"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50.8%</w:t>
            </w:r>
          </w:p>
        </w:tc>
        <w:tc>
          <w:tcPr>
            <w:tcW w:w="647" w:type="pct"/>
          </w:tcPr>
          <w:p w14:paraId="249F6D79"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41.9%</w:t>
            </w:r>
          </w:p>
        </w:tc>
      </w:tr>
      <w:tr w:rsidR="00424B7B" w:rsidRPr="00424B7B" w14:paraId="20EC6B90" w14:textId="77777777" w:rsidTr="00424B7B">
        <w:trPr>
          <w:jc w:val="center"/>
        </w:trPr>
        <w:tc>
          <w:tcPr>
            <w:tcW w:w="2436" w:type="pct"/>
          </w:tcPr>
          <w:p w14:paraId="53AAE66E"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TOTAL</w:t>
            </w:r>
          </w:p>
        </w:tc>
        <w:tc>
          <w:tcPr>
            <w:tcW w:w="614" w:type="pct"/>
          </w:tcPr>
          <w:p w14:paraId="5E56F4F5"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1068.3</w:t>
            </w:r>
          </w:p>
        </w:tc>
        <w:tc>
          <w:tcPr>
            <w:tcW w:w="614" w:type="pct"/>
          </w:tcPr>
          <w:p w14:paraId="49004387"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1154.3</w:t>
            </w:r>
          </w:p>
        </w:tc>
        <w:tc>
          <w:tcPr>
            <w:tcW w:w="689" w:type="pct"/>
          </w:tcPr>
          <w:p w14:paraId="2A2B7ACB"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8.1</w:t>
            </w:r>
            <w:r w:rsidRPr="00424B7B">
              <w:rPr>
                <w:rFonts w:ascii="Times New Roman" w:eastAsia="Calibri" w:hAnsi="Times New Roman"/>
                <w:color w:val="auto"/>
                <w:spacing w:val="0"/>
                <w:sz w:val="24"/>
                <w:szCs w:val="22"/>
                <w:lang w:eastAsia="en-US"/>
              </w:rPr>
              <w:t>%</w:t>
            </w:r>
          </w:p>
        </w:tc>
        <w:tc>
          <w:tcPr>
            <w:tcW w:w="647" w:type="pct"/>
          </w:tcPr>
          <w:p w14:paraId="61129509"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1.7</w:t>
            </w:r>
            <w:r w:rsidRPr="00424B7B">
              <w:rPr>
                <w:rFonts w:ascii="Times New Roman" w:eastAsia="Calibri" w:hAnsi="Times New Roman"/>
                <w:color w:val="auto"/>
                <w:spacing w:val="0"/>
                <w:sz w:val="24"/>
                <w:szCs w:val="22"/>
                <w:lang w:eastAsia="en-US"/>
              </w:rPr>
              <w:t>%</w:t>
            </w:r>
          </w:p>
        </w:tc>
      </w:tr>
    </w:tbl>
    <w:p w14:paraId="28E73F5E"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p>
    <w:p w14:paraId="4A76BAA3"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r w:rsidRPr="00424B7B">
        <w:rPr>
          <w:rFonts w:ascii="Times New Roman" w:eastAsia="Calibri" w:hAnsi="Times New Roman"/>
          <w:color w:val="auto"/>
          <w:spacing w:val="0"/>
          <w:sz w:val="24"/>
          <w:szCs w:val="22"/>
          <w:lang w:val="en-ZA" w:eastAsia="en-US"/>
        </w:rPr>
        <w:t>Adjusted for inflation, budget allocations for all sub-programmes have been reduced with the exception of the budget for PanSALB, Performing Arts Institutions and Capital Works of Performing Arts Institutions.</w:t>
      </w:r>
    </w:p>
    <w:p w14:paraId="47E2CF9D"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p>
    <w:p w14:paraId="6343900D"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r w:rsidRPr="00424B7B">
        <w:rPr>
          <w:rFonts w:ascii="Times New Roman" w:eastAsia="Calibri" w:hAnsi="Times New Roman"/>
          <w:color w:val="auto"/>
          <w:spacing w:val="0"/>
          <w:sz w:val="24"/>
          <w:szCs w:val="22"/>
          <w:lang w:val="en-ZA" w:eastAsia="en-US"/>
        </w:rPr>
        <w:t>As one of the priorities is to improve the functioning of PanSALB, it should be noted that the budget allocation has increased from R93.5 million in 2016/17 to R108.6 million in 2017/18. This links to the Department’s efforts to alleviate funding pressure at this institution by reprioritising funds over the MTEF period.</w:t>
      </w:r>
    </w:p>
    <w:p w14:paraId="31FA30A5"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p>
    <w:p w14:paraId="6628EF53" w14:textId="77777777" w:rsidR="00424B7B" w:rsidRPr="00424B7B" w:rsidRDefault="003A611E" w:rsidP="00424B7B">
      <w:pPr>
        <w:spacing w:line="360" w:lineRule="auto"/>
        <w:jc w:val="both"/>
        <w:rPr>
          <w:rFonts w:ascii="Times New Roman" w:eastAsia="Calibri" w:hAnsi="Times New Roman"/>
          <w:color w:val="auto"/>
          <w:spacing w:val="0"/>
          <w:sz w:val="24"/>
          <w:szCs w:val="22"/>
          <w:lang w:val="en-ZA" w:eastAsia="en-US"/>
        </w:rPr>
      </w:pPr>
      <w:r>
        <w:rPr>
          <w:rFonts w:ascii="Times New Roman" w:eastAsia="Calibri" w:hAnsi="Times New Roman"/>
          <w:b/>
          <w:i/>
          <w:color w:val="auto"/>
          <w:spacing w:val="0"/>
          <w:sz w:val="24"/>
          <w:szCs w:val="22"/>
          <w:lang w:val="en-ZA" w:eastAsia="en-US"/>
        </w:rPr>
        <w:t>7</w:t>
      </w:r>
      <w:r w:rsidR="00424B7B" w:rsidRPr="00424B7B">
        <w:rPr>
          <w:rFonts w:ascii="Times New Roman" w:eastAsia="Calibri" w:hAnsi="Times New Roman"/>
          <w:b/>
          <w:i/>
          <w:color w:val="auto"/>
          <w:spacing w:val="0"/>
          <w:sz w:val="24"/>
          <w:szCs w:val="22"/>
          <w:lang w:val="en-ZA" w:eastAsia="en-US"/>
        </w:rPr>
        <w:t>.1.4.</w:t>
      </w:r>
      <w:r w:rsidR="00424B7B" w:rsidRPr="00424B7B">
        <w:rPr>
          <w:rFonts w:ascii="Times New Roman" w:eastAsia="Calibri" w:hAnsi="Times New Roman"/>
          <w:b/>
          <w:i/>
          <w:color w:val="auto"/>
          <w:spacing w:val="0"/>
          <w:sz w:val="24"/>
          <w:szCs w:val="22"/>
          <w:lang w:val="en-ZA" w:eastAsia="en-US"/>
        </w:rPr>
        <w:tab/>
      </w:r>
      <w:bookmarkStart w:id="11" w:name="_Toc479843771"/>
      <w:r w:rsidR="00424B7B" w:rsidRPr="00424B7B">
        <w:rPr>
          <w:rFonts w:ascii="Times New Roman" w:eastAsia="Calibri" w:hAnsi="Times New Roman"/>
          <w:b/>
          <w:i/>
          <w:color w:val="auto"/>
          <w:spacing w:val="0"/>
          <w:sz w:val="24"/>
          <w:szCs w:val="22"/>
          <w:lang w:val="en-ZA" w:eastAsia="en-US"/>
        </w:rPr>
        <w:t>Programme 4: Heritage Promotion and Preservation</w:t>
      </w:r>
      <w:bookmarkEnd w:id="11"/>
    </w:p>
    <w:p w14:paraId="4B7224A2"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r w:rsidRPr="00424B7B">
        <w:rPr>
          <w:rFonts w:ascii="Times New Roman" w:eastAsia="Calibri" w:hAnsi="Times New Roman"/>
          <w:color w:val="auto"/>
          <w:spacing w:val="0"/>
          <w:sz w:val="24"/>
          <w:szCs w:val="22"/>
          <w:lang w:val="en-ZA" w:eastAsia="en-US"/>
        </w:rPr>
        <w:t>The purpose of this programme is to preserve and promote South African heritage, including archival and heraldic heritage. It also oversees and transfers funds to libraries.</w:t>
      </w:r>
    </w:p>
    <w:p w14:paraId="74F440C0"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p>
    <w:p w14:paraId="59650726"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r w:rsidRPr="00424B7B">
        <w:rPr>
          <w:rFonts w:ascii="Times New Roman" w:eastAsia="Calibri" w:hAnsi="Times New Roman"/>
          <w:color w:val="auto"/>
          <w:spacing w:val="0"/>
          <w:sz w:val="24"/>
          <w:szCs w:val="22"/>
          <w:lang w:val="en-ZA" w:eastAsia="en-US"/>
        </w:rPr>
        <w:t>Programme 4 receives the bulk of the total budget, R2.6 billion or 59.4 per cent. In comparison to the budget allocation in 2016/17, this represents 0.13 per cent change in the percentage of total budget per programme allocation, i.e. a very minor shift which does not signify any priority shifts within the Department. The programme sees a budget allocation increase of 3.3 per cent, or R78.6 million, adjusted for inflation (see Table 10).</w:t>
      </w:r>
    </w:p>
    <w:p w14:paraId="13D03152"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p>
    <w:p w14:paraId="3500DB93"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r w:rsidRPr="00424B7B">
        <w:rPr>
          <w:rFonts w:ascii="Times New Roman" w:eastAsia="Calibri" w:hAnsi="Times New Roman"/>
          <w:color w:val="auto"/>
          <w:spacing w:val="0"/>
          <w:sz w:val="24"/>
          <w:szCs w:val="22"/>
          <w:lang w:val="en-ZA" w:eastAsia="en-US"/>
        </w:rPr>
        <w:t>Table 9 provides an overview of the budget allocation per sub-programme.</w:t>
      </w:r>
    </w:p>
    <w:p w14:paraId="7CF4667F"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p>
    <w:p w14:paraId="470D1D02"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Table 9: Programme 4: Heritage Promotion and Preservation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2"/>
        <w:gridCol w:w="1770"/>
        <w:gridCol w:w="1910"/>
      </w:tblGrid>
      <w:tr w:rsidR="00424B7B" w:rsidRPr="00424B7B" w14:paraId="524B6CA4" w14:textId="77777777" w:rsidTr="00424B7B">
        <w:tc>
          <w:tcPr>
            <w:tcW w:w="5396" w:type="dxa"/>
            <w:shd w:val="clear" w:color="auto" w:fill="D9D9D9"/>
          </w:tcPr>
          <w:p w14:paraId="5D1EADC4"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Sub-programme</w:t>
            </w:r>
          </w:p>
        </w:tc>
        <w:tc>
          <w:tcPr>
            <w:tcW w:w="1736" w:type="dxa"/>
            <w:shd w:val="clear" w:color="auto" w:fill="D9D9D9"/>
          </w:tcPr>
          <w:p w14:paraId="7CFD2273"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Budget 2017/18</w:t>
            </w:r>
          </w:p>
        </w:tc>
        <w:tc>
          <w:tcPr>
            <w:tcW w:w="1884" w:type="dxa"/>
            <w:shd w:val="clear" w:color="auto" w:fill="D9D9D9"/>
          </w:tcPr>
          <w:p w14:paraId="161F8559"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Percentage of total programme budget</w:t>
            </w:r>
          </w:p>
        </w:tc>
      </w:tr>
      <w:tr w:rsidR="00424B7B" w:rsidRPr="00424B7B" w14:paraId="744AF483" w14:textId="77777777" w:rsidTr="00424B7B">
        <w:tc>
          <w:tcPr>
            <w:tcW w:w="5562" w:type="dxa"/>
          </w:tcPr>
          <w:p w14:paraId="3293AA18"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R million</w:t>
            </w:r>
          </w:p>
        </w:tc>
        <w:tc>
          <w:tcPr>
            <w:tcW w:w="1770" w:type="dxa"/>
          </w:tcPr>
          <w:p w14:paraId="65F11E61"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p>
        </w:tc>
        <w:tc>
          <w:tcPr>
            <w:tcW w:w="1910" w:type="dxa"/>
          </w:tcPr>
          <w:p w14:paraId="6E2749E6"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p>
        </w:tc>
      </w:tr>
      <w:tr w:rsidR="00424B7B" w:rsidRPr="00424B7B" w14:paraId="7EF7C687" w14:textId="77777777" w:rsidTr="00424B7B">
        <w:tc>
          <w:tcPr>
            <w:tcW w:w="5562" w:type="dxa"/>
          </w:tcPr>
          <w:p w14:paraId="7A933E72"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 Heritage Promotion</w:t>
            </w:r>
          </w:p>
        </w:tc>
        <w:tc>
          <w:tcPr>
            <w:tcW w:w="1770" w:type="dxa"/>
          </w:tcPr>
          <w:p w14:paraId="7DCF9B2A"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89.2</w:t>
            </w:r>
          </w:p>
        </w:tc>
        <w:tc>
          <w:tcPr>
            <w:tcW w:w="1910" w:type="dxa"/>
          </w:tcPr>
          <w:p w14:paraId="20808EEC"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3.4%</w:t>
            </w:r>
          </w:p>
        </w:tc>
      </w:tr>
      <w:tr w:rsidR="00424B7B" w:rsidRPr="00424B7B" w14:paraId="512A4B07" w14:textId="77777777" w:rsidTr="00424B7B">
        <w:tc>
          <w:tcPr>
            <w:tcW w:w="5562" w:type="dxa"/>
          </w:tcPr>
          <w:p w14:paraId="02881E3C"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2: National Archive Services</w:t>
            </w:r>
          </w:p>
        </w:tc>
        <w:tc>
          <w:tcPr>
            <w:tcW w:w="1770" w:type="dxa"/>
          </w:tcPr>
          <w:p w14:paraId="3AFC9A92"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44.8</w:t>
            </w:r>
          </w:p>
        </w:tc>
        <w:tc>
          <w:tcPr>
            <w:tcW w:w="1910" w:type="dxa"/>
          </w:tcPr>
          <w:p w14:paraId="07C2A46B"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1.7%</w:t>
            </w:r>
          </w:p>
        </w:tc>
      </w:tr>
      <w:tr w:rsidR="00424B7B" w:rsidRPr="00424B7B" w14:paraId="2337FB29" w14:textId="77777777" w:rsidTr="00424B7B">
        <w:tc>
          <w:tcPr>
            <w:tcW w:w="5562" w:type="dxa"/>
          </w:tcPr>
          <w:p w14:paraId="5E8D212F"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3: Heritage Institutions</w:t>
            </w:r>
          </w:p>
        </w:tc>
        <w:tc>
          <w:tcPr>
            <w:tcW w:w="1770" w:type="dxa"/>
          </w:tcPr>
          <w:p w14:paraId="673EF983"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750.8</w:t>
            </w:r>
          </w:p>
        </w:tc>
        <w:tc>
          <w:tcPr>
            <w:tcW w:w="1910" w:type="dxa"/>
          </w:tcPr>
          <w:p w14:paraId="75F716F0"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28.4%</w:t>
            </w:r>
          </w:p>
        </w:tc>
      </w:tr>
      <w:tr w:rsidR="00424B7B" w:rsidRPr="00424B7B" w14:paraId="219FA8C1" w14:textId="77777777" w:rsidTr="00424B7B">
        <w:tc>
          <w:tcPr>
            <w:tcW w:w="5562" w:type="dxa"/>
          </w:tcPr>
          <w:p w14:paraId="35AB250B"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4: National Library Services</w:t>
            </w:r>
          </w:p>
        </w:tc>
        <w:tc>
          <w:tcPr>
            <w:tcW w:w="1770" w:type="dxa"/>
          </w:tcPr>
          <w:p w14:paraId="01B8E5FA"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181.7</w:t>
            </w:r>
          </w:p>
        </w:tc>
        <w:tc>
          <w:tcPr>
            <w:tcW w:w="1910" w:type="dxa"/>
          </w:tcPr>
          <w:p w14:paraId="2D5B462B"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6.9%</w:t>
            </w:r>
          </w:p>
        </w:tc>
      </w:tr>
      <w:tr w:rsidR="00424B7B" w:rsidRPr="00424B7B" w14:paraId="7F81C4FE" w14:textId="77777777" w:rsidTr="00424B7B">
        <w:tc>
          <w:tcPr>
            <w:tcW w:w="5562" w:type="dxa"/>
          </w:tcPr>
          <w:p w14:paraId="0519C963"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5: Public Library Services</w:t>
            </w:r>
          </w:p>
        </w:tc>
        <w:tc>
          <w:tcPr>
            <w:tcW w:w="1770" w:type="dxa"/>
          </w:tcPr>
          <w:p w14:paraId="494F8333"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1447.2</w:t>
            </w:r>
          </w:p>
        </w:tc>
        <w:tc>
          <w:tcPr>
            <w:tcW w:w="1910" w:type="dxa"/>
          </w:tcPr>
          <w:p w14:paraId="0A692A20"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54.8%</w:t>
            </w:r>
          </w:p>
        </w:tc>
      </w:tr>
      <w:tr w:rsidR="00424B7B" w:rsidRPr="00424B7B" w14:paraId="436CFDE5" w14:textId="77777777" w:rsidTr="00424B7B">
        <w:tc>
          <w:tcPr>
            <w:tcW w:w="5562" w:type="dxa"/>
          </w:tcPr>
          <w:p w14:paraId="306F4D65"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6: South African Heritage Resources Agency</w:t>
            </w:r>
          </w:p>
        </w:tc>
        <w:tc>
          <w:tcPr>
            <w:tcW w:w="1770" w:type="dxa"/>
          </w:tcPr>
          <w:p w14:paraId="38F8DEC1"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59.9</w:t>
            </w:r>
          </w:p>
        </w:tc>
        <w:tc>
          <w:tcPr>
            <w:tcW w:w="1910" w:type="dxa"/>
          </w:tcPr>
          <w:p w14:paraId="3E865B65"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2.3%</w:t>
            </w:r>
          </w:p>
        </w:tc>
      </w:tr>
      <w:tr w:rsidR="00424B7B" w:rsidRPr="00424B7B" w14:paraId="4AA55392" w14:textId="77777777" w:rsidTr="00424B7B">
        <w:tc>
          <w:tcPr>
            <w:tcW w:w="5396" w:type="dxa"/>
          </w:tcPr>
          <w:p w14:paraId="4755099E"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7: South African Geographical Names Council</w:t>
            </w:r>
          </w:p>
        </w:tc>
        <w:tc>
          <w:tcPr>
            <w:tcW w:w="1736" w:type="dxa"/>
          </w:tcPr>
          <w:p w14:paraId="245EBA8E"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4.9</w:t>
            </w:r>
          </w:p>
        </w:tc>
        <w:tc>
          <w:tcPr>
            <w:tcW w:w="1884" w:type="dxa"/>
          </w:tcPr>
          <w:p w14:paraId="6127B05A"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0.2%</w:t>
            </w:r>
          </w:p>
        </w:tc>
      </w:tr>
      <w:tr w:rsidR="00424B7B" w:rsidRPr="00424B7B" w14:paraId="7F9665BF" w14:textId="77777777" w:rsidTr="00424B7B">
        <w:tc>
          <w:tcPr>
            <w:tcW w:w="5396" w:type="dxa"/>
          </w:tcPr>
          <w:p w14:paraId="4383F0F0"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8: National Heritage Council</w:t>
            </w:r>
          </w:p>
        </w:tc>
        <w:tc>
          <w:tcPr>
            <w:tcW w:w="1736" w:type="dxa"/>
          </w:tcPr>
          <w:p w14:paraId="37BF0C6B"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64.7</w:t>
            </w:r>
          </w:p>
        </w:tc>
        <w:tc>
          <w:tcPr>
            <w:tcW w:w="1884" w:type="dxa"/>
          </w:tcPr>
          <w:p w14:paraId="374C278F"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2.5%</w:t>
            </w:r>
          </w:p>
        </w:tc>
      </w:tr>
      <w:tr w:rsidR="00424B7B" w:rsidRPr="00424B7B" w14:paraId="7F44E967" w14:textId="77777777" w:rsidTr="00424B7B">
        <w:tc>
          <w:tcPr>
            <w:tcW w:w="5396" w:type="dxa"/>
          </w:tcPr>
          <w:p w14:paraId="47CA578F"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TOTAL</w:t>
            </w:r>
          </w:p>
        </w:tc>
        <w:tc>
          <w:tcPr>
            <w:tcW w:w="1736" w:type="dxa"/>
          </w:tcPr>
          <w:p w14:paraId="388DD680"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2643.1</w:t>
            </w:r>
          </w:p>
        </w:tc>
        <w:tc>
          <w:tcPr>
            <w:tcW w:w="1884" w:type="dxa"/>
          </w:tcPr>
          <w:p w14:paraId="346AC644"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100</w:t>
            </w:r>
            <w:r w:rsidRPr="00424B7B">
              <w:rPr>
                <w:rFonts w:ascii="Times New Roman" w:eastAsia="Calibri" w:hAnsi="Times New Roman"/>
                <w:color w:val="auto"/>
                <w:spacing w:val="0"/>
                <w:sz w:val="24"/>
                <w:szCs w:val="22"/>
                <w:lang w:eastAsia="en-US"/>
              </w:rPr>
              <w:t>%</w:t>
            </w:r>
          </w:p>
        </w:tc>
      </w:tr>
    </w:tbl>
    <w:p w14:paraId="11BB184B"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p>
    <w:p w14:paraId="519FC319"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r w:rsidRPr="00424B7B">
        <w:rPr>
          <w:rFonts w:ascii="Times New Roman" w:eastAsia="Calibri" w:hAnsi="Times New Roman"/>
          <w:color w:val="auto"/>
          <w:spacing w:val="0"/>
          <w:sz w:val="24"/>
          <w:szCs w:val="22"/>
          <w:lang w:val="en-ZA" w:eastAsia="en-US"/>
        </w:rPr>
        <w:t xml:space="preserve">Table 10 reflects how </w:t>
      </w:r>
      <w:proofErr w:type="gramStart"/>
      <w:r w:rsidRPr="00424B7B">
        <w:rPr>
          <w:rFonts w:ascii="Times New Roman" w:eastAsia="Calibri" w:hAnsi="Times New Roman"/>
          <w:color w:val="auto"/>
          <w:spacing w:val="0"/>
          <w:sz w:val="24"/>
          <w:szCs w:val="22"/>
          <w:lang w:val="en-ZA" w:eastAsia="en-US"/>
        </w:rPr>
        <w:t>budget allocations per sub-programme has</w:t>
      </w:r>
      <w:proofErr w:type="gramEnd"/>
      <w:r w:rsidRPr="00424B7B">
        <w:rPr>
          <w:rFonts w:ascii="Times New Roman" w:eastAsia="Calibri" w:hAnsi="Times New Roman"/>
          <w:color w:val="auto"/>
          <w:spacing w:val="0"/>
          <w:sz w:val="24"/>
          <w:szCs w:val="22"/>
          <w:lang w:val="en-ZA" w:eastAsia="en-US"/>
        </w:rPr>
        <w:t xml:space="preserve"> changed between financial years 2016/17 and 2017/18.</w:t>
      </w:r>
    </w:p>
    <w:p w14:paraId="790C655A"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p>
    <w:p w14:paraId="6B9934A4"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r w:rsidRPr="00424B7B">
        <w:rPr>
          <w:rFonts w:ascii="Times New Roman" w:eastAsia="Calibri" w:hAnsi="Times New Roman"/>
          <w:b/>
          <w:color w:val="auto"/>
          <w:spacing w:val="0"/>
          <w:sz w:val="24"/>
          <w:szCs w:val="22"/>
          <w:lang w:eastAsia="en-US"/>
        </w:rPr>
        <w:t>Table 10: Change to allocations per sub-programme for Programme 4</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8"/>
        <w:gridCol w:w="1245"/>
        <w:gridCol w:w="1245"/>
        <w:gridCol w:w="1397"/>
        <w:gridCol w:w="1312"/>
      </w:tblGrid>
      <w:tr w:rsidR="00424B7B" w:rsidRPr="00424B7B" w14:paraId="7C5B71F9" w14:textId="77777777" w:rsidTr="00424B7B">
        <w:trPr>
          <w:trHeight w:val="779"/>
          <w:jc w:val="center"/>
        </w:trPr>
        <w:tc>
          <w:tcPr>
            <w:tcW w:w="2436" w:type="pct"/>
            <w:shd w:val="clear" w:color="auto" w:fill="D9D9D9"/>
          </w:tcPr>
          <w:p w14:paraId="6F8556A9"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Sub-programme</w:t>
            </w:r>
          </w:p>
        </w:tc>
        <w:tc>
          <w:tcPr>
            <w:tcW w:w="1228" w:type="pct"/>
            <w:gridSpan w:val="2"/>
            <w:shd w:val="clear" w:color="auto" w:fill="D9D9D9"/>
          </w:tcPr>
          <w:p w14:paraId="695A7E90"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 xml:space="preserve">Budget </w:t>
            </w:r>
          </w:p>
        </w:tc>
        <w:tc>
          <w:tcPr>
            <w:tcW w:w="689" w:type="pct"/>
            <w:vMerge w:val="restart"/>
            <w:shd w:val="clear" w:color="auto" w:fill="D9D9D9"/>
          </w:tcPr>
          <w:p w14:paraId="4FB64D2D"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Nominal per cent change in 2017/18</w:t>
            </w:r>
          </w:p>
        </w:tc>
        <w:tc>
          <w:tcPr>
            <w:tcW w:w="647" w:type="pct"/>
            <w:vMerge w:val="restart"/>
            <w:shd w:val="clear" w:color="auto" w:fill="D9D9D9"/>
          </w:tcPr>
          <w:p w14:paraId="1FBBA2A6"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Real per cent change in 2017/18</w:t>
            </w:r>
          </w:p>
        </w:tc>
      </w:tr>
      <w:tr w:rsidR="00424B7B" w:rsidRPr="00424B7B" w14:paraId="7CA6F829" w14:textId="77777777" w:rsidTr="00424B7B">
        <w:trPr>
          <w:jc w:val="center"/>
        </w:trPr>
        <w:tc>
          <w:tcPr>
            <w:tcW w:w="2436" w:type="pct"/>
            <w:shd w:val="clear" w:color="auto" w:fill="auto"/>
          </w:tcPr>
          <w:p w14:paraId="5B305C16"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color w:val="auto"/>
                <w:spacing w:val="0"/>
                <w:sz w:val="24"/>
                <w:szCs w:val="22"/>
                <w:lang w:eastAsia="en-US"/>
              </w:rPr>
              <w:t>R million</w:t>
            </w:r>
          </w:p>
        </w:tc>
        <w:tc>
          <w:tcPr>
            <w:tcW w:w="614" w:type="pct"/>
            <w:shd w:val="clear" w:color="auto" w:fill="D9D9D9"/>
          </w:tcPr>
          <w:p w14:paraId="694990EE"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2016/17</w:t>
            </w:r>
          </w:p>
        </w:tc>
        <w:tc>
          <w:tcPr>
            <w:tcW w:w="614" w:type="pct"/>
            <w:shd w:val="clear" w:color="auto" w:fill="D9D9D9"/>
          </w:tcPr>
          <w:p w14:paraId="4649EB9A"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2017/18</w:t>
            </w:r>
          </w:p>
        </w:tc>
        <w:tc>
          <w:tcPr>
            <w:tcW w:w="689" w:type="pct"/>
            <w:vMerge/>
            <w:shd w:val="clear" w:color="auto" w:fill="D9D9D9"/>
          </w:tcPr>
          <w:p w14:paraId="1CE0576D"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p>
        </w:tc>
        <w:tc>
          <w:tcPr>
            <w:tcW w:w="647" w:type="pct"/>
            <w:vMerge/>
            <w:shd w:val="clear" w:color="auto" w:fill="D9D9D9"/>
          </w:tcPr>
          <w:p w14:paraId="6586BA53"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p>
        </w:tc>
      </w:tr>
      <w:tr w:rsidR="00424B7B" w:rsidRPr="00424B7B" w14:paraId="4E1BA0CB" w14:textId="77777777" w:rsidTr="00424B7B">
        <w:tblPrEx>
          <w:jc w:val="left"/>
        </w:tblPrEx>
        <w:tc>
          <w:tcPr>
            <w:tcW w:w="2436" w:type="pct"/>
          </w:tcPr>
          <w:p w14:paraId="2C8B4052"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 Heritage Promotion</w:t>
            </w:r>
          </w:p>
        </w:tc>
        <w:tc>
          <w:tcPr>
            <w:tcW w:w="614" w:type="pct"/>
          </w:tcPr>
          <w:p w14:paraId="752F5457"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93.1</w:t>
            </w:r>
          </w:p>
        </w:tc>
        <w:tc>
          <w:tcPr>
            <w:tcW w:w="614" w:type="pct"/>
          </w:tcPr>
          <w:p w14:paraId="33C3838B"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89.2</w:t>
            </w:r>
          </w:p>
        </w:tc>
        <w:tc>
          <w:tcPr>
            <w:tcW w:w="689" w:type="pct"/>
          </w:tcPr>
          <w:p w14:paraId="6E9A41BC"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-4.2%</w:t>
            </w:r>
          </w:p>
        </w:tc>
        <w:tc>
          <w:tcPr>
            <w:tcW w:w="647" w:type="pct"/>
          </w:tcPr>
          <w:p w14:paraId="2ED8CC20"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-9.9%</w:t>
            </w:r>
          </w:p>
        </w:tc>
      </w:tr>
      <w:tr w:rsidR="00424B7B" w:rsidRPr="00424B7B" w14:paraId="14A7D1D3" w14:textId="77777777" w:rsidTr="00424B7B">
        <w:tblPrEx>
          <w:jc w:val="left"/>
        </w:tblPrEx>
        <w:tc>
          <w:tcPr>
            <w:tcW w:w="2436" w:type="pct"/>
          </w:tcPr>
          <w:p w14:paraId="14F47C4B"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2: National Archive Services</w:t>
            </w:r>
          </w:p>
        </w:tc>
        <w:tc>
          <w:tcPr>
            <w:tcW w:w="614" w:type="pct"/>
          </w:tcPr>
          <w:p w14:paraId="0250F5FB"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43.0</w:t>
            </w:r>
          </w:p>
        </w:tc>
        <w:tc>
          <w:tcPr>
            <w:tcW w:w="614" w:type="pct"/>
          </w:tcPr>
          <w:p w14:paraId="76F96284"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44.8</w:t>
            </w:r>
          </w:p>
        </w:tc>
        <w:tc>
          <w:tcPr>
            <w:tcW w:w="689" w:type="pct"/>
          </w:tcPr>
          <w:p w14:paraId="584554F8"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4.2%</w:t>
            </w:r>
          </w:p>
        </w:tc>
        <w:tc>
          <w:tcPr>
            <w:tcW w:w="647" w:type="pct"/>
          </w:tcPr>
          <w:p w14:paraId="76D997F7"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-2.0%</w:t>
            </w:r>
          </w:p>
        </w:tc>
      </w:tr>
      <w:tr w:rsidR="00424B7B" w:rsidRPr="00424B7B" w14:paraId="3855A28E" w14:textId="77777777" w:rsidTr="00424B7B">
        <w:tblPrEx>
          <w:jc w:val="left"/>
        </w:tblPrEx>
        <w:tc>
          <w:tcPr>
            <w:tcW w:w="2436" w:type="pct"/>
          </w:tcPr>
          <w:p w14:paraId="05293F22"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3: Heritage Institutions</w:t>
            </w:r>
          </w:p>
        </w:tc>
        <w:tc>
          <w:tcPr>
            <w:tcW w:w="614" w:type="pct"/>
          </w:tcPr>
          <w:p w14:paraId="1A67A6AA"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610.9</w:t>
            </w:r>
          </w:p>
        </w:tc>
        <w:tc>
          <w:tcPr>
            <w:tcW w:w="614" w:type="pct"/>
          </w:tcPr>
          <w:p w14:paraId="15717AC9"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750.8</w:t>
            </w:r>
          </w:p>
        </w:tc>
        <w:tc>
          <w:tcPr>
            <w:tcW w:w="689" w:type="pct"/>
          </w:tcPr>
          <w:p w14:paraId="3D803F3F"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22.9%</w:t>
            </w:r>
          </w:p>
        </w:tc>
        <w:tc>
          <w:tcPr>
            <w:tcW w:w="647" w:type="pct"/>
          </w:tcPr>
          <w:p w14:paraId="7C071FA3"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15.6%</w:t>
            </w:r>
          </w:p>
        </w:tc>
      </w:tr>
      <w:tr w:rsidR="00424B7B" w:rsidRPr="00424B7B" w14:paraId="55ECDBEF" w14:textId="77777777" w:rsidTr="00424B7B">
        <w:tblPrEx>
          <w:jc w:val="left"/>
        </w:tblPrEx>
        <w:tc>
          <w:tcPr>
            <w:tcW w:w="2436" w:type="pct"/>
          </w:tcPr>
          <w:p w14:paraId="484A029E"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4: National Library Services</w:t>
            </w:r>
          </w:p>
        </w:tc>
        <w:tc>
          <w:tcPr>
            <w:tcW w:w="614" w:type="pct"/>
          </w:tcPr>
          <w:p w14:paraId="5A5349DA"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132.8</w:t>
            </w:r>
          </w:p>
        </w:tc>
        <w:tc>
          <w:tcPr>
            <w:tcW w:w="614" w:type="pct"/>
          </w:tcPr>
          <w:p w14:paraId="484523F6"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181.7</w:t>
            </w:r>
          </w:p>
        </w:tc>
        <w:tc>
          <w:tcPr>
            <w:tcW w:w="689" w:type="pct"/>
          </w:tcPr>
          <w:p w14:paraId="1F816032"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36.8%</w:t>
            </w:r>
          </w:p>
        </w:tc>
        <w:tc>
          <w:tcPr>
            <w:tcW w:w="647" w:type="pct"/>
          </w:tcPr>
          <w:p w14:paraId="4154311C"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28.7%</w:t>
            </w:r>
          </w:p>
        </w:tc>
      </w:tr>
      <w:tr w:rsidR="00424B7B" w:rsidRPr="00424B7B" w14:paraId="5145599A" w14:textId="77777777" w:rsidTr="00424B7B">
        <w:tblPrEx>
          <w:jc w:val="left"/>
        </w:tblPrEx>
        <w:tc>
          <w:tcPr>
            <w:tcW w:w="2436" w:type="pct"/>
          </w:tcPr>
          <w:p w14:paraId="7ABE34B7"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5: Public Library Services</w:t>
            </w:r>
          </w:p>
        </w:tc>
        <w:tc>
          <w:tcPr>
            <w:tcW w:w="614" w:type="pct"/>
          </w:tcPr>
          <w:p w14:paraId="6DF948F6"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1382.7</w:t>
            </w:r>
          </w:p>
        </w:tc>
        <w:tc>
          <w:tcPr>
            <w:tcW w:w="614" w:type="pct"/>
          </w:tcPr>
          <w:p w14:paraId="0F710892"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1447.2</w:t>
            </w:r>
          </w:p>
        </w:tc>
        <w:tc>
          <w:tcPr>
            <w:tcW w:w="689" w:type="pct"/>
          </w:tcPr>
          <w:p w14:paraId="7E627E9C"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4.7%</w:t>
            </w:r>
          </w:p>
        </w:tc>
        <w:tc>
          <w:tcPr>
            <w:tcW w:w="647" w:type="pct"/>
          </w:tcPr>
          <w:p w14:paraId="23A02202"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-1.5%</w:t>
            </w:r>
          </w:p>
        </w:tc>
      </w:tr>
      <w:tr w:rsidR="00424B7B" w:rsidRPr="00424B7B" w14:paraId="6C8D665D" w14:textId="77777777" w:rsidTr="00424B7B">
        <w:tblPrEx>
          <w:jc w:val="left"/>
        </w:tblPrEx>
        <w:tc>
          <w:tcPr>
            <w:tcW w:w="2436" w:type="pct"/>
          </w:tcPr>
          <w:p w14:paraId="6C8B4F98"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6: South African Heritage Resources Agency</w:t>
            </w:r>
          </w:p>
        </w:tc>
        <w:tc>
          <w:tcPr>
            <w:tcW w:w="614" w:type="pct"/>
          </w:tcPr>
          <w:p w14:paraId="37797494"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58.3</w:t>
            </w:r>
          </w:p>
        </w:tc>
        <w:tc>
          <w:tcPr>
            <w:tcW w:w="614" w:type="pct"/>
          </w:tcPr>
          <w:p w14:paraId="497A1D11"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59.9</w:t>
            </w:r>
          </w:p>
        </w:tc>
        <w:tc>
          <w:tcPr>
            <w:tcW w:w="689" w:type="pct"/>
          </w:tcPr>
          <w:p w14:paraId="6CBA0411"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2.7%</w:t>
            </w:r>
          </w:p>
        </w:tc>
        <w:tc>
          <w:tcPr>
            <w:tcW w:w="647" w:type="pct"/>
          </w:tcPr>
          <w:p w14:paraId="373AF9C9"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-3.3%</w:t>
            </w:r>
          </w:p>
        </w:tc>
      </w:tr>
      <w:tr w:rsidR="00424B7B" w:rsidRPr="00424B7B" w14:paraId="0B582207" w14:textId="77777777" w:rsidTr="00424B7B">
        <w:tblPrEx>
          <w:jc w:val="left"/>
        </w:tblPrEx>
        <w:tc>
          <w:tcPr>
            <w:tcW w:w="2436" w:type="pct"/>
          </w:tcPr>
          <w:p w14:paraId="079CEF88"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7: South African Geographical Names Council</w:t>
            </w:r>
          </w:p>
        </w:tc>
        <w:tc>
          <w:tcPr>
            <w:tcW w:w="614" w:type="pct"/>
          </w:tcPr>
          <w:p w14:paraId="2A9DDDB2"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4.4</w:t>
            </w:r>
          </w:p>
        </w:tc>
        <w:tc>
          <w:tcPr>
            <w:tcW w:w="614" w:type="pct"/>
          </w:tcPr>
          <w:p w14:paraId="054EAC5E"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4.9</w:t>
            </w:r>
          </w:p>
        </w:tc>
        <w:tc>
          <w:tcPr>
            <w:tcW w:w="689" w:type="pct"/>
          </w:tcPr>
          <w:p w14:paraId="36373631"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11.4%</w:t>
            </w:r>
          </w:p>
        </w:tc>
        <w:tc>
          <w:tcPr>
            <w:tcW w:w="647" w:type="pct"/>
          </w:tcPr>
          <w:p w14:paraId="7F26B76F"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4.8%</w:t>
            </w:r>
          </w:p>
        </w:tc>
      </w:tr>
      <w:tr w:rsidR="00424B7B" w:rsidRPr="00424B7B" w14:paraId="6BD1E69A" w14:textId="77777777" w:rsidTr="00424B7B">
        <w:tblPrEx>
          <w:jc w:val="left"/>
        </w:tblPrEx>
        <w:tc>
          <w:tcPr>
            <w:tcW w:w="2436" w:type="pct"/>
          </w:tcPr>
          <w:p w14:paraId="4F1E0E08"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8: National Heritage Council</w:t>
            </w:r>
          </w:p>
        </w:tc>
        <w:tc>
          <w:tcPr>
            <w:tcW w:w="614" w:type="pct"/>
          </w:tcPr>
          <w:p w14:paraId="4F0D182E"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82.7</w:t>
            </w:r>
          </w:p>
        </w:tc>
        <w:tc>
          <w:tcPr>
            <w:tcW w:w="614" w:type="pct"/>
          </w:tcPr>
          <w:p w14:paraId="44657D4B"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color w:val="auto"/>
                <w:spacing w:val="0"/>
                <w:sz w:val="24"/>
                <w:szCs w:val="22"/>
                <w:lang w:eastAsia="en-US"/>
              </w:rPr>
              <w:t>64.7</w:t>
            </w:r>
          </w:p>
        </w:tc>
        <w:tc>
          <w:tcPr>
            <w:tcW w:w="689" w:type="pct"/>
          </w:tcPr>
          <w:p w14:paraId="04848542"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-21.8%</w:t>
            </w:r>
          </w:p>
        </w:tc>
        <w:tc>
          <w:tcPr>
            <w:tcW w:w="647" w:type="pct"/>
          </w:tcPr>
          <w:p w14:paraId="6AF8F4BD" w14:textId="77777777" w:rsidR="00424B7B" w:rsidRPr="00424B7B" w:rsidRDefault="00424B7B" w:rsidP="00424B7B">
            <w:pPr>
              <w:spacing w:line="360" w:lineRule="auto"/>
              <w:jc w:val="both"/>
              <w:rPr>
                <w:rFonts w:ascii="Times New Roman" w:eastAsia="Calibri" w:hAnsi="Times New Roman"/>
                <w:color w:val="auto"/>
                <w:spacing w:val="0"/>
                <w:sz w:val="24"/>
                <w:szCs w:val="22"/>
                <w:lang w:eastAsia="en-US"/>
              </w:rPr>
            </w:pPr>
            <w:r w:rsidRPr="00424B7B">
              <w:rPr>
                <w:rFonts w:ascii="Times New Roman" w:eastAsia="Calibri" w:hAnsi="Times New Roman"/>
                <w:color w:val="auto"/>
                <w:spacing w:val="0"/>
                <w:sz w:val="24"/>
                <w:szCs w:val="22"/>
                <w:lang w:eastAsia="en-US"/>
              </w:rPr>
              <w:t>-26.4%</w:t>
            </w:r>
          </w:p>
        </w:tc>
      </w:tr>
      <w:tr w:rsidR="00424B7B" w:rsidRPr="00424B7B" w14:paraId="6EDB7FC4" w14:textId="77777777" w:rsidTr="00424B7B">
        <w:tblPrEx>
          <w:jc w:val="left"/>
        </w:tblPrEx>
        <w:tc>
          <w:tcPr>
            <w:tcW w:w="2436" w:type="pct"/>
          </w:tcPr>
          <w:p w14:paraId="6E888A2B"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TOTAL</w:t>
            </w:r>
          </w:p>
        </w:tc>
        <w:tc>
          <w:tcPr>
            <w:tcW w:w="614" w:type="pct"/>
          </w:tcPr>
          <w:p w14:paraId="072986F1"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2407.9</w:t>
            </w:r>
          </w:p>
        </w:tc>
        <w:tc>
          <w:tcPr>
            <w:tcW w:w="614" w:type="pct"/>
          </w:tcPr>
          <w:p w14:paraId="5F2A6DA4"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2643.1</w:t>
            </w:r>
          </w:p>
        </w:tc>
        <w:tc>
          <w:tcPr>
            <w:tcW w:w="689" w:type="pct"/>
          </w:tcPr>
          <w:p w14:paraId="79BD1F37"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9.8</w:t>
            </w:r>
            <w:r w:rsidRPr="00424B7B">
              <w:rPr>
                <w:rFonts w:ascii="Times New Roman" w:eastAsia="Calibri" w:hAnsi="Times New Roman"/>
                <w:color w:val="auto"/>
                <w:spacing w:val="0"/>
                <w:sz w:val="24"/>
                <w:szCs w:val="22"/>
                <w:lang w:eastAsia="en-US"/>
              </w:rPr>
              <w:t>%</w:t>
            </w:r>
          </w:p>
        </w:tc>
        <w:tc>
          <w:tcPr>
            <w:tcW w:w="647" w:type="pct"/>
          </w:tcPr>
          <w:p w14:paraId="67637DBC" w14:textId="77777777" w:rsidR="00424B7B" w:rsidRPr="00424B7B" w:rsidRDefault="00424B7B" w:rsidP="00424B7B">
            <w:pPr>
              <w:spacing w:line="360" w:lineRule="auto"/>
              <w:jc w:val="both"/>
              <w:rPr>
                <w:rFonts w:ascii="Times New Roman" w:eastAsia="Calibri" w:hAnsi="Times New Roman"/>
                <w:b/>
                <w:color w:val="auto"/>
                <w:spacing w:val="0"/>
                <w:sz w:val="24"/>
                <w:szCs w:val="22"/>
                <w:lang w:eastAsia="en-US"/>
              </w:rPr>
            </w:pPr>
            <w:r w:rsidRPr="00424B7B">
              <w:rPr>
                <w:rFonts w:ascii="Times New Roman" w:eastAsia="Calibri" w:hAnsi="Times New Roman"/>
                <w:b/>
                <w:color w:val="auto"/>
                <w:spacing w:val="0"/>
                <w:sz w:val="24"/>
                <w:szCs w:val="22"/>
                <w:lang w:eastAsia="en-US"/>
              </w:rPr>
              <w:t>3.3</w:t>
            </w:r>
            <w:r w:rsidRPr="00424B7B">
              <w:rPr>
                <w:rFonts w:ascii="Times New Roman" w:eastAsia="Calibri" w:hAnsi="Times New Roman"/>
                <w:color w:val="auto"/>
                <w:spacing w:val="0"/>
                <w:sz w:val="24"/>
                <w:szCs w:val="22"/>
                <w:lang w:eastAsia="en-US"/>
              </w:rPr>
              <w:t>%</w:t>
            </w:r>
          </w:p>
        </w:tc>
      </w:tr>
    </w:tbl>
    <w:p w14:paraId="75C186AC"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p>
    <w:p w14:paraId="1C587A16"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r w:rsidRPr="00424B7B">
        <w:rPr>
          <w:rFonts w:ascii="Times New Roman" w:eastAsia="Calibri" w:hAnsi="Times New Roman"/>
          <w:color w:val="auto"/>
          <w:spacing w:val="0"/>
          <w:sz w:val="24"/>
          <w:szCs w:val="22"/>
          <w:lang w:val="en-ZA" w:eastAsia="en-US"/>
        </w:rPr>
        <w:t xml:space="preserve">The budget allocation for sub-programme 3 has increased from R610.9 in 2016/17 to R750.8 million in 2017/18. Adjusted for inflation, this represents an increase of 15.6 per cent. Conversely, the budget allocation for the National Heritage Council (NHC) sees a reduction when compared to 2016/17. For the previous financial year, the adjusted appropriation was R82.7 </w:t>
      </w:r>
      <w:proofErr w:type="gramStart"/>
      <w:r w:rsidRPr="00424B7B">
        <w:rPr>
          <w:rFonts w:ascii="Times New Roman" w:eastAsia="Calibri" w:hAnsi="Times New Roman"/>
          <w:color w:val="auto"/>
          <w:spacing w:val="0"/>
          <w:sz w:val="24"/>
          <w:szCs w:val="22"/>
          <w:lang w:val="en-ZA" w:eastAsia="en-US"/>
        </w:rPr>
        <w:t>million,</w:t>
      </w:r>
      <w:proofErr w:type="gramEnd"/>
      <w:r w:rsidRPr="00424B7B">
        <w:rPr>
          <w:rFonts w:ascii="Times New Roman" w:eastAsia="Calibri" w:hAnsi="Times New Roman"/>
          <w:color w:val="auto"/>
          <w:spacing w:val="0"/>
          <w:sz w:val="24"/>
          <w:szCs w:val="22"/>
          <w:lang w:val="en-ZA" w:eastAsia="en-US"/>
        </w:rPr>
        <w:t xml:space="preserve"> however the allocation has been reduced to R64.7 million in the current financial year, as reflected in Table 10 above.</w:t>
      </w:r>
    </w:p>
    <w:p w14:paraId="09504C60" w14:textId="77777777"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p>
    <w:p w14:paraId="688EC30F" w14:textId="6E5CC8CD" w:rsidR="00424B7B" w:rsidRPr="00424B7B" w:rsidRDefault="00424B7B" w:rsidP="00424B7B">
      <w:pPr>
        <w:spacing w:line="360" w:lineRule="auto"/>
        <w:jc w:val="both"/>
        <w:rPr>
          <w:rFonts w:ascii="Times New Roman" w:eastAsia="Calibri" w:hAnsi="Times New Roman"/>
          <w:color w:val="auto"/>
          <w:spacing w:val="0"/>
          <w:sz w:val="24"/>
          <w:szCs w:val="22"/>
          <w:lang w:val="en-ZA" w:eastAsia="en-US"/>
        </w:rPr>
      </w:pPr>
      <w:r w:rsidRPr="00424B7B">
        <w:rPr>
          <w:rFonts w:ascii="Times New Roman" w:eastAsia="Calibri" w:hAnsi="Times New Roman"/>
          <w:color w:val="auto"/>
          <w:spacing w:val="0"/>
          <w:sz w:val="24"/>
          <w:szCs w:val="22"/>
          <w:lang w:val="en-ZA" w:eastAsia="en-US"/>
        </w:rPr>
        <w:t>The National Library Services sub-programme reflects a nominal increase of 36.8 per cent. In the 2016 budget, it was indicated that a once-off allocation of R32 million in the 2017/18 financial year would be approved for compliance with the Generally Recognised Accounting Practice (GRAP) 103 accounting for heritage assets.</w:t>
      </w:r>
      <w:r w:rsidRPr="00424B7B">
        <w:rPr>
          <w:rFonts w:ascii="Times New Roman" w:eastAsia="Calibri" w:hAnsi="Times New Roman"/>
          <w:color w:val="auto"/>
          <w:spacing w:val="0"/>
          <w:sz w:val="24"/>
          <w:szCs w:val="22"/>
          <w:vertAlign w:val="superscript"/>
          <w:lang w:val="en-ZA" w:eastAsia="en-US"/>
        </w:rPr>
        <w:footnoteReference w:id="19"/>
      </w:r>
      <w:r w:rsidRPr="00424B7B">
        <w:rPr>
          <w:rFonts w:ascii="Times New Roman" w:eastAsia="Calibri" w:hAnsi="Times New Roman"/>
          <w:color w:val="auto"/>
          <w:spacing w:val="0"/>
          <w:sz w:val="24"/>
          <w:szCs w:val="22"/>
          <w:lang w:val="en-ZA" w:eastAsia="en-US"/>
        </w:rPr>
        <w:t xml:space="preserve"> Similarly, the 2016 Budget indicated that an approved amount of R160 million will be allocated to museums in 2017/18 to address the issue of compliance with GRAP.</w:t>
      </w:r>
      <w:r w:rsidRPr="00424B7B">
        <w:rPr>
          <w:rFonts w:ascii="Times New Roman" w:eastAsia="Calibri" w:hAnsi="Times New Roman"/>
          <w:color w:val="auto"/>
          <w:spacing w:val="0"/>
          <w:sz w:val="24"/>
          <w:szCs w:val="22"/>
          <w:vertAlign w:val="superscript"/>
          <w:lang w:val="en-ZA" w:eastAsia="en-US"/>
        </w:rPr>
        <w:footnoteReference w:id="20"/>
      </w:r>
    </w:p>
    <w:p w14:paraId="47DDFB87" w14:textId="77777777" w:rsidR="008607BA" w:rsidRPr="00A547BB" w:rsidRDefault="008607BA" w:rsidP="00A547BB">
      <w:pPr>
        <w:spacing w:line="360" w:lineRule="auto"/>
        <w:jc w:val="both"/>
        <w:rPr>
          <w:rFonts w:ascii="Times New Roman" w:hAnsi="Times New Roman"/>
          <w:b/>
          <w:spacing w:val="0"/>
          <w:sz w:val="24"/>
          <w:szCs w:val="22"/>
          <w:lang w:val="en-ZA"/>
        </w:rPr>
      </w:pPr>
    </w:p>
    <w:p w14:paraId="2A074528" w14:textId="77777777" w:rsidR="008607BA" w:rsidRPr="00A547BB" w:rsidRDefault="00A82B6D" w:rsidP="00A547BB">
      <w:pPr>
        <w:tabs>
          <w:tab w:val="left" w:pos="709"/>
        </w:tabs>
        <w:spacing w:after="200" w:line="360" w:lineRule="auto"/>
        <w:contextualSpacing/>
        <w:jc w:val="both"/>
        <w:rPr>
          <w:rFonts w:ascii="Times New Roman" w:hAnsi="Times New Roman"/>
          <w:b/>
          <w:spacing w:val="0"/>
          <w:sz w:val="24"/>
          <w:szCs w:val="22"/>
        </w:rPr>
      </w:pPr>
      <w:r w:rsidRPr="00A547BB">
        <w:rPr>
          <w:rFonts w:ascii="Times New Roman" w:hAnsi="Times New Roman"/>
          <w:b/>
          <w:spacing w:val="0"/>
          <w:sz w:val="24"/>
          <w:szCs w:val="22"/>
        </w:rPr>
        <w:t>8</w:t>
      </w:r>
      <w:r w:rsidR="006247DE" w:rsidRPr="00A547BB">
        <w:rPr>
          <w:rFonts w:ascii="Times New Roman" w:hAnsi="Times New Roman"/>
          <w:b/>
          <w:spacing w:val="0"/>
          <w:sz w:val="24"/>
          <w:szCs w:val="22"/>
        </w:rPr>
        <w:t xml:space="preserve">.        </w:t>
      </w:r>
      <w:r w:rsidR="00542999" w:rsidRPr="00A547BB">
        <w:rPr>
          <w:rFonts w:ascii="Times New Roman" w:hAnsi="Times New Roman"/>
          <w:b/>
          <w:spacing w:val="0"/>
          <w:sz w:val="24"/>
          <w:szCs w:val="22"/>
        </w:rPr>
        <w:t>Recurring issues</w:t>
      </w:r>
      <w:r w:rsidR="00E9652F" w:rsidRPr="00A547BB">
        <w:rPr>
          <w:rFonts w:ascii="Times New Roman" w:hAnsi="Times New Roman"/>
          <w:b/>
          <w:spacing w:val="0"/>
          <w:sz w:val="24"/>
          <w:szCs w:val="22"/>
        </w:rPr>
        <w:t xml:space="preserve"> and Committee findings</w:t>
      </w:r>
    </w:p>
    <w:p w14:paraId="73F4E492" w14:textId="77777777" w:rsidR="00910CBE" w:rsidRPr="00A547BB" w:rsidRDefault="00910CBE" w:rsidP="00A547BB">
      <w:pPr>
        <w:tabs>
          <w:tab w:val="left" w:pos="709"/>
        </w:tabs>
        <w:spacing w:after="200" w:line="360" w:lineRule="auto"/>
        <w:contextualSpacing/>
        <w:jc w:val="both"/>
        <w:rPr>
          <w:rFonts w:ascii="Times New Roman" w:hAnsi="Times New Roman"/>
          <w:spacing w:val="0"/>
          <w:sz w:val="24"/>
          <w:szCs w:val="22"/>
        </w:rPr>
      </w:pPr>
      <w:r w:rsidRPr="00A547BB">
        <w:rPr>
          <w:rFonts w:ascii="Times New Roman" w:hAnsi="Times New Roman"/>
          <w:spacing w:val="0"/>
          <w:sz w:val="24"/>
          <w:szCs w:val="22"/>
        </w:rPr>
        <w:t>During the process of considering the 2017</w:t>
      </w:r>
      <w:r w:rsidR="00424B7B">
        <w:rPr>
          <w:rFonts w:ascii="Times New Roman" w:hAnsi="Times New Roman"/>
          <w:spacing w:val="0"/>
          <w:sz w:val="24"/>
          <w:szCs w:val="22"/>
        </w:rPr>
        <w:t>/18</w:t>
      </w:r>
      <w:r w:rsidRPr="00A547BB">
        <w:rPr>
          <w:rFonts w:ascii="Times New Roman" w:hAnsi="Times New Roman"/>
          <w:spacing w:val="0"/>
          <w:sz w:val="24"/>
          <w:szCs w:val="22"/>
        </w:rPr>
        <w:t xml:space="preserve"> APP of the Department and its entities the following recurring issues were identified:</w:t>
      </w:r>
    </w:p>
    <w:p w14:paraId="14F1BB77" w14:textId="77777777" w:rsidR="00CC0A77" w:rsidRPr="00A547BB" w:rsidRDefault="00CC0A77" w:rsidP="00A547BB">
      <w:pPr>
        <w:tabs>
          <w:tab w:val="left" w:pos="709"/>
        </w:tabs>
        <w:spacing w:after="200" w:line="360" w:lineRule="auto"/>
        <w:contextualSpacing/>
        <w:jc w:val="both"/>
        <w:rPr>
          <w:rFonts w:ascii="Times New Roman" w:hAnsi="Times New Roman"/>
          <w:spacing w:val="0"/>
          <w:sz w:val="24"/>
          <w:szCs w:val="22"/>
        </w:rPr>
      </w:pPr>
    </w:p>
    <w:p w14:paraId="18B1729D" w14:textId="77777777" w:rsidR="00A55BFA" w:rsidRDefault="00A82B6D" w:rsidP="00881D8B">
      <w:pPr>
        <w:tabs>
          <w:tab w:val="left" w:pos="709"/>
        </w:tabs>
        <w:spacing w:after="200" w:line="360" w:lineRule="auto"/>
        <w:contextualSpacing/>
        <w:jc w:val="both"/>
        <w:rPr>
          <w:rFonts w:ascii="Times New Roman" w:hAnsi="Times New Roman"/>
          <w:spacing w:val="0"/>
          <w:sz w:val="24"/>
          <w:szCs w:val="22"/>
        </w:rPr>
      </w:pPr>
      <w:r w:rsidRPr="00A547BB">
        <w:rPr>
          <w:rFonts w:ascii="Times New Roman" w:hAnsi="Times New Roman"/>
          <w:b/>
          <w:spacing w:val="0"/>
          <w:sz w:val="24"/>
          <w:szCs w:val="22"/>
        </w:rPr>
        <w:t>8</w:t>
      </w:r>
      <w:r w:rsidR="00CC0A77" w:rsidRPr="00A547BB">
        <w:rPr>
          <w:rFonts w:ascii="Times New Roman" w:hAnsi="Times New Roman"/>
          <w:b/>
          <w:spacing w:val="0"/>
          <w:sz w:val="24"/>
          <w:szCs w:val="22"/>
        </w:rPr>
        <w:t>.1</w:t>
      </w:r>
      <w:r w:rsidR="00A55BFA">
        <w:rPr>
          <w:rFonts w:ascii="Times New Roman" w:hAnsi="Times New Roman"/>
          <w:b/>
          <w:spacing w:val="0"/>
          <w:sz w:val="24"/>
          <w:szCs w:val="22"/>
        </w:rPr>
        <w:t xml:space="preserve"> </w:t>
      </w:r>
      <w:r w:rsidR="00A55BFA">
        <w:rPr>
          <w:rFonts w:ascii="Times New Roman" w:hAnsi="Times New Roman"/>
          <w:b/>
          <w:spacing w:val="0"/>
          <w:sz w:val="24"/>
          <w:szCs w:val="22"/>
        </w:rPr>
        <w:tab/>
      </w:r>
      <w:r w:rsidR="00EF406E">
        <w:rPr>
          <w:rFonts w:ascii="Times New Roman" w:hAnsi="Times New Roman"/>
          <w:b/>
          <w:spacing w:val="0"/>
          <w:sz w:val="24"/>
          <w:szCs w:val="22"/>
        </w:rPr>
        <w:t>Delayed a</w:t>
      </w:r>
      <w:r w:rsidR="00A55BFA" w:rsidRPr="009E6AF6">
        <w:rPr>
          <w:rFonts w:ascii="Times New Roman" w:hAnsi="Times New Roman"/>
          <w:b/>
          <w:spacing w:val="0"/>
          <w:sz w:val="24"/>
          <w:szCs w:val="22"/>
        </w:rPr>
        <w:t>ppointment of the Director General</w:t>
      </w:r>
      <w:r w:rsidR="00A55BFA">
        <w:rPr>
          <w:rFonts w:ascii="Times New Roman" w:hAnsi="Times New Roman"/>
          <w:spacing w:val="0"/>
          <w:sz w:val="24"/>
          <w:szCs w:val="22"/>
        </w:rPr>
        <w:t xml:space="preserve"> </w:t>
      </w:r>
    </w:p>
    <w:p w14:paraId="6A86B538" w14:textId="77777777" w:rsidR="009E6AF6" w:rsidRDefault="00D35AED" w:rsidP="00881D8B">
      <w:pPr>
        <w:tabs>
          <w:tab w:val="left" w:pos="709"/>
        </w:tabs>
        <w:spacing w:after="200" w:line="360" w:lineRule="auto"/>
        <w:contextualSpacing/>
        <w:jc w:val="both"/>
        <w:rPr>
          <w:rFonts w:ascii="Times New Roman" w:hAnsi="Times New Roman"/>
          <w:spacing w:val="0"/>
          <w:sz w:val="24"/>
          <w:szCs w:val="22"/>
        </w:rPr>
      </w:pPr>
      <w:r>
        <w:rPr>
          <w:rFonts w:ascii="Times New Roman" w:hAnsi="Times New Roman"/>
          <w:spacing w:val="0"/>
          <w:sz w:val="24"/>
          <w:szCs w:val="22"/>
        </w:rPr>
        <w:t xml:space="preserve">The Department has not yet appointed the </w:t>
      </w:r>
      <w:r w:rsidR="009E6AF6">
        <w:rPr>
          <w:rFonts w:ascii="Times New Roman" w:hAnsi="Times New Roman"/>
          <w:spacing w:val="0"/>
          <w:sz w:val="24"/>
          <w:szCs w:val="22"/>
        </w:rPr>
        <w:t>Director</w:t>
      </w:r>
      <w:r>
        <w:rPr>
          <w:rFonts w:ascii="Times New Roman" w:hAnsi="Times New Roman"/>
          <w:spacing w:val="0"/>
          <w:sz w:val="24"/>
          <w:szCs w:val="22"/>
        </w:rPr>
        <w:t xml:space="preserve"> General</w:t>
      </w:r>
      <w:r w:rsidR="009E6AF6">
        <w:rPr>
          <w:rFonts w:ascii="Times New Roman" w:hAnsi="Times New Roman"/>
          <w:spacing w:val="0"/>
          <w:sz w:val="24"/>
          <w:szCs w:val="22"/>
        </w:rPr>
        <w:t xml:space="preserve">. The Committee is very concerned that after three years the Department has not yet appointed </w:t>
      </w:r>
      <w:r w:rsidR="00AA51E3">
        <w:rPr>
          <w:rFonts w:ascii="Times New Roman" w:hAnsi="Times New Roman"/>
          <w:spacing w:val="0"/>
          <w:sz w:val="24"/>
          <w:szCs w:val="22"/>
        </w:rPr>
        <w:t>a</w:t>
      </w:r>
      <w:r w:rsidR="009E6AF6">
        <w:rPr>
          <w:rFonts w:ascii="Times New Roman" w:hAnsi="Times New Roman"/>
          <w:spacing w:val="0"/>
          <w:sz w:val="24"/>
          <w:szCs w:val="22"/>
        </w:rPr>
        <w:t xml:space="preserve"> Director General.  </w:t>
      </w:r>
      <w:r>
        <w:rPr>
          <w:rFonts w:ascii="Times New Roman" w:hAnsi="Times New Roman"/>
          <w:spacing w:val="0"/>
          <w:sz w:val="24"/>
          <w:szCs w:val="22"/>
        </w:rPr>
        <w:t xml:space="preserve">  </w:t>
      </w:r>
    </w:p>
    <w:p w14:paraId="4CE30A6C" w14:textId="77777777" w:rsidR="00D35AED" w:rsidRDefault="00D35AED" w:rsidP="00881D8B">
      <w:pPr>
        <w:tabs>
          <w:tab w:val="left" w:pos="709"/>
        </w:tabs>
        <w:spacing w:after="200" w:line="360" w:lineRule="auto"/>
        <w:contextualSpacing/>
        <w:jc w:val="both"/>
        <w:rPr>
          <w:rFonts w:ascii="Times New Roman" w:hAnsi="Times New Roman"/>
          <w:spacing w:val="0"/>
          <w:sz w:val="24"/>
          <w:szCs w:val="22"/>
        </w:rPr>
      </w:pPr>
      <w:r>
        <w:rPr>
          <w:rFonts w:ascii="Times New Roman" w:hAnsi="Times New Roman"/>
          <w:spacing w:val="0"/>
          <w:sz w:val="24"/>
          <w:szCs w:val="22"/>
        </w:rPr>
        <w:t xml:space="preserve"> </w:t>
      </w:r>
    </w:p>
    <w:p w14:paraId="3D13AC59" w14:textId="77777777" w:rsidR="00A55BFA" w:rsidRDefault="00A55BFA" w:rsidP="00881D8B">
      <w:pPr>
        <w:tabs>
          <w:tab w:val="left" w:pos="709"/>
        </w:tabs>
        <w:spacing w:after="200" w:line="360" w:lineRule="auto"/>
        <w:contextualSpacing/>
        <w:jc w:val="both"/>
        <w:rPr>
          <w:rFonts w:ascii="Times New Roman" w:hAnsi="Times New Roman"/>
          <w:b/>
          <w:spacing w:val="0"/>
          <w:sz w:val="24"/>
          <w:szCs w:val="22"/>
        </w:rPr>
      </w:pPr>
      <w:r w:rsidRPr="009E6AF6">
        <w:rPr>
          <w:rFonts w:ascii="Times New Roman" w:hAnsi="Times New Roman"/>
          <w:b/>
          <w:spacing w:val="0"/>
          <w:sz w:val="24"/>
          <w:szCs w:val="22"/>
        </w:rPr>
        <w:t xml:space="preserve">8.2       </w:t>
      </w:r>
      <w:r w:rsidR="00EF406E">
        <w:rPr>
          <w:rFonts w:ascii="Times New Roman" w:hAnsi="Times New Roman"/>
          <w:b/>
          <w:spacing w:val="0"/>
          <w:sz w:val="24"/>
          <w:szCs w:val="22"/>
        </w:rPr>
        <w:t xml:space="preserve">Compliance with </w:t>
      </w:r>
      <w:r w:rsidRPr="009E6AF6">
        <w:rPr>
          <w:rFonts w:ascii="Times New Roman" w:hAnsi="Times New Roman"/>
          <w:b/>
          <w:spacing w:val="0"/>
          <w:sz w:val="24"/>
          <w:szCs w:val="22"/>
        </w:rPr>
        <w:t>G</w:t>
      </w:r>
      <w:r w:rsidR="00EF406E">
        <w:rPr>
          <w:rFonts w:ascii="Times New Roman" w:hAnsi="Times New Roman"/>
          <w:b/>
          <w:spacing w:val="0"/>
          <w:sz w:val="24"/>
          <w:szCs w:val="22"/>
        </w:rPr>
        <w:t xml:space="preserve">enerally </w:t>
      </w:r>
      <w:r w:rsidRPr="009E6AF6">
        <w:rPr>
          <w:rFonts w:ascii="Times New Roman" w:hAnsi="Times New Roman"/>
          <w:b/>
          <w:spacing w:val="0"/>
          <w:sz w:val="24"/>
          <w:szCs w:val="22"/>
        </w:rPr>
        <w:t>R</w:t>
      </w:r>
      <w:r w:rsidR="00EF406E">
        <w:rPr>
          <w:rFonts w:ascii="Times New Roman" w:hAnsi="Times New Roman"/>
          <w:b/>
          <w:spacing w:val="0"/>
          <w:sz w:val="24"/>
          <w:szCs w:val="22"/>
        </w:rPr>
        <w:t xml:space="preserve">ecognised </w:t>
      </w:r>
      <w:r w:rsidRPr="009E6AF6">
        <w:rPr>
          <w:rFonts w:ascii="Times New Roman" w:hAnsi="Times New Roman"/>
          <w:b/>
          <w:spacing w:val="0"/>
          <w:sz w:val="24"/>
          <w:szCs w:val="22"/>
        </w:rPr>
        <w:t>A</w:t>
      </w:r>
      <w:r w:rsidR="00EF406E">
        <w:rPr>
          <w:rFonts w:ascii="Times New Roman" w:hAnsi="Times New Roman"/>
          <w:b/>
          <w:spacing w:val="0"/>
          <w:sz w:val="24"/>
          <w:szCs w:val="22"/>
        </w:rPr>
        <w:t xml:space="preserve">ccounting </w:t>
      </w:r>
      <w:r w:rsidRPr="009E6AF6">
        <w:rPr>
          <w:rFonts w:ascii="Times New Roman" w:hAnsi="Times New Roman"/>
          <w:b/>
          <w:spacing w:val="0"/>
          <w:sz w:val="24"/>
          <w:szCs w:val="22"/>
        </w:rPr>
        <w:t>P</w:t>
      </w:r>
      <w:r w:rsidR="00EF406E">
        <w:rPr>
          <w:rFonts w:ascii="Times New Roman" w:hAnsi="Times New Roman"/>
          <w:b/>
          <w:spacing w:val="0"/>
          <w:sz w:val="24"/>
          <w:szCs w:val="22"/>
        </w:rPr>
        <w:t>ractices</w:t>
      </w:r>
      <w:r w:rsidRPr="009E6AF6">
        <w:rPr>
          <w:rFonts w:ascii="Times New Roman" w:hAnsi="Times New Roman"/>
          <w:b/>
          <w:spacing w:val="0"/>
          <w:sz w:val="24"/>
          <w:szCs w:val="22"/>
        </w:rPr>
        <w:t xml:space="preserve"> 103</w:t>
      </w:r>
    </w:p>
    <w:p w14:paraId="36C7A760" w14:textId="77777777" w:rsidR="00EF406E" w:rsidRDefault="009E6AF6" w:rsidP="00881D8B">
      <w:pPr>
        <w:tabs>
          <w:tab w:val="left" w:pos="709"/>
        </w:tabs>
        <w:spacing w:after="200" w:line="360" w:lineRule="auto"/>
        <w:contextualSpacing/>
        <w:jc w:val="both"/>
        <w:rPr>
          <w:rFonts w:ascii="Times New Roman" w:hAnsi="Times New Roman"/>
          <w:spacing w:val="0"/>
          <w:sz w:val="24"/>
          <w:szCs w:val="22"/>
        </w:rPr>
      </w:pPr>
      <w:r w:rsidRPr="009E6AF6">
        <w:rPr>
          <w:rFonts w:ascii="Times New Roman" w:hAnsi="Times New Roman"/>
          <w:spacing w:val="0"/>
          <w:sz w:val="24"/>
          <w:szCs w:val="22"/>
        </w:rPr>
        <w:t xml:space="preserve">The </w:t>
      </w:r>
      <w:r>
        <w:rPr>
          <w:rFonts w:ascii="Times New Roman" w:hAnsi="Times New Roman"/>
          <w:spacing w:val="0"/>
          <w:sz w:val="24"/>
          <w:szCs w:val="22"/>
        </w:rPr>
        <w:t xml:space="preserve">Committee raised concern with the noncompliance of the entities with GRAP 103. The Committee also raised concern that the accounting standard was affecting the audit outcomes of the entities.   </w:t>
      </w:r>
    </w:p>
    <w:p w14:paraId="246CEDEF" w14:textId="77777777" w:rsidR="009E6AF6" w:rsidRDefault="009E6AF6" w:rsidP="00881D8B">
      <w:pPr>
        <w:tabs>
          <w:tab w:val="left" w:pos="709"/>
        </w:tabs>
        <w:spacing w:after="200" w:line="360" w:lineRule="auto"/>
        <w:contextualSpacing/>
        <w:jc w:val="both"/>
        <w:rPr>
          <w:rFonts w:ascii="Times New Roman" w:hAnsi="Times New Roman"/>
          <w:spacing w:val="0"/>
          <w:sz w:val="24"/>
          <w:szCs w:val="22"/>
        </w:rPr>
      </w:pPr>
      <w:r>
        <w:rPr>
          <w:rFonts w:ascii="Times New Roman" w:hAnsi="Times New Roman"/>
          <w:spacing w:val="0"/>
          <w:sz w:val="24"/>
          <w:szCs w:val="22"/>
        </w:rPr>
        <w:t xml:space="preserve"> </w:t>
      </w:r>
    </w:p>
    <w:p w14:paraId="01F0BE6C" w14:textId="77777777" w:rsidR="009E6AF6" w:rsidRPr="009E6AF6" w:rsidRDefault="009E6AF6" w:rsidP="00881D8B">
      <w:pPr>
        <w:tabs>
          <w:tab w:val="left" w:pos="709"/>
        </w:tabs>
        <w:spacing w:after="200" w:line="360" w:lineRule="auto"/>
        <w:contextualSpacing/>
        <w:jc w:val="both"/>
        <w:rPr>
          <w:rFonts w:ascii="Times New Roman" w:hAnsi="Times New Roman"/>
          <w:spacing w:val="0"/>
          <w:sz w:val="24"/>
          <w:szCs w:val="22"/>
        </w:rPr>
      </w:pPr>
      <w:r w:rsidRPr="009E6AF6">
        <w:rPr>
          <w:rFonts w:ascii="Times New Roman" w:hAnsi="Times New Roman"/>
          <w:b/>
          <w:spacing w:val="0"/>
          <w:sz w:val="24"/>
          <w:szCs w:val="22"/>
        </w:rPr>
        <w:t>8.</w:t>
      </w:r>
      <w:r w:rsidR="00275440">
        <w:rPr>
          <w:rFonts w:ascii="Times New Roman" w:hAnsi="Times New Roman"/>
          <w:b/>
          <w:spacing w:val="0"/>
          <w:sz w:val="24"/>
          <w:szCs w:val="22"/>
        </w:rPr>
        <w:t>3</w:t>
      </w:r>
      <w:r w:rsidR="00275440" w:rsidRPr="009E6AF6">
        <w:rPr>
          <w:rFonts w:ascii="Times New Roman" w:hAnsi="Times New Roman"/>
          <w:b/>
          <w:spacing w:val="0"/>
          <w:sz w:val="24"/>
          <w:szCs w:val="22"/>
        </w:rPr>
        <w:t xml:space="preserve">       </w:t>
      </w:r>
      <w:r w:rsidR="00EF406E">
        <w:rPr>
          <w:rFonts w:ascii="Times New Roman" w:hAnsi="Times New Roman"/>
          <w:b/>
          <w:spacing w:val="0"/>
          <w:sz w:val="24"/>
          <w:szCs w:val="22"/>
        </w:rPr>
        <w:t>Payment of a</w:t>
      </w:r>
      <w:r w:rsidRPr="009E6AF6">
        <w:rPr>
          <w:rFonts w:ascii="Times New Roman" w:hAnsi="Times New Roman"/>
          <w:b/>
          <w:spacing w:val="0"/>
          <w:sz w:val="24"/>
          <w:szCs w:val="22"/>
        </w:rPr>
        <w:t>udit fees</w:t>
      </w:r>
      <w:r w:rsidR="00EF406E">
        <w:rPr>
          <w:rFonts w:ascii="Times New Roman" w:hAnsi="Times New Roman"/>
          <w:b/>
          <w:spacing w:val="0"/>
          <w:sz w:val="24"/>
          <w:szCs w:val="22"/>
        </w:rPr>
        <w:t xml:space="preserve"> by entities</w:t>
      </w:r>
      <w:r w:rsidRPr="009E6AF6">
        <w:rPr>
          <w:rFonts w:ascii="Times New Roman" w:hAnsi="Times New Roman"/>
          <w:spacing w:val="0"/>
          <w:sz w:val="24"/>
          <w:szCs w:val="22"/>
        </w:rPr>
        <w:t xml:space="preserve"> </w:t>
      </w:r>
    </w:p>
    <w:p w14:paraId="22ECA335" w14:textId="5A9B7D16" w:rsidR="00FD013F" w:rsidRDefault="00FD013F" w:rsidP="00881D8B">
      <w:pPr>
        <w:tabs>
          <w:tab w:val="left" w:pos="709"/>
        </w:tabs>
        <w:spacing w:after="200" w:line="360" w:lineRule="auto"/>
        <w:contextualSpacing/>
        <w:jc w:val="both"/>
        <w:rPr>
          <w:rFonts w:ascii="Times New Roman" w:hAnsi="Times New Roman"/>
          <w:spacing w:val="0"/>
          <w:sz w:val="24"/>
          <w:szCs w:val="22"/>
        </w:rPr>
      </w:pPr>
      <w:r w:rsidRPr="00FD013F">
        <w:rPr>
          <w:rFonts w:ascii="Times New Roman" w:hAnsi="Times New Roman"/>
          <w:spacing w:val="0"/>
          <w:sz w:val="24"/>
          <w:szCs w:val="22"/>
        </w:rPr>
        <w:t>The Committee found that the Auditor General was delaying paying the excess incurred by the entities in audit fee</w:t>
      </w:r>
      <w:r w:rsidR="00DC10A0">
        <w:rPr>
          <w:rFonts w:ascii="Times New Roman" w:hAnsi="Times New Roman"/>
          <w:spacing w:val="0"/>
          <w:sz w:val="24"/>
          <w:szCs w:val="22"/>
        </w:rPr>
        <w:t>s</w:t>
      </w:r>
      <w:r w:rsidRPr="00FD013F">
        <w:rPr>
          <w:rFonts w:ascii="Times New Roman" w:hAnsi="Times New Roman"/>
          <w:spacing w:val="0"/>
          <w:sz w:val="24"/>
          <w:szCs w:val="22"/>
        </w:rPr>
        <w:t xml:space="preserve"> as prescribed by Sections 23(4), </w:t>
      </w:r>
      <w:r w:rsidR="008D58F4">
        <w:rPr>
          <w:rFonts w:ascii="Times New Roman" w:hAnsi="Times New Roman"/>
          <w:spacing w:val="0"/>
          <w:sz w:val="24"/>
          <w:szCs w:val="22"/>
        </w:rPr>
        <w:t>(</w:t>
      </w:r>
      <w:r w:rsidRPr="00FD013F">
        <w:rPr>
          <w:rFonts w:ascii="Times New Roman" w:hAnsi="Times New Roman"/>
          <w:spacing w:val="0"/>
          <w:sz w:val="24"/>
          <w:szCs w:val="22"/>
        </w:rPr>
        <w:t>5</w:t>
      </w:r>
      <w:r w:rsidR="008D58F4">
        <w:rPr>
          <w:rFonts w:ascii="Times New Roman" w:hAnsi="Times New Roman"/>
          <w:spacing w:val="0"/>
          <w:sz w:val="24"/>
          <w:szCs w:val="22"/>
        </w:rPr>
        <w:t>)</w:t>
      </w:r>
      <w:r w:rsidRPr="00FD013F">
        <w:rPr>
          <w:rFonts w:ascii="Times New Roman" w:hAnsi="Times New Roman"/>
          <w:spacing w:val="0"/>
          <w:sz w:val="24"/>
          <w:szCs w:val="22"/>
        </w:rPr>
        <w:t xml:space="preserve"> and </w:t>
      </w:r>
      <w:r w:rsidR="008D58F4">
        <w:rPr>
          <w:rFonts w:ascii="Times New Roman" w:hAnsi="Times New Roman"/>
          <w:spacing w:val="0"/>
          <w:sz w:val="24"/>
          <w:szCs w:val="22"/>
        </w:rPr>
        <w:t>(</w:t>
      </w:r>
      <w:r w:rsidRPr="00FD013F">
        <w:rPr>
          <w:rFonts w:ascii="Times New Roman" w:hAnsi="Times New Roman"/>
          <w:spacing w:val="0"/>
          <w:sz w:val="24"/>
          <w:szCs w:val="22"/>
        </w:rPr>
        <w:t>6</w:t>
      </w:r>
      <w:r w:rsidR="008D58F4">
        <w:rPr>
          <w:rFonts w:ascii="Times New Roman" w:hAnsi="Times New Roman"/>
          <w:spacing w:val="0"/>
          <w:sz w:val="24"/>
          <w:szCs w:val="22"/>
        </w:rPr>
        <w:t>)</w:t>
      </w:r>
      <w:r w:rsidRPr="00FD013F">
        <w:rPr>
          <w:rFonts w:ascii="Times New Roman" w:hAnsi="Times New Roman"/>
          <w:spacing w:val="0"/>
          <w:sz w:val="24"/>
          <w:szCs w:val="22"/>
        </w:rPr>
        <w:t xml:space="preserve"> of the Public Audit Act</w:t>
      </w:r>
      <w:r>
        <w:rPr>
          <w:rFonts w:ascii="Times New Roman" w:hAnsi="Times New Roman"/>
          <w:spacing w:val="0"/>
          <w:sz w:val="24"/>
          <w:szCs w:val="22"/>
        </w:rPr>
        <w:t xml:space="preserve">. The Act states that if the audit fees exceed 1% of the total expenditure of an auditee and the National Treasury is of the view that the auditee has financial difficulty to settle the cost, the excess must be defrayed from the National Treasury’s vote. </w:t>
      </w:r>
      <w:r w:rsidRPr="00FD013F">
        <w:rPr>
          <w:rFonts w:ascii="Times New Roman" w:hAnsi="Times New Roman"/>
          <w:spacing w:val="0"/>
          <w:sz w:val="24"/>
          <w:szCs w:val="22"/>
        </w:rPr>
        <w:t xml:space="preserve">  </w:t>
      </w:r>
    </w:p>
    <w:p w14:paraId="42E7BB02" w14:textId="6B3DDCA0" w:rsidR="009E6AF6" w:rsidRPr="001427B9" w:rsidRDefault="00DB04D7" w:rsidP="00881D8B">
      <w:pPr>
        <w:tabs>
          <w:tab w:val="left" w:pos="709"/>
        </w:tabs>
        <w:spacing w:after="200" w:line="360" w:lineRule="auto"/>
        <w:contextualSpacing/>
        <w:jc w:val="both"/>
        <w:rPr>
          <w:rFonts w:ascii="Times New Roman" w:hAnsi="Times New Roman"/>
          <w:spacing w:val="0"/>
          <w:sz w:val="24"/>
          <w:szCs w:val="22"/>
        </w:rPr>
      </w:pPr>
      <w:r>
        <w:rPr>
          <w:rFonts w:ascii="Times New Roman" w:hAnsi="Times New Roman"/>
          <w:spacing w:val="0"/>
          <w:sz w:val="24"/>
          <w:szCs w:val="22"/>
        </w:rPr>
        <w:t xml:space="preserve">  </w:t>
      </w:r>
    </w:p>
    <w:p w14:paraId="4EFE06B8" w14:textId="77777777" w:rsidR="00A55BFA" w:rsidRPr="009E6AF6" w:rsidRDefault="00A55BFA" w:rsidP="00881D8B">
      <w:pPr>
        <w:tabs>
          <w:tab w:val="left" w:pos="709"/>
        </w:tabs>
        <w:spacing w:after="200" w:line="360" w:lineRule="auto"/>
        <w:contextualSpacing/>
        <w:jc w:val="both"/>
        <w:rPr>
          <w:rFonts w:ascii="Times New Roman" w:hAnsi="Times New Roman"/>
          <w:b/>
          <w:spacing w:val="0"/>
          <w:sz w:val="24"/>
          <w:szCs w:val="22"/>
        </w:rPr>
      </w:pPr>
      <w:r w:rsidRPr="009E6AF6">
        <w:rPr>
          <w:rFonts w:ascii="Times New Roman" w:hAnsi="Times New Roman"/>
          <w:b/>
          <w:spacing w:val="0"/>
          <w:sz w:val="24"/>
          <w:szCs w:val="22"/>
        </w:rPr>
        <w:t>8.</w:t>
      </w:r>
      <w:r w:rsidR="00275440">
        <w:rPr>
          <w:rFonts w:ascii="Times New Roman" w:hAnsi="Times New Roman"/>
          <w:b/>
          <w:spacing w:val="0"/>
          <w:sz w:val="24"/>
          <w:szCs w:val="22"/>
        </w:rPr>
        <w:t>4</w:t>
      </w:r>
      <w:r w:rsidR="00275440" w:rsidRPr="009E6AF6">
        <w:rPr>
          <w:rFonts w:ascii="Times New Roman" w:hAnsi="Times New Roman"/>
          <w:b/>
          <w:spacing w:val="0"/>
          <w:sz w:val="24"/>
          <w:szCs w:val="22"/>
        </w:rPr>
        <w:t xml:space="preserve">       </w:t>
      </w:r>
      <w:r w:rsidR="0065197E" w:rsidRPr="009E6AF6">
        <w:rPr>
          <w:rFonts w:ascii="Times New Roman" w:hAnsi="Times New Roman"/>
          <w:b/>
          <w:spacing w:val="0"/>
          <w:sz w:val="24"/>
          <w:szCs w:val="22"/>
        </w:rPr>
        <w:t>Funding Model</w:t>
      </w:r>
      <w:r w:rsidR="00D35AED" w:rsidRPr="009E6AF6">
        <w:rPr>
          <w:rFonts w:ascii="Times New Roman" w:hAnsi="Times New Roman"/>
          <w:b/>
          <w:spacing w:val="0"/>
          <w:sz w:val="24"/>
          <w:szCs w:val="22"/>
        </w:rPr>
        <w:t xml:space="preserve"> of the Department to the entities</w:t>
      </w:r>
    </w:p>
    <w:p w14:paraId="0254AAF2" w14:textId="77777777" w:rsidR="00EF406E" w:rsidRDefault="00EF406E" w:rsidP="00881D8B">
      <w:pPr>
        <w:tabs>
          <w:tab w:val="left" w:pos="709"/>
        </w:tabs>
        <w:spacing w:after="200" w:line="360" w:lineRule="auto"/>
        <w:contextualSpacing/>
        <w:jc w:val="both"/>
        <w:rPr>
          <w:rFonts w:ascii="Times New Roman" w:hAnsi="Times New Roman"/>
          <w:spacing w:val="0"/>
          <w:sz w:val="24"/>
          <w:szCs w:val="22"/>
        </w:rPr>
      </w:pPr>
      <w:r>
        <w:rPr>
          <w:rFonts w:ascii="Times New Roman" w:hAnsi="Times New Roman"/>
          <w:spacing w:val="0"/>
          <w:sz w:val="24"/>
          <w:szCs w:val="22"/>
        </w:rPr>
        <w:t>The Department still was without a funding model resulting in funding the entities and the NPO’s</w:t>
      </w:r>
      <w:r w:rsidR="00CA4E08">
        <w:rPr>
          <w:rFonts w:ascii="Times New Roman" w:hAnsi="Times New Roman"/>
          <w:spacing w:val="0"/>
          <w:sz w:val="24"/>
          <w:szCs w:val="22"/>
        </w:rPr>
        <w:t xml:space="preserve"> randomly</w:t>
      </w:r>
      <w:r>
        <w:rPr>
          <w:rFonts w:ascii="Times New Roman" w:hAnsi="Times New Roman"/>
          <w:spacing w:val="0"/>
          <w:sz w:val="24"/>
          <w:szCs w:val="22"/>
        </w:rPr>
        <w:t xml:space="preserve">.  This was a concern as a majority of entities were underfunded taking into account their mandate and the role they play in society.   </w:t>
      </w:r>
    </w:p>
    <w:p w14:paraId="052EC130" w14:textId="77777777" w:rsidR="00EF406E" w:rsidRDefault="00EF406E" w:rsidP="00881D8B">
      <w:pPr>
        <w:tabs>
          <w:tab w:val="left" w:pos="709"/>
        </w:tabs>
        <w:spacing w:after="200" w:line="360" w:lineRule="auto"/>
        <w:contextualSpacing/>
        <w:jc w:val="both"/>
        <w:rPr>
          <w:rFonts w:ascii="Times New Roman" w:hAnsi="Times New Roman"/>
          <w:spacing w:val="0"/>
          <w:sz w:val="24"/>
          <w:szCs w:val="22"/>
        </w:rPr>
      </w:pPr>
    </w:p>
    <w:p w14:paraId="6DB5F58D" w14:textId="77777777" w:rsidR="000B2FD3" w:rsidRDefault="00EF406E" w:rsidP="00881D8B">
      <w:pPr>
        <w:tabs>
          <w:tab w:val="left" w:pos="709"/>
        </w:tabs>
        <w:spacing w:after="200" w:line="360" w:lineRule="auto"/>
        <w:contextualSpacing/>
        <w:jc w:val="both"/>
        <w:rPr>
          <w:rFonts w:ascii="Times New Roman" w:hAnsi="Times New Roman"/>
          <w:b/>
          <w:spacing w:val="0"/>
          <w:sz w:val="24"/>
          <w:szCs w:val="22"/>
        </w:rPr>
      </w:pPr>
      <w:r w:rsidRPr="00EF406E">
        <w:rPr>
          <w:rFonts w:ascii="Times New Roman" w:hAnsi="Times New Roman"/>
          <w:b/>
          <w:spacing w:val="0"/>
          <w:sz w:val="24"/>
          <w:szCs w:val="22"/>
        </w:rPr>
        <w:t>8.</w:t>
      </w:r>
      <w:r w:rsidR="00275440">
        <w:rPr>
          <w:rFonts w:ascii="Times New Roman" w:hAnsi="Times New Roman"/>
          <w:b/>
          <w:spacing w:val="0"/>
          <w:sz w:val="24"/>
          <w:szCs w:val="22"/>
        </w:rPr>
        <w:t>5</w:t>
      </w:r>
      <w:r w:rsidR="00275440" w:rsidRPr="00EF406E">
        <w:rPr>
          <w:rFonts w:ascii="Times New Roman" w:hAnsi="Times New Roman"/>
          <w:b/>
          <w:spacing w:val="0"/>
          <w:sz w:val="24"/>
          <w:szCs w:val="22"/>
        </w:rPr>
        <w:t xml:space="preserve">  </w:t>
      </w:r>
      <w:r w:rsidR="00275440">
        <w:rPr>
          <w:rFonts w:ascii="Times New Roman" w:hAnsi="Times New Roman"/>
          <w:b/>
          <w:spacing w:val="0"/>
          <w:sz w:val="24"/>
          <w:szCs w:val="22"/>
        </w:rPr>
        <w:t xml:space="preserve">     </w:t>
      </w:r>
      <w:r>
        <w:rPr>
          <w:rFonts w:ascii="Times New Roman" w:hAnsi="Times New Roman"/>
          <w:b/>
          <w:spacing w:val="0"/>
          <w:sz w:val="24"/>
          <w:szCs w:val="22"/>
        </w:rPr>
        <w:t xml:space="preserve">Funding of Orchestra’s </w:t>
      </w:r>
    </w:p>
    <w:p w14:paraId="789A0C02" w14:textId="77777777" w:rsidR="000B2FD3" w:rsidRDefault="00EF406E" w:rsidP="00881D8B">
      <w:pPr>
        <w:tabs>
          <w:tab w:val="left" w:pos="709"/>
        </w:tabs>
        <w:spacing w:after="200" w:line="360" w:lineRule="auto"/>
        <w:contextualSpacing/>
        <w:jc w:val="both"/>
        <w:rPr>
          <w:rFonts w:ascii="Times New Roman" w:hAnsi="Times New Roman"/>
          <w:spacing w:val="0"/>
          <w:sz w:val="24"/>
          <w:szCs w:val="22"/>
        </w:rPr>
      </w:pPr>
      <w:r>
        <w:rPr>
          <w:rFonts w:ascii="Times New Roman" w:hAnsi="Times New Roman"/>
          <w:spacing w:val="0"/>
          <w:sz w:val="24"/>
          <w:szCs w:val="22"/>
        </w:rPr>
        <w:t xml:space="preserve">The Department has a ring-fenced allocation </w:t>
      </w:r>
      <w:r w:rsidR="00CA4E08">
        <w:rPr>
          <w:rFonts w:ascii="Times New Roman" w:hAnsi="Times New Roman"/>
          <w:spacing w:val="0"/>
          <w:sz w:val="24"/>
          <w:szCs w:val="22"/>
        </w:rPr>
        <w:t>(</w:t>
      </w:r>
      <w:r>
        <w:rPr>
          <w:rFonts w:ascii="Times New Roman" w:hAnsi="Times New Roman"/>
          <w:spacing w:val="0"/>
          <w:sz w:val="24"/>
          <w:szCs w:val="22"/>
        </w:rPr>
        <w:t>funding</w:t>
      </w:r>
      <w:r w:rsidR="00CA4E08">
        <w:rPr>
          <w:rFonts w:ascii="Times New Roman" w:hAnsi="Times New Roman"/>
          <w:spacing w:val="0"/>
          <w:sz w:val="24"/>
          <w:szCs w:val="22"/>
        </w:rPr>
        <w:t>)</w:t>
      </w:r>
      <w:r>
        <w:rPr>
          <w:rFonts w:ascii="Times New Roman" w:hAnsi="Times New Roman"/>
          <w:spacing w:val="0"/>
          <w:sz w:val="24"/>
          <w:szCs w:val="22"/>
        </w:rPr>
        <w:t xml:space="preserve"> for the Orchestra’s. There is no clear policy governing the ring fencing for </w:t>
      </w:r>
      <w:r w:rsidR="00CA4E08">
        <w:rPr>
          <w:rFonts w:ascii="Times New Roman" w:hAnsi="Times New Roman"/>
          <w:spacing w:val="0"/>
          <w:sz w:val="24"/>
          <w:szCs w:val="22"/>
        </w:rPr>
        <w:t xml:space="preserve">Orchestra </w:t>
      </w:r>
      <w:r>
        <w:rPr>
          <w:rFonts w:ascii="Times New Roman" w:hAnsi="Times New Roman"/>
          <w:spacing w:val="0"/>
          <w:sz w:val="24"/>
          <w:szCs w:val="22"/>
        </w:rPr>
        <w:t xml:space="preserve">funding. There was no policy </w:t>
      </w:r>
      <w:r w:rsidR="00CA4E08">
        <w:rPr>
          <w:rFonts w:ascii="Times New Roman" w:hAnsi="Times New Roman"/>
          <w:spacing w:val="0"/>
          <w:sz w:val="24"/>
          <w:szCs w:val="22"/>
        </w:rPr>
        <w:t xml:space="preserve">that explains </w:t>
      </w:r>
      <w:r>
        <w:rPr>
          <w:rFonts w:ascii="Times New Roman" w:hAnsi="Times New Roman"/>
          <w:spacing w:val="0"/>
          <w:sz w:val="24"/>
          <w:szCs w:val="22"/>
        </w:rPr>
        <w:t xml:space="preserve">why the </w:t>
      </w:r>
      <w:r w:rsidR="00CA4E08">
        <w:rPr>
          <w:rFonts w:ascii="Times New Roman" w:hAnsi="Times New Roman"/>
          <w:spacing w:val="0"/>
          <w:sz w:val="24"/>
          <w:szCs w:val="22"/>
        </w:rPr>
        <w:t xml:space="preserve">Orchestra </w:t>
      </w:r>
      <w:r>
        <w:rPr>
          <w:rFonts w:ascii="Times New Roman" w:hAnsi="Times New Roman"/>
          <w:spacing w:val="0"/>
          <w:sz w:val="24"/>
          <w:szCs w:val="22"/>
        </w:rPr>
        <w:t xml:space="preserve">funding was processed through the National Arts Council.    </w:t>
      </w:r>
    </w:p>
    <w:p w14:paraId="48CBAC13" w14:textId="77777777" w:rsidR="000B2FD3" w:rsidRDefault="000B2FD3" w:rsidP="00881D8B">
      <w:pPr>
        <w:tabs>
          <w:tab w:val="left" w:pos="709"/>
        </w:tabs>
        <w:spacing w:after="200" w:line="360" w:lineRule="auto"/>
        <w:contextualSpacing/>
        <w:jc w:val="both"/>
        <w:rPr>
          <w:rFonts w:ascii="Times New Roman" w:hAnsi="Times New Roman"/>
          <w:spacing w:val="0"/>
          <w:sz w:val="24"/>
          <w:szCs w:val="22"/>
        </w:rPr>
      </w:pPr>
    </w:p>
    <w:p w14:paraId="48953EC7" w14:textId="77777777" w:rsidR="000B2FD3" w:rsidRDefault="000B2FD3" w:rsidP="00881D8B">
      <w:pPr>
        <w:tabs>
          <w:tab w:val="left" w:pos="709"/>
        </w:tabs>
        <w:spacing w:after="200" w:line="360" w:lineRule="auto"/>
        <w:contextualSpacing/>
        <w:jc w:val="both"/>
        <w:rPr>
          <w:rFonts w:ascii="Times New Roman" w:hAnsi="Times New Roman"/>
          <w:b/>
          <w:spacing w:val="0"/>
          <w:sz w:val="24"/>
          <w:szCs w:val="22"/>
        </w:rPr>
      </w:pPr>
      <w:r w:rsidRPr="00DB04D7">
        <w:rPr>
          <w:rFonts w:ascii="Times New Roman" w:hAnsi="Times New Roman"/>
          <w:b/>
          <w:spacing w:val="0"/>
          <w:sz w:val="24"/>
          <w:szCs w:val="22"/>
        </w:rPr>
        <w:t xml:space="preserve">8.6     </w:t>
      </w:r>
      <w:r w:rsidR="001F3667" w:rsidRPr="00DB04D7">
        <w:rPr>
          <w:rFonts w:ascii="Times New Roman" w:hAnsi="Times New Roman"/>
          <w:b/>
          <w:spacing w:val="0"/>
          <w:sz w:val="24"/>
          <w:szCs w:val="22"/>
        </w:rPr>
        <w:t>Finalization of Enyokeni Project</w:t>
      </w:r>
      <w:r w:rsidRPr="00DB04D7">
        <w:rPr>
          <w:rFonts w:ascii="Times New Roman" w:hAnsi="Times New Roman"/>
          <w:b/>
          <w:spacing w:val="0"/>
          <w:sz w:val="24"/>
          <w:szCs w:val="22"/>
        </w:rPr>
        <w:t xml:space="preserve">  </w:t>
      </w:r>
    </w:p>
    <w:p w14:paraId="20962506" w14:textId="35CDF588" w:rsidR="001F3667" w:rsidRPr="001F3667" w:rsidRDefault="001F3667" w:rsidP="00881D8B">
      <w:pPr>
        <w:tabs>
          <w:tab w:val="left" w:pos="709"/>
        </w:tabs>
        <w:spacing w:after="200" w:line="360" w:lineRule="auto"/>
        <w:contextualSpacing/>
        <w:jc w:val="both"/>
        <w:rPr>
          <w:rFonts w:ascii="Times New Roman" w:hAnsi="Times New Roman"/>
          <w:spacing w:val="0"/>
          <w:sz w:val="24"/>
          <w:szCs w:val="22"/>
        </w:rPr>
      </w:pPr>
      <w:r>
        <w:rPr>
          <w:rFonts w:ascii="Times New Roman" w:hAnsi="Times New Roman"/>
          <w:spacing w:val="0"/>
          <w:sz w:val="24"/>
          <w:szCs w:val="22"/>
        </w:rPr>
        <w:t xml:space="preserve">The Department indicated that they would allocate funds to </w:t>
      </w:r>
      <w:r w:rsidR="005848B3">
        <w:rPr>
          <w:rFonts w:ascii="Times New Roman" w:hAnsi="Times New Roman"/>
          <w:spacing w:val="0"/>
          <w:sz w:val="24"/>
          <w:szCs w:val="22"/>
        </w:rPr>
        <w:t>complete</w:t>
      </w:r>
      <w:r>
        <w:rPr>
          <w:rFonts w:ascii="Times New Roman" w:hAnsi="Times New Roman"/>
          <w:spacing w:val="0"/>
          <w:sz w:val="24"/>
          <w:szCs w:val="22"/>
        </w:rPr>
        <w:t xml:space="preserve"> the Enyokeni </w:t>
      </w:r>
      <w:r w:rsidR="00E268AE">
        <w:rPr>
          <w:rFonts w:ascii="Times New Roman" w:hAnsi="Times New Roman"/>
          <w:spacing w:val="0"/>
          <w:sz w:val="24"/>
          <w:szCs w:val="22"/>
        </w:rPr>
        <w:t xml:space="preserve">Project </w:t>
      </w:r>
      <w:r w:rsidR="005848B3">
        <w:rPr>
          <w:rFonts w:ascii="Times New Roman" w:hAnsi="Times New Roman"/>
          <w:spacing w:val="0"/>
          <w:sz w:val="24"/>
          <w:szCs w:val="22"/>
        </w:rPr>
        <w:t xml:space="preserve">although </w:t>
      </w:r>
      <w:proofErr w:type="gramStart"/>
      <w:r w:rsidR="005848B3">
        <w:rPr>
          <w:rFonts w:ascii="Times New Roman" w:hAnsi="Times New Roman"/>
          <w:spacing w:val="0"/>
          <w:sz w:val="24"/>
          <w:szCs w:val="22"/>
        </w:rPr>
        <w:t xml:space="preserve">it </w:t>
      </w:r>
      <w:r w:rsidR="00E268AE">
        <w:rPr>
          <w:rFonts w:ascii="Times New Roman" w:hAnsi="Times New Roman"/>
          <w:spacing w:val="0"/>
          <w:sz w:val="24"/>
          <w:szCs w:val="22"/>
        </w:rPr>
        <w:t xml:space="preserve"> was</w:t>
      </w:r>
      <w:proofErr w:type="gramEnd"/>
      <w:r w:rsidR="00E268AE">
        <w:rPr>
          <w:rFonts w:ascii="Times New Roman" w:hAnsi="Times New Roman"/>
          <w:spacing w:val="0"/>
          <w:sz w:val="24"/>
          <w:szCs w:val="22"/>
        </w:rPr>
        <w:t xml:space="preserve"> n</w:t>
      </w:r>
      <w:r w:rsidR="005848B3">
        <w:rPr>
          <w:rFonts w:ascii="Times New Roman" w:hAnsi="Times New Roman"/>
          <w:spacing w:val="0"/>
          <w:sz w:val="24"/>
          <w:szCs w:val="22"/>
        </w:rPr>
        <w:t>ot</w:t>
      </w:r>
      <w:r w:rsidR="00E268AE">
        <w:rPr>
          <w:rFonts w:ascii="Times New Roman" w:hAnsi="Times New Roman"/>
          <w:spacing w:val="0"/>
          <w:sz w:val="24"/>
          <w:szCs w:val="22"/>
        </w:rPr>
        <w:t xml:space="preserve"> part of the Departments plan </w:t>
      </w:r>
      <w:r w:rsidR="005848B3">
        <w:rPr>
          <w:rFonts w:ascii="Times New Roman" w:hAnsi="Times New Roman"/>
          <w:spacing w:val="0"/>
          <w:sz w:val="24"/>
          <w:szCs w:val="22"/>
        </w:rPr>
        <w:t xml:space="preserve">(it was not in the Department’s APP) </w:t>
      </w:r>
      <w:r w:rsidR="00E268AE">
        <w:rPr>
          <w:rFonts w:ascii="Times New Roman" w:hAnsi="Times New Roman"/>
          <w:spacing w:val="0"/>
          <w:sz w:val="24"/>
          <w:szCs w:val="22"/>
        </w:rPr>
        <w:t xml:space="preserve">when it was commissioned. The Committee was concerned that the officials that approved the project were not held accountable and that the investigation into the matter was </w:t>
      </w:r>
      <w:r w:rsidR="005848B3">
        <w:rPr>
          <w:rFonts w:ascii="Times New Roman" w:hAnsi="Times New Roman"/>
          <w:spacing w:val="0"/>
          <w:sz w:val="24"/>
          <w:szCs w:val="22"/>
        </w:rPr>
        <w:t>taking too long</w:t>
      </w:r>
      <w:r w:rsidR="00E268AE">
        <w:rPr>
          <w:rFonts w:ascii="Times New Roman" w:hAnsi="Times New Roman"/>
          <w:spacing w:val="0"/>
          <w:sz w:val="24"/>
          <w:szCs w:val="22"/>
        </w:rPr>
        <w:t xml:space="preserve">.  </w:t>
      </w:r>
    </w:p>
    <w:p w14:paraId="3B170AA8" w14:textId="77777777" w:rsidR="000B2FD3" w:rsidRDefault="000B2FD3" w:rsidP="00881D8B">
      <w:pPr>
        <w:tabs>
          <w:tab w:val="left" w:pos="709"/>
        </w:tabs>
        <w:spacing w:after="200" w:line="360" w:lineRule="auto"/>
        <w:contextualSpacing/>
        <w:jc w:val="both"/>
        <w:rPr>
          <w:rFonts w:ascii="Times New Roman" w:hAnsi="Times New Roman"/>
          <w:spacing w:val="0"/>
          <w:sz w:val="24"/>
          <w:szCs w:val="22"/>
        </w:rPr>
      </w:pPr>
    </w:p>
    <w:p w14:paraId="7E00A0B3" w14:textId="77777777" w:rsidR="000B2FD3" w:rsidRDefault="000B2FD3" w:rsidP="00881D8B">
      <w:pPr>
        <w:tabs>
          <w:tab w:val="left" w:pos="709"/>
        </w:tabs>
        <w:spacing w:after="200" w:line="360" w:lineRule="auto"/>
        <w:contextualSpacing/>
        <w:jc w:val="both"/>
        <w:rPr>
          <w:rFonts w:ascii="Times New Roman" w:hAnsi="Times New Roman"/>
          <w:b/>
          <w:spacing w:val="0"/>
          <w:sz w:val="24"/>
          <w:szCs w:val="22"/>
        </w:rPr>
      </w:pPr>
      <w:r w:rsidRPr="00DB04D7">
        <w:rPr>
          <w:rFonts w:ascii="Times New Roman" w:hAnsi="Times New Roman"/>
          <w:b/>
          <w:spacing w:val="0"/>
          <w:sz w:val="24"/>
          <w:szCs w:val="22"/>
        </w:rPr>
        <w:t>8.7       Undersspending on infrastructure by the Department</w:t>
      </w:r>
    </w:p>
    <w:p w14:paraId="7921F2C7" w14:textId="78D518D8" w:rsidR="006E5B35" w:rsidRPr="00421D59" w:rsidRDefault="006E5B35" w:rsidP="00881D8B">
      <w:pPr>
        <w:tabs>
          <w:tab w:val="left" w:pos="709"/>
        </w:tabs>
        <w:spacing w:after="200" w:line="360" w:lineRule="auto"/>
        <w:contextualSpacing/>
        <w:jc w:val="both"/>
        <w:rPr>
          <w:rFonts w:ascii="Times New Roman" w:hAnsi="Times New Roman"/>
          <w:spacing w:val="0"/>
          <w:sz w:val="24"/>
          <w:szCs w:val="22"/>
        </w:rPr>
      </w:pPr>
      <w:r>
        <w:rPr>
          <w:rFonts w:ascii="Times New Roman" w:hAnsi="Times New Roman"/>
          <w:spacing w:val="0"/>
          <w:sz w:val="24"/>
          <w:szCs w:val="22"/>
        </w:rPr>
        <w:t xml:space="preserve"> Historically the Department has been underspending on Capital Works Project</w:t>
      </w:r>
      <w:r w:rsidR="000E38AF">
        <w:rPr>
          <w:rFonts w:ascii="Times New Roman" w:hAnsi="Times New Roman"/>
          <w:spacing w:val="0"/>
          <w:sz w:val="24"/>
          <w:szCs w:val="22"/>
        </w:rPr>
        <w:t>s</w:t>
      </w:r>
      <w:r>
        <w:rPr>
          <w:rFonts w:ascii="Times New Roman" w:hAnsi="Times New Roman"/>
          <w:spacing w:val="0"/>
          <w:sz w:val="24"/>
          <w:szCs w:val="22"/>
        </w:rPr>
        <w:t xml:space="preserve">. The Department attributes this chiefly to slow invoicing from Department of Public Works. </w:t>
      </w:r>
    </w:p>
    <w:p w14:paraId="266BB0F5" w14:textId="77777777" w:rsidR="000B2FD3" w:rsidRDefault="000B2FD3" w:rsidP="00881D8B">
      <w:pPr>
        <w:tabs>
          <w:tab w:val="left" w:pos="709"/>
        </w:tabs>
        <w:spacing w:after="200" w:line="360" w:lineRule="auto"/>
        <w:contextualSpacing/>
        <w:jc w:val="both"/>
        <w:rPr>
          <w:rFonts w:ascii="Times New Roman" w:hAnsi="Times New Roman"/>
          <w:spacing w:val="0"/>
          <w:sz w:val="24"/>
          <w:szCs w:val="22"/>
        </w:rPr>
      </w:pPr>
    </w:p>
    <w:p w14:paraId="0C7079CE" w14:textId="22271B18" w:rsidR="00EF406E" w:rsidRDefault="000B2FD3" w:rsidP="00881D8B">
      <w:pPr>
        <w:tabs>
          <w:tab w:val="left" w:pos="709"/>
        </w:tabs>
        <w:spacing w:after="200" w:line="360" w:lineRule="auto"/>
        <w:contextualSpacing/>
        <w:jc w:val="both"/>
        <w:rPr>
          <w:rFonts w:ascii="Times New Roman" w:hAnsi="Times New Roman"/>
          <w:b/>
          <w:spacing w:val="0"/>
          <w:sz w:val="24"/>
          <w:szCs w:val="22"/>
        </w:rPr>
      </w:pPr>
      <w:r w:rsidRPr="00DB04D7">
        <w:rPr>
          <w:rFonts w:ascii="Times New Roman" w:hAnsi="Times New Roman"/>
          <w:b/>
          <w:spacing w:val="0"/>
          <w:sz w:val="24"/>
          <w:szCs w:val="22"/>
        </w:rPr>
        <w:t>8.8       Infighting within the entites</w:t>
      </w:r>
    </w:p>
    <w:p w14:paraId="51FD7C4C" w14:textId="1587484D" w:rsidR="000B2FD3" w:rsidRDefault="00421D59" w:rsidP="00881D8B">
      <w:pPr>
        <w:tabs>
          <w:tab w:val="left" w:pos="709"/>
        </w:tabs>
        <w:spacing w:after="200" w:line="360" w:lineRule="auto"/>
        <w:contextualSpacing/>
        <w:jc w:val="both"/>
        <w:rPr>
          <w:rFonts w:ascii="Times New Roman" w:hAnsi="Times New Roman"/>
          <w:spacing w:val="0"/>
          <w:sz w:val="24"/>
          <w:szCs w:val="22"/>
        </w:rPr>
      </w:pPr>
      <w:r w:rsidRPr="00DB04D7">
        <w:rPr>
          <w:rFonts w:ascii="Times New Roman" w:hAnsi="Times New Roman"/>
          <w:spacing w:val="0"/>
          <w:sz w:val="24"/>
          <w:szCs w:val="22"/>
        </w:rPr>
        <w:t xml:space="preserve">While the Committee noted that there </w:t>
      </w:r>
      <w:r>
        <w:rPr>
          <w:rFonts w:ascii="Times New Roman" w:hAnsi="Times New Roman"/>
          <w:spacing w:val="0"/>
          <w:sz w:val="24"/>
          <w:szCs w:val="22"/>
        </w:rPr>
        <w:t xml:space="preserve">was improvement in some entities, the Committee raised </w:t>
      </w:r>
      <w:r w:rsidR="000E38AF">
        <w:rPr>
          <w:rFonts w:ascii="Times New Roman" w:hAnsi="Times New Roman"/>
          <w:spacing w:val="0"/>
          <w:sz w:val="24"/>
          <w:szCs w:val="22"/>
        </w:rPr>
        <w:t xml:space="preserve">a </w:t>
      </w:r>
      <w:r>
        <w:rPr>
          <w:rFonts w:ascii="Times New Roman" w:hAnsi="Times New Roman"/>
          <w:spacing w:val="0"/>
          <w:sz w:val="24"/>
          <w:szCs w:val="22"/>
        </w:rPr>
        <w:t>concern that there was a lot of infighting within the Councils and M</w:t>
      </w:r>
      <w:r w:rsidR="000E38AF">
        <w:rPr>
          <w:rFonts w:ascii="Times New Roman" w:hAnsi="Times New Roman"/>
          <w:spacing w:val="0"/>
          <w:sz w:val="24"/>
          <w:szCs w:val="22"/>
        </w:rPr>
        <w:t>a</w:t>
      </w:r>
      <w:r>
        <w:rPr>
          <w:rFonts w:ascii="Times New Roman" w:hAnsi="Times New Roman"/>
          <w:spacing w:val="0"/>
          <w:sz w:val="24"/>
          <w:szCs w:val="22"/>
        </w:rPr>
        <w:t>nagement</w:t>
      </w:r>
      <w:r w:rsidR="000E38AF">
        <w:rPr>
          <w:rFonts w:ascii="Times New Roman" w:hAnsi="Times New Roman"/>
          <w:spacing w:val="0"/>
          <w:sz w:val="24"/>
          <w:szCs w:val="22"/>
        </w:rPr>
        <w:t xml:space="preserve"> in some entities</w:t>
      </w:r>
      <w:r>
        <w:rPr>
          <w:rFonts w:ascii="Times New Roman" w:hAnsi="Times New Roman"/>
          <w:spacing w:val="0"/>
          <w:sz w:val="24"/>
          <w:szCs w:val="22"/>
        </w:rPr>
        <w:t>. The Committee was concerned that there was a</w:t>
      </w:r>
      <w:r w:rsidR="000E38AF">
        <w:rPr>
          <w:rFonts w:ascii="Times New Roman" w:hAnsi="Times New Roman"/>
          <w:spacing w:val="0"/>
          <w:sz w:val="24"/>
          <w:szCs w:val="22"/>
        </w:rPr>
        <w:t>n</w:t>
      </w:r>
      <w:r>
        <w:rPr>
          <w:rFonts w:ascii="Times New Roman" w:hAnsi="Times New Roman"/>
          <w:spacing w:val="0"/>
          <w:sz w:val="24"/>
          <w:szCs w:val="22"/>
        </w:rPr>
        <w:t xml:space="preserve"> arms length approach from the Department in dealing with the matters </w:t>
      </w:r>
      <w:r w:rsidR="001F3667">
        <w:rPr>
          <w:rFonts w:ascii="Times New Roman" w:hAnsi="Times New Roman"/>
          <w:spacing w:val="0"/>
          <w:sz w:val="24"/>
          <w:szCs w:val="22"/>
        </w:rPr>
        <w:t xml:space="preserve">within the entities and the </w:t>
      </w:r>
      <w:r w:rsidR="000E38AF">
        <w:rPr>
          <w:rFonts w:ascii="Times New Roman" w:hAnsi="Times New Roman"/>
          <w:spacing w:val="0"/>
          <w:sz w:val="24"/>
          <w:szCs w:val="22"/>
        </w:rPr>
        <w:t>Department is slack in</w:t>
      </w:r>
      <w:r w:rsidR="001F3667">
        <w:rPr>
          <w:rFonts w:ascii="Times New Roman" w:hAnsi="Times New Roman"/>
          <w:spacing w:val="0"/>
          <w:sz w:val="24"/>
          <w:szCs w:val="22"/>
        </w:rPr>
        <w:t xml:space="preserve"> monitoring </w:t>
      </w:r>
      <w:r w:rsidR="000E38AF">
        <w:rPr>
          <w:rFonts w:ascii="Times New Roman" w:hAnsi="Times New Roman"/>
          <w:spacing w:val="0"/>
          <w:sz w:val="24"/>
          <w:szCs w:val="22"/>
        </w:rPr>
        <w:t>the entities</w:t>
      </w:r>
      <w:r w:rsidR="001F3667">
        <w:rPr>
          <w:rFonts w:ascii="Times New Roman" w:hAnsi="Times New Roman"/>
          <w:spacing w:val="0"/>
          <w:sz w:val="24"/>
          <w:szCs w:val="22"/>
        </w:rPr>
        <w:t xml:space="preserve">.  </w:t>
      </w:r>
      <w:r>
        <w:rPr>
          <w:rFonts w:ascii="Times New Roman" w:hAnsi="Times New Roman"/>
          <w:spacing w:val="0"/>
          <w:sz w:val="24"/>
          <w:szCs w:val="22"/>
        </w:rPr>
        <w:t xml:space="preserve">   </w:t>
      </w:r>
    </w:p>
    <w:p w14:paraId="04964CC0" w14:textId="77777777" w:rsidR="00421D59" w:rsidRPr="00DB04D7" w:rsidRDefault="00421D59" w:rsidP="00881D8B">
      <w:pPr>
        <w:tabs>
          <w:tab w:val="left" w:pos="709"/>
        </w:tabs>
        <w:spacing w:after="200" w:line="360" w:lineRule="auto"/>
        <w:contextualSpacing/>
        <w:jc w:val="both"/>
        <w:rPr>
          <w:rFonts w:ascii="Times New Roman" w:hAnsi="Times New Roman"/>
          <w:spacing w:val="0"/>
          <w:sz w:val="24"/>
          <w:szCs w:val="22"/>
        </w:rPr>
      </w:pPr>
    </w:p>
    <w:p w14:paraId="150B0CC3" w14:textId="77777777" w:rsidR="000B2FD3" w:rsidRDefault="000B2FD3" w:rsidP="00881D8B">
      <w:pPr>
        <w:tabs>
          <w:tab w:val="left" w:pos="709"/>
        </w:tabs>
        <w:spacing w:after="200" w:line="360" w:lineRule="auto"/>
        <w:contextualSpacing/>
        <w:jc w:val="both"/>
        <w:rPr>
          <w:rFonts w:ascii="Times New Roman" w:hAnsi="Times New Roman"/>
          <w:b/>
          <w:spacing w:val="0"/>
          <w:sz w:val="24"/>
          <w:szCs w:val="22"/>
        </w:rPr>
      </w:pPr>
      <w:r>
        <w:rPr>
          <w:rFonts w:ascii="Times New Roman" w:hAnsi="Times New Roman"/>
          <w:b/>
          <w:spacing w:val="0"/>
          <w:sz w:val="24"/>
          <w:szCs w:val="22"/>
        </w:rPr>
        <w:t xml:space="preserve">8.9        Quality of information  </w:t>
      </w:r>
    </w:p>
    <w:p w14:paraId="63F5525B" w14:textId="0A00CDF9" w:rsidR="001F3667" w:rsidRPr="001F3667" w:rsidRDefault="001F3667" w:rsidP="00881D8B">
      <w:pPr>
        <w:tabs>
          <w:tab w:val="left" w:pos="709"/>
        </w:tabs>
        <w:spacing w:after="200" w:line="360" w:lineRule="auto"/>
        <w:contextualSpacing/>
        <w:jc w:val="both"/>
        <w:rPr>
          <w:rFonts w:ascii="Times New Roman" w:hAnsi="Times New Roman"/>
          <w:spacing w:val="0"/>
          <w:sz w:val="24"/>
          <w:szCs w:val="22"/>
        </w:rPr>
      </w:pPr>
      <w:r w:rsidRPr="00DB04D7">
        <w:rPr>
          <w:rFonts w:ascii="Times New Roman" w:hAnsi="Times New Roman"/>
          <w:spacing w:val="0"/>
          <w:sz w:val="24"/>
          <w:szCs w:val="22"/>
        </w:rPr>
        <w:t>T</w:t>
      </w:r>
      <w:r>
        <w:rPr>
          <w:rFonts w:ascii="Times New Roman" w:hAnsi="Times New Roman"/>
          <w:spacing w:val="0"/>
          <w:sz w:val="24"/>
          <w:szCs w:val="22"/>
        </w:rPr>
        <w:t xml:space="preserve">he </w:t>
      </w:r>
      <w:r w:rsidR="00E268AE">
        <w:rPr>
          <w:rFonts w:ascii="Times New Roman" w:hAnsi="Times New Roman"/>
          <w:spacing w:val="0"/>
          <w:sz w:val="24"/>
          <w:szCs w:val="22"/>
        </w:rPr>
        <w:t xml:space="preserve">Committee noted that the quality and the accuracy of information submitted by the Department </w:t>
      </w:r>
      <w:proofErr w:type="gramStart"/>
      <w:r w:rsidR="00E268AE">
        <w:rPr>
          <w:rFonts w:ascii="Times New Roman" w:hAnsi="Times New Roman"/>
          <w:spacing w:val="0"/>
          <w:sz w:val="24"/>
          <w:szCs w:val="22"/>
        </w:rPr>
        <w:t>was</w:t>
      </w:r>
      <w:proofErr w:type="gramEnd"/>
      <w:r w:rsidR="00E268AE">
        <w:rPr>
          <w:rFonts w:ascii="Times New Roman" w:hAnsi="Times New Roman"/>
          <w:spacing w:val="0"/>
          <w:sz w:val="24"/>
          <w:szCs w:val="22"/>
        </w:rPr>
        <w:t xml:space="preserve"> </w:t>
      </w:r>
      <w:r w:rsidR="000E38AF">
        <w:rPr>
          <w:rFonts w:ascii="Times New Roman" w:hAnsi="Times New Roman"/>
          <w:spacing w:val="0"/>
          <w:sz w:val="24"/>
          <w:szCs w:val="22"/>
        </w:rPr>
        <w:t xml:space="preserve">at times unacceptable. </w:t>
      </w:r>
      <w:r w:rsidR="003D3B1D">
        <w:rPr>
          <w:rFonts w:ascii="Times New Roman" w:hAnsi="Times New Roman"/>
          <w:spacing w:val="0"/>
          <w:sz w:val="24"/>
          <w:szCs w:val="22"/>
        </w:rPr>
        <w:t xml:space="preserve"> The Committee indicated that the manner </w:t>
      </w:r>
      <w:r w:rsidR="00FB3AC9">
        <w:rPr>
          <w:rFonts w:ascii="Times New Roman" w:hAnsi="Times New Roman"/>
          <w:spacing w:val="0"/>
          <w:sz w:val="24"/>
          <w:szCs w:val="22"/>
        </w:rPr>
        <w:t xml:space="preserve">in which </w:t>
      </w:r>
      <w:r w:rsidR="003D3B1D">
        <w:rPr>
          <w:rFonts w:ascii="Times New Roman" w:hAnsi="Times New Roman"/>
          <w:spacing w:val="0"/>
          <w:sz w:val="24"/>
          <w:szCs w:val="22"/>
        </w:rPr>
        <w:t xml:space="preserve">the Department was responding to the Committee was indicative of the level of disrespect the officials of the Department had towards the Committee.   </w:t>
      </w:r>
      <w:r w:rsidR="00E268AE">
        <w:rPr>
          <w:rFonts w:ascii="Times New Roman" w:hAnsi="Times New Roman"/>
          <w:spacing w:val="0"/>
          <w:sz w:val="24"/>
          <w:szCs w:val="22"/>
        </w:rPr>
        <w:t xml:space="preserve">  </w:t>
      </w:r>
      <w:r>
        <w:rPr>
          <w:rFonts w:ascii="Times New Roman" w:hAnsi="Times New Roman"/>
          <w:spacing w:val="0"/>
          <w:sz w:val="24"/>
          <w:szCs w:val="22"/>
        </w:rPr>
        <w:t xml:space="preserve">   </w:t>
      </w:r>
    </w:p>
    <w:p w14:paraId="55654BC4" w14:textId="77777777" w:rsidR="00D762EB" w:rsidRPr="00A547BB" w:rsidRDefault="00D762EB" w:rsidP="00A547BB">
      <w:pPr>
        <w:spacing w:after="200" w:line="360" w:lineRule="auto"/>
        <w:contextualSpacing/>
        <w:jc w:val="both"/>
        <w:rPr>
          <w:rFonts w:ascii="Times New Roman" w:hAnsi="Times New Roman"/>
          <w:spacing w:val="0"/>
          <w:sz w:val="24"/>
          <w:szCs w:val="22"/>
        </w:rPr>
      </w:pPr>
    </w:p>
    <w:p w14:paraId="2A188ED2" w14:textId="77777777" w:rsidR="00D16F67" w:rsidRPr="00A547BB" w:rsidRDefault="00A82B6D" w:rsidP="00A547BB">
      <w:pPr>
        <w:tabs>
          <w:tab w:val="left" w:pos="709"/>
          <w:tab w:val="left" w:pos="1134"/>
        </w:tabs>
        <w:spacing w:after="200" w:line="360" w:lineRule="auto"/>
        <w:contextualSpacing/>
        <w:jc w:val="both"/>
        <w:rPr>
          <w:rFonts w:ascii="Times New Roman" w:hAnsi="Times New Roman"/>
          <w:spacing w:val="0"/>
          <w:sz w:val="24"/>
          <w:szCs w:val="22"/>
          <w:lang w:val="en-ZA"/>
        </w:rPr>
      </w:pPr>
      <w:r w:rsidRPr="00A547BB">
        <w:rPr>
          <w:rFonts w:ascii="Times New Roman" w:hAnsi="Times New Roman"/>
          <w:b/>
          <w:spacing w:val="0"/>
          <w:sz w:val="24"/>
          <w:szCs w:val="22"/>
        </w:rPr>
        <w:t>9</w:t>
      </w:r>
      <w:r w:rsidR="006247DE" w:rsidRPr="00A547BB">
        <w:rPr>
          <w:rFonts w:ascii="Times New Roman" w:hAnsi="Times New Roman"/>
          <w:b/>
          <w:spacing w:val="0"/>
          <w:sz w:val="24"/>
          <w:szCs w:val="22"/>
        </w:rPr>
        <w:t xml:space="preserve">.        </w:t>
      </w:r>
      <w:r w:rsidR="00210D2F" w:rsidRPr="00A547BB">
        <w:rPr>
          <w:rFonts w:ascii="Times New Roman" w:hAnsi="Times New Roman"/>
          <w:b/>
          <w:spacing w:val="0"/>
          <w:sz w:val="24"/>
          <w:szCs w:val="22"/>
        </w:rPr>
        <w:t>Recommendations</w:t>
      </w:r>
      <w:r w:rsidR="00703CBF" w:rsidRPr="00A547BB">
        <w:rPr>
          <w:rFonts w:ascii="Times New Roman" w:hAnsi="Times New Roman"/>
          <w:b/>
          <w:spacing w:val="0"/>
          <w:sz w:val="24"/>
          <w:szCs w:val="22"/>
        </w:rPr>
        <w:tab/>
      </w:r>
    </w:p>
    <w:p w14:paraId="0B2BE85B" w14:textId="77777777" w:rsidR="00FD0553" w:rsidRPr="00A547BB" w:rsidRDefault="00FD0553" w:rsidP="00A547BB">
      <w:pPr>
        <w:spacing w:after="200" w:line="360" w:lineRule="auto"/>
        <w:contextualSpacing/>
        <w:jc w:val="both"/>
        <w:rPr>
          <w:rFonts w:ascii="Times New Roman" w:hAnsi="Times New Roman"/>
          <w:spacing w:val="0"/>
          <w:sz w:val="24"/>
          <w:szCs w:val="22"/>
          <w:lang w:val="en-ZA"/>
        </w:rPr>
      </w:pPr>
    </w:p>
    <w:p w14:paraId="2E7DAB46" w14:textId="77777777" w:rsidR="00D16F67" w:rsidRPr="00A547BB" w:rsidRDefault="00D16F67" w:rsidP="00A547BB">
      <w:pPr>
        <w:spacing w:after="200" w:line="360" w:lineRule="auto"/>
        <w:contextualSpacing/>
        <w:jc w:val="both"/>
        <w:rPr>
          <w:rFonts w:ascii="Times New Roman" w:hAnsi="Times New Roman"/>
          <w:spacing w:val="0"/>
          <w:sz w:val="24"/>
          <w:szCs w:val="22"/>
          <w:lang w:val="en-ZA"/>
        </w:rPr>
      </w:pPr>
      <w:r w:rsidRPr="00A547BB">
        <w:rPr>
          <w:rFonts w:ascii="Times New Roman" w:hAnsi="Times New Roman"/>
          <w:spacing w:val="0"/>
          <w:sz w:val="24"/>
          <w:szCs w:val="22"/>
          <w:lang w:val="en-ZA"/>
        </w:rPr>
        <w:t>The Committee welcomes the Annual Performance Plan and 201</w:t>
      </w:r>
      <w:r w:rsidR="00210D2F" w:rsidRPr="00A547BB">
        <w:rPr>
          <w:rFonts w:ascii="Times New Roman" w:hAnsi="Times New Roman"/>
          <w:spacing w:val="0"/>
          <w:sz w:val="24"/>
          <w:szCs w:val="22"/>
          <w:lang w:val="en-ZA"/>
        </w:rPr>
        <w:t>7</w:t>
      </w:r>
      <w:r w:rsidR="00424B7B">
        <w:rPr>
          <w:rFonts w:ascii="Times New Roman" w:hAnsi="Times New Roman"/>
          <w:spacing w:val="0"/>
          <w:sz w:val="24"/>
          <w:szCs w:val="22"/>
          <w:lang w:val="en-ZA"/>
        </w:rPr>
        <w:t>/18</w:t>
      </w:r>
      <w:r w:rsidRPr="00A547BB">
        <w:rPr>
          <w:rFonts w:ascii="Times New Roman" w:hAnsi="Times New Roman"/>
          <w:spacing w:val="0"/>
          <w:sz w:val="24"/>
          <w:szCs w:val="22"/>
          <w:lang w:val="en-ZA"/>
        </w:rPr>
        <w:t xml:space="preserve"> budget of the Department of Arts and Culture. The Committee further recommends the following:</w:t>
      </w:r>
    </w:p>
    <w:p w14:paraId="26206975" w14:textId="77777777" w:rsidR="00FD0553" w:rsidRPr="00A547BB" w:rsidRDefault="00FD0553" w:rsidP="00A547BB">
      <w:pPr>
        <w:spacing w:after="200" w:line="360" w:lineRule="auto"/>
        <w:contextualSpacing/>
        <w:jc w:val="both"/>
        <w:rPr>
          <w:rFonts w:ascii="Times New Roman" w:hAnsi="Times New Roman"/>
          <w:spacing w:val="0"/>
          <w:sz w:val="24"/>
          <w:szCs w:val="22"/>
          <w:lang w:val="en-ZA"/>
        </w:rPr>
      </w:pPr>
    </w:p>
    <w:p w14:paraId="447A7CDA" w14:textId="77777777" w:rsidR="00954AAD" w:rsidRDefault="00A82B6D" w:rsidP="00954AAD">
      <w:pPr>
        <w:spacing w:after="200" w:line="360" w:lineRule="auto"/>
        <w:contextualSpacing/>
        <w:jc w:val="both"/>
        <w:rPr>
          <w:rFonts w:ascii="Times New Roman" w:hAnsi="Times New Roman"/>
          <w:b/>
          <w:spacing w:val="0"/>
          <w:sz w:val="24"/>
          <w:szCs w:val="22"/>
          <w:lang w:val="en-ZA"/>
        </w:rPr>
      </w:pPr>
      <w:r w:rsidRPr="00300A9E">
        <w:rPr>
          <w:rFonts w:ascii="Times New Roman" w:hAnsi="Times New Roman"/>
          <w:b/>
          <w:spacing w:val="0"/>
          <w:sz w:val="24"/>
          <w:szCs w:val="22"/>
          <w:lang w:val="en-ZA"/>
        </w:rPr>
        <w:t>9</w:t>
      </w:r>
      <w:r w:rsidR="00FD0553" w:rsidRPr="00300A9E">
        <w:rPr>
          <w:rFonts w:ascii="Times New Roman" w:hAnsi="Times New Roman"/>
          <w:b/>
          <w:spacing w:val="0"/>
          <w:sz w:val="24"/>
          <w:szCs w:val="22"/>
          <w:lang w:val="en-ZA"/>
        </w:rPr>
        <w:t>.1</w:t>
      </w:r>
      <w:r w:rsidR="006B7322">
        <w:rPr>
          <w:rFonts w:ascii="Times New Roman" w:hAnsi="Times New Roman"/>
          <w:b/>
          <w:spacing w:val="0"/>
          <w:sz w:val="24"/>
          <w:szCs w:val="22"/>
          <w:lang w:val="en-ZA"/>
        </w:rPr>
        <w:t xml:space="preserve"> </w:t>
      </w:r>
      <w:r w:rsidR="00954AAD">
        <w:rPr>
          <w:rFonts w:ascii="Times New Roman" w:hAnsi="Times New Roman"/>
          <w:b/>
          <w:spacing w:val="0"/>
          <w:sz w:val="24"/>
          <w:szCs w:val="22"/>
        </w:rPr>
        <w:t>Delayed a</w:t>
      </w:r>
      <w:r w:rsidR="00954AAD" w:rsidRPr="009E6AF6">
        <w:rPr>
          <w:rFonts w:ascii="Times New Roman" w:hAnsi="Times New Roman"/>
          <w:b/>
          <w:spacing w:val="0"/>
          <w:sz w:val="24"/>
          <w:szCs w:val="22"/>
        </w:rPr>
        <w:t>ppointment of the Director General</w:t>
      </w:r>
    </w:p>
    <w:p w14:paraId="2A149EBF" w14:textId="77777777" w:rsidR="006B7322" w:rsidRDefault="006B7322" w:rsidP="00881D8B">
      <w:pPr>
        <w:spacing w:after="200" w:line="360" w:lineRule="auto"/>
        <w:contextualSpacing/>
        <w:jc w:val="both"/>
        <w:rPr>
          <w:rFonts w:ascii="Times New Roman" w:hAnsi="Times New Roman"/>
          <w:spacing w:val="0"/>
          <w:sz w:val="24"/>
          <w:szCs w:val="22"/>
          <w:lang w:val="en-ZA"/>
        </w:rPr>
      </w:pPr>
      <w:r w:rsidRPr="00954AAD">
        <w:rPr>
          <w:rFonts w:ascii="Times New Roman" w:hAnsi="Times New Roman"/>
          <w:spacing w:val="0"/>
          <w:sz w:val="24"/>
          <w:szCs w:val="22"/>
          <w:lang w:val="en-ZA"/>
        </w:rPr>
        <w:t xml:space="preserve">The Department should fill the position of the DG as soon as </w:t>
      </w:r>
      <w:r w:rsidRPr="006B7322">
        <w:rPr>
          <w:rFonts w:ascii="Times New Roman" w:hAnsi="Times New Roman"/>
          <w:spacing w:val="0"/>
          <w:sz w:val="24"/>
          <w:szCs w:val="22"/>
          <w:lang w:val="en-ZA"/>
        </w:rPr>
        <w:t>possible, as</w:t>
      </w:r>
      <w:r w:rsidRPr="00954AAD">
        <w:rPr>
          <w:rFonts w:ascii="Times New Roman" w:hAnsi="Times New Roman"/>
          <w:spacing w:val="0"/>
          <w:sz w:val="24"/>
          <w:szCs w:val="22"/>
          <w:lang w:val="en-ZA"/>
        </w:rPr>
        <w:t xml:space="preserve"> it has been vacant for three years. </w:t>
      </w:r>
    </w:p>
    <w:p w14:paraId="741AE046" w14:textId="77777777" w:rsidR="00954AAD" w:rsidRDefault="00954AAD" w:rsidP="00881D8B">
      <w:pPr>
        <w:spacing w:after="200" w:line="360" w:lineRule="auto"/>
        <w:contextualSpacing/>
        <w:jc w:val="both"/>
        <w:rPr>
          <w:rFonts w:ascii="Times New Roman" w:hAnsi="Times New Roman"/>
          <w:spacing w:val="0"/>
          <w:sz w:val="24"/>
          <w:szCs w:val="22"/>
          <w:lang w:val="en-ZA"/>
        </w:rPr>
      </w:pPr>
    </w:p>
    <w:p w14:paraId="461AC3EE" w14:textId="77777777" w:rsidR="00954AAD" w:rsidRPr="00954AAD" w:rsidRDefault="006B7322" w:rsidP="00881D8B">
      <w:pPr>
        <w:spacing w:after="200" w:line="360" w:lineRule="auto"/>
        <w:contextualSpacing/>
        <w:jc w:val="both"/>
        <w:rPr>
          <w:rFonts w:ascii="Times New Roman" w:hAnsi="Times New Roman"/>
          <w:b/>
          <w:spacing w:val="0"/>
          <w:sz w:val="24"/>
          <w:szCs w:val="22"/>
          <w:lang w:val="en-ZA"/>
        </w:rPr>
      </w:pPr>
      <w:r w:rsidRPr="00954AAD">
        <w:rPr>
          <w:rFonts w:ascii="Times New Roman" w:hAnsi="Times New Roman"/>
          <w:b/>
          <w:spacing w:val="0"/>
          <w:sz w:val="24"/>
          <w:szCs w:val="22"/>
          <w:lang w:val="en-ZA"/>
        </w:rPr>
        <w:t xml:space="preserve">9.2 </w:t>
      </w:r>
      <w:r w:rsidR="00954AAD" w:rsidRPr="00954AAD">
        <w:rPr>
          <w:rFonts w:ascii="Times New Roman" w:hAnsi="Times New Roman"/>
          <w:b/>
          <w:spacing w:val="0"/>
          <w:sz w:val="24"/>
          <w:szCs w:val="22"/>
        </w:rPr>
        <w:t>Compliance with Generally Recognised Accounting Practices 103</w:t>
      </w:r>
    </w:p>
    <w:p w14:paraId="0BDB6DE3" w14:textId="77777777" w:rsidR="007F4D72" w:rsidRDefault="006B7322" w:rsidP="00881D8B">
      <w:pPr>
        <w:spacing w:after="200" w:line="360" w:lineRule="auto"/>
        <w:contextualSpacing/>
        <w:jc w:val="both"/>
        <w:rPr>
          <w:rFonts w:ascii="Times New Roman" w:hAnsi="Times New Roman"/>
          <w:spacing w:val="0"/>
          <w:sz w:val="24"/>
          <w:szCs w:val="22"/>
          <w:lang w:val="en-ZA"/>
        </w:rPr>
      </w:pPr>
      <w:r>
        <w:rPr>
          <w:rFonts w:ascii="Times New Roman" w:hAnsi="Times New Roman"/>
          <w:spacing w:val="0"/>
          <w:sz w:val="24"/>
          <w:szCs w:val="22"/>
          <w:lang w:val="en-ZA"/>
        </w:rPr>
        <w:t xml:space="preserve">Although the Committee acknowledges the challenges brought by GRAP 103, the Committee recommends that the AGSA, NT, Department and CEOs of entities should come together and come with a way of solving the matter. In the meantime, the entities should </w:t>
      </w:r>
      <w:r w:rsidR="00B05BC3">
        <w:rPr>
          <w:rFonts w:ascii="Times New Roman" w:hAnsi="Times New Roman"/>
          <w:spacing w:val="0"/>
          <w:sz w:val="24"/>
          <w:szCs w:val="22"/>
          <w:lang w:val="en-ZA"/>
        </w:rPr>
        <w:t xml:space="preserve">develop inventory to manage their collections and value some of their collection to begin complying with GRAP 103. Once collections have been values, it is critical for entities to strengthen their securities. </w:t>
      </w:r>
    </w:p>
    <w:p w14:paraId="7C134A91" w14:textId="77777777" w:rsidR="00954AAD" w:rsidRDefault="00954AAD" w:rsidP="00881D8B">
      <w:pPr>
        <w:spacing w:after="200" w:line="360" w:lineRule="auto"/>
        <w:contextualSpacing/>
        <w:jc w:val="both"/>
        <w:rPr>
          <w:rFonts w:ascii="Times New Roman" w:hAnsi="Times New Roman"/>
          <w:spacing w:val="0"/>
          <w:sz w:val="24"/>
          <w:szCs w:val="22"/>
          <w:lang w:val="en-ZA"/>
        </w:rPr>
      </w:pPr>
    </w:p>
    <w:p w14:paraId="0B20AA38" w14:textId="77777777" w:rsidR="00954AAD" w:rsidRPr="00954AAD" w:rsidRDefault="00B05BC3" w:rsidP="00954AAD">
      <w:pPr>
        <w:tabs>
          <w:tab w:val="left" w:pos="709"/>
        </w:tabs>
        <w:spacing w:after="200" w:line="360" w:lineRule="auto"/>
        <w:contextualSpacing/>
        <w:jc w:val="both"/>
        <w:rPr>
          <w:rFonts w:ascii="Times New Roman" w:hAnsi="Times New Roman"/>
          <w:b/>
          <w:spacing w:val="0"/>
          <w:sz w:val="24"/>
          <w:szCs w:val="22"/>
        </w:rPr>
      </w:pPr>
      <w:r w:rsidRPr="00954AAD">
        <w:rPr>
          <w:rFonts w:ascii="Times New Roman" w:hAnsi="Times New Roman"/>
          <w:b/>
          <w:spacing w:val="0"/>
          <w:sz w:val="24"/>
          <w:szCs w:val="22"/>
          <w:lang w:val="en-ZA"/>
        </w:rPr>
        <w:t xml:space="preserve">9.3 </w:t>
      </w:r>
      <w:r w:rsidR="00954AAD" w:rsidRPr="00954AAD">
        <w:rPr>
          <w:rFonts w:ascii="Times New Roman" w:hAnsi="Times New Roman"/>
          <w:b/>
          <w:spacing w:val="0"/>
          <w:sz w:val="24"/>
          <w:szCs w:val="22"/>
        </w:rPr>
        <w:t xml:space="preserve">Payment of audit fees by entities </w:t>
      </w:r>
    </w:p>
    <w:p w14:paraId="1B2941FB" w14:textId="4AC3FBE7" w:rsidR="004468D0" w:rsidRDefault="00FD013F" w:rsidP="00881D8B">
      <w:pPr>
        <w:spacing w:after="200" w:line="360" w:lineRule="auto"/>
        <w:contextualSpacing/>
        <w:jc w:val="both"/>
        <w:rPr>
          <w:rFonts w:ascii="Times New Roman" w:hAnsi="Times New Roman"/>
          <w:spacing w:val="0"/>
          <w:sz w:val="24"/>
          <w:szCs w:val="22"/>
          <w:lang w:val="en-ZA"/>
        </w:rPr>
      </w:pPr>
      <w:r w:rsidRPr="001427B9">
        <w:rPr>
          <w:rFonts w:ascii="Times New Roman" w:hAnsi="Times New Roman"/>
          <w:spacing w:val="0"/>
          <w:sz w:val="24"/>
          <w:szCs w:val="22"/>
          <w:lang w:val="en-ZA"/>
        </w:rPr>
        <w:t xml:space="preserve">The </w:t>
      </w:r>
      <w:r>
        <w:rPr>
          <w:rFonts w:ascii="Times New Roman" w:hAnsi="Times New Roman"/>
          <w:spacing w:val="0"/>
          <w:sz w:val="24"/>
          <w:szCs w:val="22"/>
          <w:lang w:val="en-ZA"/>
        </w:rPr>
        <w:t>Auditor General should ensure that the settlement letters are submitted to the National Treasury</w:t>
      </w:r>
      <w:r w:rsidR="008D58F4">
        <w:rPr>
          <w:rFonts w:ascii="Times New Roman" w:hAnsi="Times New Roman"/>
          <w:spacing w:val="0"/>
          <w:sz w:val="24"/>
          <w:szCs w:val="22"/>
          <w:lang w:val="en-ZA"/>
        </w:rPr>
        <w:t xml:space="preserve"> for payments</w:t>
      </w:r>
      <w:r>
        <w:rPr>
          <w:rFonts w:ascii="Times New Roman" w:hAnsi="Times New Roman"/>
          <w:spacing w:val="0"/>
          <w:sz w:val="24"/>
          <w:szCs w:val="22"/>
          <w:lang w:val="en-ZA"/>
        </w:rPr>
        <w:t xml:space="preserve"> and </w:t>
      </w:r>
      <w:r w:rsidR="008D58F4">
        <w:rPr>
          <w:rFonts w:ascii="Times New Roman" w:hAnsi="Times New Roman"/>
          <w:spacing w:val="0"/>
          <w:sz w:val="24"/>
          <w:szCs w:val="22"/>
          <w:lang w:val="en-ZA"/>
        </w:rPr>
        <w:t xml:space="preserve">National Treasury should ensure </w:t>
      </w:r>
      <w:r>
        <w:rPr>
          <w:rFonts w:ascii="Times New Roman" w:hAnsi="Times New Roman"/>
          <w:spacing w:val="0"/>
          <w:sz w:val="24"/>
          <w:szCs w:val="22"/>
          <w:lang w:val="en-ZA"/>
        </w:rPr>
        <w:t>d</w:t>
      </w:r>
      <w:r w:rsidR="00DC10A0">
        <w:rPr>
          <w:rFonts w:ascii="Times New Roman" w:hAnsi="Times New Roman"/>
          <w:spacing w:val="0"/>
          <w:sz w:val="24"/>
          <w:szCs w:val="22"/>
          <w:lang w:val="en-ZA"/>
        </w:rPr>
        <w:t>e</w:t>
      </w:r>
      <w:r>
        <w:rPr>
          <w:rFonts w:ascii="Times New Roman" w:hAnsi="Times New Roman"/>
          <w:spacing w:val="0"/>
          <w:sz w:val="24"/>
          <w:szCs w:val="22"/>
          <w:lang w:val="en-ZA"/>
        </w:rPr>
        <w:t xml:space="preserve">bts are settled timesously. </w:t>
      </w:r>
    </w:p>
    <w:p w14:paraId="5EADC396" w14:textId="77777777" w:rsidR="0056211F" w:rsidRDefault="0056211F" w:rsidP="00881D8B">
      <w:pPr>
        <w:spacing w:after="200" w:line="360" w:lineRule="auto"/>
        <w:contextualSpacing/>
        <w:jc w:val="both"/>
        <w:rPr>
          <w:rFonts w:ascii="Times New Roman" w:hAnsi="Times New Roman"/>
          <w:spacing w:val="0"/>
          <w:sz w:val="24"/>
          <w:szCs w:val="22"/>
          <w:lang w:val="en-ZA"/>
        </w:rPr>
      </w:pPr>
    </w:p>
    <w:p w14:paraId="4B3534B2" w14:textId="77777777" w:rsidR="0056211F" w:rsidRPr="001427B9" w:rsidRDefault="0056211F" w:rsidP="00881D8B">
      <w:pPr>
        <w:spacing w:after="200" w:line="360" w:lineRule="auto"/>
        <w:contextualSpacing/>
        <w:jc w:val="both"/>
        <w:rPr>
          <w:rFonts w:ascii="Times New Roman" w:hAnsi="Times New Roman"/>
          <w:spacing w:val="0"/>
          <w:sz w:val="24"/>
          <w:szCs w:val="22"/>
          <w:lang w:val="en-ZA"/>
        </w:rPr>
      </w:pPr>
    </w:p>
    <w:p w14:paraId="18D4F947" w14:textId="77777777" w:rsidR="00954AAD" w:rsidRPr="00954AAD" w:rsidRDefault="004B7EC1" w:rsidP="00881D8B">
      <w:pPr>
        <w:spacing w:after="200" w:line="360" w:lineRule="auto"/>
        <w:contextualSpacing/>
        <w:jc w:val="both"/>
        <w:rPr>
          <w:rFonts w:ascii="Times New Roman" w:hAnsi="Times New Roman"/>
          <w:b/>
          <w:spacing w:val="0"/>
          <w:sz w:val="24"/>
          <w:szCs w:val="22"/>
          <w:lang w:val="en-ZA"/>
        </w:rPr>
      </w:pPr>
      <w:r w:rsidRPr="00954AAD">
        <w:rPr>
          <w:rFonts w:ascii="Times New Roman" w:hAnsi="Times New Roman"/>
          <w:b/>
          <w:spacing w:val="0"/>
          <w:sz w:val="24"/>
          <w:szCs w:val="22"/>
          <w:lang w:val="en-ZA"/>
        </w:rPr>
        <w:t xml:space="preserve">9.4 </w:t>
      </w:r>
      <w:r w:rsidR="00954AAD" w:rsidRPr="00954AAD">
        <w:rPr>
          <w:rFonts w:ascii="Times New Roman" w:hAnsi="Times New Roman"/>
          <w:b/>
          <w:spacing w:val="0"/>
          <w:sz w:val="24"/>
          <w:szCs w:val="22"/>
        </w:rPr>
        <w:t>Funding Model of the Department to the entities</w:t>
      </w:r>
    </w:p>
    <w:p w14:paraId="3D6BCA05" w14:textId="5BA3B4D8" w:rsidR="00B05BC3" w:rsidRDefault="004B7EC1" w:rsidP="00881D8B">
      <w:pPr>
        <w:spacing w:after="200" w:line="360" w:lineRule="auto"/>
        <w:contextualSpacing/>
        <w:jc w:val="both"/>
        <w:rPr>
          <w:rFonts w:ascii="Times New Roman" w:hAnsi="Times New Roman"/>
          <w:spacing w:val="0"/>
          <w:sz w:val="24"/>
          <w:szCs w:val="22"/>
          <w:lang w:val="en-ZA"/>
        </w:rPr>
      </w:pPr>
      <w:r>
        <w:rPr>
          <w:rFonts w:ascii="Times New Roman" w:hAnsi="Times New Roman"/>
          <w:spacing w:val="0"/>
          <w:sz w:val="24"/>
          <w:szCs w:val="22"/>
          <w:lang w:val="en-ZA"/>
        </w:rPr>
        <w:t>The Department should develop a funding model for all entities and organisations that receive funding fr</w:t>
      </w:r>
      <w:r w:rsidR="00C141FB">
        <w:rPr>
          <w:rFonts w:ascii="Times New Roman" w:hAnsi="Times New Roman"/>
          <w:spacing w:val="0"/>
          <w:sz w:val="24"/>
          <w:szCs w:val="22"/>
          <w:lang w:val="en-ZA"/>
        </w:rPr>
        <w:t>o</w:t>
      </w:r>
      <w:r>
        <w:rPr>
          <w:rFonts w:ascii="Times New Roman" w:hAnsi="Times New Roman"/>
          <w:spacing w:val="0"/>
          <w:sz w:val="24"/>
          <w:szCs w:val="22"/>
          <w:lang w:val="en-ZA"/>
        </w:rPr>
        <w:t xml:space="preserve">m it. This will make the funding to be transparent. </w:t>
      </w:r>
    </w:p>
    <w:p w14:paraId="6B32089E" w14:textId="77777777" w:rsidR="00954AAD" w:rsidRPr="00954AAD" w:rsidRDefault="00954AAD" w:rsidP="00881D8B">
      <w:pPr>
        <w:spacing w:after="200" w:line="360" w:lineRule="auto"/>
        <w:contextualSpacing/>
        <w:jc w:val="both"/>
        <w:rPr>
          <w:rFonts w:ascii="Times New Roman" w:hAnsi="Times New Roman"/>
          <w:b/>
          <w:spacing w:val="0"/>
          <w:sz w:val="24"/>
          <w:szCs w:val="22"/>
          <w:lang w:val="en-ZA"/>
        </w:rPr>
      </w:pPr>
    </w:p>
    <w:p w14:paraId="79817754" w14:textId="77777777" w:rsidR="00954AAD" w:rsidRPr="00954AAD" w:rsidRDefault="004B7EC1" w:rsidP="00954AAD">
      <w:pPr>
        <w:spacing w:after="200" w:line="360" w:lineRule="auto"/>
        <w:contextualSpacing/>
        <w:jc w:val="both"/>
        <w:rPr>
          <w:rFonts w:ascii="Times New Roman" w:hAnsi="Times New Roman"/>
          <w:b/>
          <w:spacing w:val="0"/>
          <w:sz w:val="24"/>
          <w:szCs w:val="22"/>
          <w:lang w:val="en-ZA"/>
        </w:rPr>
      </w:pPr>
      <w:r w:rsidRPr="00954AAD">
        <w:rPr>
          <w:rFonts w:ascii="Times New Roman" w:hAnsi="Times New Roman"/>
          <w:b/>
          <w:spacing w:val="0"/>
          <w:sz w:val="24"/>
          <w:szCs w:val="22"/>
          <w:lang w:val="en-ZA"/>
        </w:rPr>
        <w:t xml:space="preserve">9.5 </w:t>
      </w:r>
      <w:r w:rsidR="00954AAD" w:rsidRPr="00954AAD">
        <w:rPr>
          <w:rFonts w:ascii="Times New Roman" w:hAnsi="Times New Roman"/>
          <w:b/>
          <w:spacing w:val="0"/>
          <w:sz w:val="24"/>
          <w:szCs w:val="22"/>
        </w:rPr>
        <w:t>Funding of Orchestra’s</w:t>
      </w:r>
    </w:p>
    <w:p w14:paraId="76CBBAF0" w14:textId="77777777" w:rsidR="004B7EC1" w:rsidRDefault="004B7EC1" w:rsidP="00881D8B">
      <w:pPr>
        <w:spacing w:after="200" w:line="360" w:lineRule="auto"/>
        <w:contextualSpacing/>
        <w:jc w:val="both"/>
        <w:rPr>
          <w:rFonts w:ascii="Times New Roman" w:hAnsi="Times New Roman"/>
          <w:spacing w:val="0"/>
          <w:sz w:val="24"/>
          <w:szCs w:val="22"/>
          <w:lang w:val="en-ZA"/>
        </w:rPr>
      </w:pPr>
      <w:r>
        <w:rPr>
          <w:rFonts w:ascii="Times New Roman" w:hAnsi="Times New Roman"/>
          <w:spacing w:val="0"/>
          <w:sz w:val="24"/>
          <w:szCs w:val="22"/>
          <w:lang w:val="en-ZA"/>
        </w:rPr>
        <w:t>The Department should develop a clear policy on ring-fencing of funds for Orchestras. The Committee fur</w:t>
      </w:r>
      <w:r w:rsidR="00954AAD">
        <w:rPr>
          <w:rFonts w:ascii="Times New Roman" w:hAnsi="Times New Roman"/>
          <w:spacing w:val="0"/>
          <w:sz w:val="24"/>
          <w:szCs w:val="22"/>
          <w:lang w:val="en-ZA"/>
        </w:rPr>
        <w:t xml:space="preserve">ther recommended that there should be a policy to explain the processing of Orchestra ring-fenced funds through National Arts Council. </w:t>
      </w:r>
    </w:p>
    <w:p w14:paraId="00CF78E9" w14:textId="77777777" w:rsidR="00437BD1" w:rsidRDefault="00437BD1" w:rsidP="00881D8B">
      <w:pPr>
        <w:spacing w:after="200" w:line="360" w:lineRule="auto"/>
        <w:contextualSpacing/>
        <w:jc w:val="both"/>
        <w:rPr>
          <w:rFonts w:ascii="Times New Roman" w:hAnsi="Times New Roman"/>
          <w:spacing w:val="0"/>
          <w:sz w:val="24"/>
          <w:szCs w:val="22"/>
          <w:lang w:val="en-ZA"/>
        </w:rPr>
      </w:pPr>
    </w:p>
    <w:p w14:paraId="325E2F87" w14:textId="77777777" w:rsidR="00437BD1" w:rsidRPr="00DB04D7" w:rsidRDefault="00437BD1" w:rsidP="00DB04D7">
      <w:pPr>
        <w:spacing w:line="360" w:lineRule="auto"/>
        <w:rPr>
          <w:rFonts w:ascii="Times New Roman" w:hAnsi="Times New Roman"/>
          <w:sz w:val="24"/>
        </w:rPr>
      </w:pPr>
      <w:r w:rsidRPr="00DB04D7">
        <w:rPr>
          <w:rFonts w:ascii="Times New Roman" w:hAnsi="Times New Roman"/>
          <w:b/>
          <w:sz w:val="24"/>
        </w:rPr>
        <w:t>9.6 Finalisation of the Enyokeni Project</w:t>
      </w:r>
    </w:p>
    <w:p w14:paraId="62522050" w14:textId="4BE378A3" w:rsidR="00437BD1" w:rsidRPr="00DB04D7" w:rsidRDefault="00437BD1" w:rsidP="00DB04D7">
      <w:pPr>
        <w:spacing w:line="360" w:lineRule="auto"/>
        <w:rPr>
          <w:rFonts w:ascii="Times New Roman" w:hAnsi="Times New Roman"/>
          <w:sz w:val="24"/>
        </w:rPr>
      </w:pPr>
      <w:r w:rsidRPr="00DB04D7">
        <w:rPr>
          <w:rFonts w:ascii="Times New Roman" w:hAnsi="Times New Roman"/>
          <w:sz w:val="24"/>
        </w:rPr>
        <w:t xml:space="preserve">The Department should </w:t>
      </w:r>
      <w:r w:rsidR="0056211F">
        <w:rPr>
          <w:rFonts w:ascii="Times New Roman" w:hAnsi="Times New Roman"/>
          <w:sz w:val="24"/>
        </w:rPr>
        <w:t xml:space="preserve">be cautiousthat a situation such as </w:t>
      </w:r>
      <w:proofErr w:type="gramStart"/>
      <w:r w:rsidR="0056211F">
        <w:rPr>
          <w:rFonts w:ascii="Times New Roman" w:hAnsi="Times New Roman"/>
          <w:sz w:val="24"/>
        </w:rPr>
        <w:t xml:space="preserve">the </w:t>
      </w:r>
      <w:r w:rsidRPr="00DB04D7">
        <w:rPr>
          <w:rFonts w:ascii="Times New Roman" w:hAnsi="Times New Roman"/>
          <w:sz w:val="24"/>
        </w:rPr>
        <w:t xml:space="preserve"> Enyokeni</w:t>
      </w:r>
      <w:proofErr w:type="gramEnd"/>
      <w:r w:rsidRPr="00DB04D7">
        <w:rPr>
          <w:rFonts w:ascii="Times New Roman" w:hAnsi="Times New Roman"/>
          <w:sz w:val="24"/>
        </w:rPr>
        <w:t xml:space="preserve"> Projects</w:t>
      </w:r>
      <w:r w:rsidR="0056211F">
        <w:rPr>
          <w:rFonts w:ascii="Times New Roman" w:hAnsi="Times New Roman"/>
          <w:sz w:val="24"/>
        </w:rPr>
        <w:t xml:space="preserve"> does not </w:t>
      </w:r>
      <w:r w:rsidR="00BF09A2">
        <w:rPr>
          <w:rFonts w:ascii="Times New Roman" w:hAnsi="Times New Roman"/>
          <w:sz w:val="24"/>
        </w:rPr>
        <w:t>happen again</w:t>
      </w:r>
      <w:r w:rsidRPr="00DB04D7">
        <w:rPr>
          <w:rFonts w:ascii="Times New Roman" w:hAnsi="Times New Roman"/>
          <w:sz w:val="24"/>
        </w:rPr>
        <w:t xml:space="preserve"> as it would create a bad precedence for the Department. This may give other organisations a scope to demand the Department to do the same to them as well. The Department should speed up the investigation on the Enyokeni Project so that officials implicated can be brought to book. </w:t>
      </w:r>
    </w:p>
    <w:p w14:paraId="03AE9357" w14:textId="77777777" w:rsidR="00437BD1" w:rsidRPr="00DB04D7" w:rsidRDefault="00437BD1" w:rsidP="00DB04D7">
      <w:pPr>
        <w:spacing w:line="360" w:lineRule="auto"/>
        <w:rPr>
          <w:rFonts w:ascii="Times New Roman" w:hAnsi="Times New Roman"/>
          <w:sz w:val="24"/>
        </w:rPr>
      </w:pPr>
    </w:p>
    <w:p w14:paraId="5B572C8C" w14:textId="77777777" w:rsidR="00437BD1" w:rsidRPr="00DB04D7" w:rsidRDefault="00437BD1" w:rsidP="00DB04D7">
      <w:pPr>
        <w:spacing w:line="360" w:lineRule="auto"/>
        <w:rPr>
          <w:rFonts w:ascii="Times New Roman" w:hAnsi="Times New Roman"/>
          <w:b/>
          <w:sz w:val="24"/>
        </w:rPr>
      </w:pPr>
      <w:r w:rsidRPr="00DB04D7">
        <w:rPr>
          <w:rFonts w:ascii="Times New Roman" w:hAnsi="Times New Roman"/>
          <w:b/>
          <w:sz w:val="24"/>
        </w:rPr>
        <w:t>9.7   Underspending on infrastructure by the Department</w:t>
      </w:r>
    </w:p>
    <w:p w14:paraId="3A54DCB0" w14:textId="77777777" w:rsidR="00437BD1" w:rsidRDefault="00437BD1" w:rsidP="00DB04D7">
      <w:pPr>
        <w:spacing w:line="360" w:lineRule="auto"/>
        <w:rPr>
          <w:rFonts w:ascii="Times New Roman" w:hAnsi="Times New Roman"/>
          <w:sz w:val="24"/>
        </w:rPr>
      </w:pPr>
      <w:r w:rsidRPr="00DB04D7">
        <w:rPr>
          <w:rFonts w:ascii="Times New Roman" w:hAnsi="Times New Roman"/>
          <w:sz w:val="24"/>
        </w:rPr>
        <w:t xml:space="preserve">The Department and Department of Public Works should iron out their administrative glitches when it comes to invoicing so as to curb the infrastructure underspending. </w:t>
      </w:r>
    </w:p>
    <w:p w14:paraId="64A32001" w14:textId="77777777" w:rsidR="00437BD1" w:rsidRPr="00DB04D7" w:rsidRDefault="00437BD1" w:rsidP="00DB04D7">
      <w:pPr>
        <w:spacing w:line="360" w:lineRule="auto"/>
        <w:rPr>
          <w:rFonts w:ascii="Times New Roman" w:hAnsi="Times New Roman"/>
          <w:sz w:val="24"/>
        </w:rPr>
      </w:pPr>
    </w:p>
    <w:p w14:paraId="610FBEEC" w14:textId="77777777" w:rsidR="00437BD1" w:rsidRPr="00DB04D7" w:rsidRDefault="00437BD1" w:rsidP="00DB04D7">
      <w:pPr>
        <w:spacing w:line="360" w:lineRule="auto"/>
        <w:rPr>
          <w:rFonts w:ascii="Times New Roman" w:hAnsi="Times New Roman"/>
          <w:b/>
          <w:sz w:val="24"/>
        </w:rPr>
      </w:pPr>
      <w:r w:rsidRPr="00DB04D7">
        <w:rPr>
          <w:rFonts w:ascii="Times New Roman" w:hAnsi="Times New Roman"/>
          <w:b/>
          <w:sz w:val="24"/>
        </w:rPr>
        <w:t>9.8 Infighting within the entities</w:t>
      </w:r>
    </w:p>
    <w:p w14:paraId="341C478A" w14:textId="74F8DFDC" w:rsidR="00437BD1" w:rsidRPr="00DB04D7" w:rsidRDefault="00437BD1" w:rsidP="00DB04D7">
      <w:pPr>
        <w:spacing w:line="360" w:lineRule="auto"/>
        <w:rPr>
          <w:rFonts w:ascii="Times New Roman" w:hAnsi="Times New Roman"/>
          <w:sz w:val="24"/>
        </w:rPr>
      </w:pPr>
      <w:r w:rsidRPr="00DB04D7">
        <w:rPr>
          <w:rFonts w:ascii="Times New Roman" w:hAnsi="Times New Roman"/>
          <w:sz w:val="24"/>
        </w:rPr>
        <w:t>The Department should manage the relations between management and Councils</w:t>
      </w:r>
      <w:r w:rsidR="00C82B6D">
        <w:rPr>
          <w:rFonts w:ascii="Times New Roman" w:hAnsi="Times New Roman"/>
          <w:sz w:val="24"/>
        </w:rPr>
        <w:t>/Boards</w:t>
      </w:r>
      <w:r w:rsidRPr="00DB04D7">
        <w:rPr>
          <w:rFonts w:ascii="Times New Roman" w:hAnsi="Times New Roman"/>
          <w:sz w:val="24"/>
        </w:rPr>
        <w:t xml:space="preserve"> of entities by monitoring them close so as to know their challenges on time</w:t>
      </w:r>
      <w:r w:rsidR="00BF09A2">
        <w:rPr>
          <w:rFonts w:ascii="Times New Roman" w:hAnsi="Times New Roman"/>
          <w:sz w:val="24"/>
        </w:rPr>
        <w:t xml:space="preserve"> and ensure that the entities follow</w:t>
      </w:r>
      <w:r w:rsidR="00C82B6D">
        <w:rPr>
          <w:rFonts w:ascii="Times New Roman" w:hAnsi="Times New Roman"/>
          <w:sz w:val="24"/>
        </w:rPr>
        <w:t xml:space="preserve"> </w:t>
      </w:r>
      <w:r w:rsidR="008D58F4">
        <w:rPr>
          <w:rFonts w:ascii="Times New Roman" w:hAnsi="Times New Roman"/>
          <w:sz w:val="24"/>
        </w:rPr>
        <w:t>proper and legal processes</w:t>
      </w:r>
      <w:r w:rsidRPr="00DB04D7">
        <w:rPr>
          <w:rFonts w:ascii="Times New Roman" w:hAnsi="Times New Roman"/>
          <w:sz w:val="24"/>
        </w:rPr>
        <w:t xml:space="preserve">. </w:t>
      </w:r>
      <w:r w:rsidR="00BF09A2">
        <w:rPr>
          <w:rFonts w:ascii="Times New Roman" w:hAnsi="Times New Roman"/>
          <w:sz w:val="24"/>
        </w:rPr>
        <w:t xml:space="preserve">The Department should also ensure proper inductions are conducted for Councils/Boards.   </w:t>
      </w:r>
    </w:p>
    <w:p w14:paraId="3BF150E0" w14:textId="77777777" w:rsidR="00437BD1" w:rsidRPr="00DB04D7" w:rsidRDefault="00437BD1" w:rsidP="00DB04D7">
      <w:pPr>
        <w:spacing w:line="360" w:lineRule="auto"/>
        <w:rPr>
          <w:rFonts w:ascii="Times New Roman" w:hAnsi="Times New Roman"/>
          <w:sz w:val="24"/>
        </w:rPr>
      </w:pPr>
    </w:p>
    <w:p w14:paraId="33B86FC0" w14:textId="77777777" w:rsidR="00437BD1" w:rsidRPr="00DB04D7" w:rsidRDefault="00437BD1" w:rsidP="00DB04D7">
      <w:pPr>
        <w:spacing w:line="360" w:lineRule="auto"/>
        <w:rPr>
          <w:rFonts w:ascii="Times New Roman" w:hAnsi="Times New Roman"/>
          <w:b/>
          <w:sz w:val="24"/>
        </w:rPr>
      </w:pPr>
      <w:r w:rsidRPr="00DB04D7">
        <w:rPr>
          <w:rFonts w:ascii="Times New Roman" w:hAnsi="Times New Roman"/>
          <w:b/>
          <w:sz w:val="24"/>
        </w:rPr>
        <w:t>9.9 Quality of information</w:t>
      </w:r>
    </w:p>
    <w:p w14:paraId="45A3F270" w14:textId="303FEFF0" w:rsidR="00437BD1" w:rsidRPr="00DB04D7" w:rsidRDefault="00437BD1" w:rsidP="00DB04D7">
      <w:pPr>
        <w:spacing w:line="360" w:lineRule="auto"/>
        <w:rPr>
          <w:rFonts w:ascii="Times New Roman" w:hAnsi="Times New Roman"/>
          <w:sz w:val="24"/>
        </w:rPr>
      </w:pPr>
      <w:r w:rsidRPr="00DB04D7">
        <w:rPr>
          <w:rFonts w:ascii="Times New Roman" w:hAnsi="Times New Roman"/>
          <w:sz w:val="24"/>
        </w:rPr>
        <w:t>The Department should quality check all its documen</w:t>
      </w:r>
      <w:r w:rsidR="003549B9" w:rsidRPr="003549B9">
        <w:rPr>
          <w:rFonts w:ascii="Times New Roman" w:hAnsi="Times New Roman"/>
          <w:sz w:val="24"/>
        </w:rPr>
        <w:t xml:space="preserve">ts </w:t>
      </w:r>
      <w:r w:rsidR="00BF09A2">
        <w:rPr>
          <w:rFonts w:ascii="Times New Roman" w:hAnsi="Times New Roman"/>
          <w:sz w:val="24"/>
        </w:rPr>
        <w:t xml:space="preserve">and ensure that the information is </w:t>
      </w:r>
      <w:proofErr w:type="gramStart"/>
      <w:r w:rsidR="00BF09A2">
        <w:rPr>
          <w:rFonts w:ascii="Times New Roman" w:hAnsi="Times New Roman"/>
          <w:sz w:val="24"/>
        </w:rPr>
        <w:t xml:space="preserve">correct  </w:t>
      </w:r>
      <w:r w:rsidR="003549B9" w:rsidRPr="003549B9">
        <w:rPr>
          <w:rFonts w:ascii="Times New Roman" w:hAnsi="Times New Roman"/>
          <w:sz w:val="24"/>
        </w:rPr>
        <w:t>before</w:t>
      </w:r>
      <w:proofErr w:type="gramEnd"/>
      <w:r w:rsidR="003549B9" w:rsidRPr="003549B9">
        <w:rPr>
          <w:rFonts w:ascii="Times New Roman" w:hAnsi="Times New Roman"/>
          <w:sz w:val="24"/>
        </w:rPr>
        <w:t xml:space="preserve"> it sends them to the </w:t>
      </w:r>
      <w:r w:rsidR="003549B9">
        <w:rPr>
          <w:rFonts w:ascii="Times New Roman" w:hAnsi="Times New Roman"/>
          <w:sz w:val="24"/>
        </w:rPr>
        <w:t>C</w:t>
      </w:r>
      <w:r w:rsidRPr="00DB04D7">
        <w:rPr>
          <w:rFonts w:ascii="Times New Roman" w:hAnsi="Times New Roman"/>
          <w:sz w:val="24"/>
        </w:rPr>
        <w:t xml:space="preserve">ommittee as these documents become public documents when they arrive at the </w:t>
      </w:r>
      <w:r w:rsidR="00EB5339">
        <w:rPr>
          <w:rFonts w:ascii="Times New Roman" w:hAnsi="Times New Roman"/>
          <w:sz w:val="24"/>
        </w:rPr>
        <w:t>C</w:t>
      </w:r>
      <w:r w:rsidRPr="00DB04D7">
        <w:rPr>
          <w:rFonts w:ascii="Times New Roman" w:hAnsi="Times New Roman"/>
          <w:sz w:val="24"/>
        </w:rPr>
        <w:t xml:space="preserve">ommittee. </w:t>
      </w:r>
    </w:p>
    <w:p w14:paraId="3D989CC9" w14:textId="77777777" w:rsidR="00B05BC3" w:rsidRDefault="00B05BC3" w:rsidP="00881D8B">
      <w:pPr>
        <w:spacing w:after="200" w:line="360" w:lineRule="auto"/>
        <w:contextualSpacing/>
        <w:jc w:val="both"/>
        <w:rPr>
          <w:rFonts w:ascii="Times New Roman" w:hAnsi="Times New Roman"/>
          <w:spacing w:val="0"/>
          <w:sz w:val="24"/>
          <w:szCs w:val="22"/>
          <w:lang w:val="en-ZA"/>
        </w:rPr>
      </w:pPr>
    </w:p>
    <w:p w14:paraId="22C3ACA7" w14:textId="77777777" w:rsidR="00437BD1" w:rsidRDefault="00437BD1" w:rsidP="00881D8B">
      <w:pPr>
        <w:spacing w:after="200" w:line="360" w:lineRule="auto"/>
        <w:contextualSpacing/>
        <w:jc w:val="both"/>
        <w:rPr>
          <w:rFonts w:ascii="Times New Roman" w:hAnsi="Times New Roman"/>
          <w:spacing w:val="0"/>
          <w:sz w:val="24"/>
          <w:szCs w:val="22"/>
          <w:lang w:val="en-ZA"/>
        </w:rPr>
      </w:pPr>
    </w:p>
    <w:p w14:paraId="47C35025" w14:textId="77777777" w:rsidR="00437BD1" w:rsidRPr="00954AAD" w:rsidRDefault="00437BD1" w:rsidP="00881D8B">
      <w:pPr>
        <w:spacing w:after="200" w:line="360" w:lineRule="auto"/>
        <w:contextualSpacing/>
        <w:jc w:val="both"/>
        <w:rPr>
          <w:rFonts w:ascii="Times New Roman" w:hAnsi="Times New Roman"/>
          <w:spacing w:val="0"/>
          <w:sz w:val="24"/>
          <w:szCs w:val="22"/>
          <w:lang w:val="en-ZA"/>
        </w:rPr>
      </w:pPr>
    </w:p>
    <w:p w14:paraId="2AE66E3D" w14:textId="77777777" w:rsidR="00D16F67" w:rsidRPr="00A547BB" w:rsidRDefault="00A82B6D" w:rsidP="00A547BB">
      <w:pPr>
        <w:spacing w:line="360" w:lineRule="auto"/>
        <w:jc w:val="both"/>
        <w:rPr>
          <w:rFonts w:ascii="Times New Roman" w:hAnsi="Times New Roman"/>
          <w:b/>
          <w:spacing w:val="0"/>
          <w:sz w:val="24"/>
          <w:szCs w:val="22"/>
          <w:lang w:val="en-ZA"/>
        </w:rPr>
      </w:pPr>
      <w:r w:rsidRPr="00A547BB">
        <w:rPr>
          <w:rFonts w:ascii="Times New Roman" w:hAnsi="Times New Roman"/>
          <w:b/>
          <w:spacing w:val="0"/>
          <w:sz w:val="24"/>
          <w:szCs w:val="22"/>
          <w:lang w:val="en-ZA"/>
        </w:rPr>
        <w:t>10</w:t>
      </w:r>
      <w:r w:rsidR="00D16F67" w:rsidRPr="00A547BB">
        <w:rPr>
          <w:rFonts w:ascii="Times New Roman" w:hAnsi="Times New Roman"/>
          <w:b/>
          <w:spacing w:val="0"/>
          <w:sz w:val="24"/>
          <w:szCs w:val="22"/>
          <w:lang w:val="en-ZA"/>
        </w:rPr>
        <w:t>.</w:t>
      </w:r>
      <w:r w:rsidR="00D16F67" w:rsidRPr="00A547BB">
        <w:rPr>
          <w:rFonts w:ascii="Times New Roman" w:hAnsi="Times New Roman"/>
          <w:b/>
          <w:spacing w:val="0"/>
          <w:sz w:val="24"/>
          <w:szCs w:val="22"/>
          <w:lang w:val="en-ZA"/>
        </w:rPr>
        <w:tab/>
        <w:t>Conclusion</w:t>
      </w:r>
    </w:p>
    <w:p w14:paraId="651FE8FC" w14:textId="77777777" w:rsidR="00D16F67" w:rsidRPr="00A547BB" w:rsidRDefault="00D16F67" w:rsidP="00A547BB">
      <w:pPr>
        <w:spacing w:line="360" w:lineRule="auto"/>
        <w:jc w:val="both"/>
        <w:rPr>
          <w:rFonts w:ascii="Times New Roman" w:hAnsi="Times New Roman"/>
          <w:spacing w:val="0"/>
          <w:sz w:val="24"/>
          <w:szCs w:val="22"/>
          <w:lang w:val="en-ZA"/>
        </w:rPr>
      </w:pPr>
    </w:p>
    <w:p w14:paraId="1439E8B0" w14:textId="77777777" w:rsidR="00D16F67" w:rsidRPr="00A547BB" w:rsidRDefault="00D16F67" w:rsidP="00A547BB">
      <w:pPr>
        <w:spacing w:line="360" w:lineRule="auto"/>
        <w:jc w:val="both"/>
        <w:rPr>
          <w:rFonts w:ascii="Times New Roman" w:hAnsi="Times New Roman"/>
          <w:spacing w:val="0"/>
          <w:sz w:val="24"/>
          <w:szCs w:val="22"/>
          <w:lang w:val="en-ZA"/>
        </w:rPr>
      </w:pPr>
      <w:r w:rsidRPr="00A547BB">
        <w:rPr>
          <w:rFonts w:ascii="Times New Roman" w:hAnsi="Times New Roman"/>
          <w:spacing w:val="0"/>
          <w:sz w:val="24"/>
          <w:szCs w:val="22"/>
          <w:lang w:val="en-ZA"/>
        </w:rPr>
        <w:t xml:space="preserve">The Portfolio Committee acknowledges the importance of the mandate of the Department of Arts and Culture in building and uniting South Africa. The Committee recommends that the House adopts the Budget Vote </w:t>
      </w:r>
      <w:r w:rsidR="006D3CAB" w:rsidRPr="00A547BB">
        <w:rPr>
          <w:rFonts w:ascii="Times New Roman" w:hAnsi="Times New Roman"/>
          <w:spacing w:val="0"/>
          <w:sz w:val="24"/>
          <w:szCs w:val="22"/>
          <w:lang w:val="en-ZA"/>
        </w:rPr>
        <w:t xml:space="preserve">Report </w:t>
      </w:r>
      <w:r w:rsidRPr="00A547BB">
        <w:rPr>
          <w:rFonts w:ascii="Times New Roman" w:hAnsi="Times New Roman"/>
          <w:spacing w:val="0"/>
          <w:sz w:val="24"/>
          <w:szCs w:val="22"/>
          <w:lang w:val="en-ZA"/>
        </w:rPr>
        <w:t xml:space="preserve">of </w:t>
      </w:r>
      <w:r w:rsidR="009B5B19" w:rsidRPr="00A547BB">
        <w:rPr>
          <w:rFonts w:ascii="Times New Roman" w:hAnsi="Times New Roman"/>
          <w:spacing w:val="0"/>
          <w:sz w:val="24"/>
          <w:szCs w:val="22"/>
          <w:lang w:val="en-ZA"/>
        </w:rPr>
        <w:t>Vote 37:</w:t>
      </w:r>
      <w:r w:rsidRPr="00A547BB">
        <w:rPr>
          <w:rFonts w:ascii="Times New Roman" w:hAnsi="Times New Roman"/>
          <w:spacing w:val="0"/>
          <w:sz w:val="24"/>
          <w:szCs w:val="22"/>
          <w:lang w:val="en-ZA"/>
        </w:rPr>
        <w:t xml:space="preserve"> Department of Arts and Culture.</w:t>
      </w:r>
    </w:p>
    <w:p w14:paraId="0CA052F3" w14:textId="77777777" w:rsidR="00D16F67" w:rsidRPr="00A547BB" w:rsidRDefault="00D16F67" w:rsidP="00A547BB">
      <w:pPr>
        <w:spacing w:line="360" w:lineRule="auto"/>
        <w:jc w:val="both"/>
        <w:rPr>
          <w:rFonts w:ascii="Times New Roman" w:hAnsi="Times New Roman"/>
          <w:spacing w:val="0"/>
          <w:sz w:val="24"/>
          <w:szCs w:val="22"/>
          <w:lang w:val="en-ZA"/>
        </w:rPr>
      </w:pPr>
    </w:p>
    <w:p w14:paraId="7D9AF1CA" w14:textId="77777777" w:rsidR="00D16F67" w:rsidRPr="00A547BB" w:rsidRDefault="00D16F67" w:rsidP="00A547BB">
      <w:pPr>
        <w:spacing w:line="360" w:lineRule="auto"/>
        <w:jc w:val="both"/>
        <w:rPr>
          <w:rFonts w:ascii="Times New Roman" w:hAnsi="Times New Roman"/>
          <w:b/>
          <w:spacing w:val="0"/>
          <w:sz w:val="24"/>
          <w:szCs w:val="22"/>
          <w:lang w:val="en-ZA"/>
        </w:rPr>
      </w:pPr>
      <w:r w:rsidRPr="00A547BB">
        <w:rPr>
          <w:rFonts w:ascii="Times New Roman" w:hAnsi="Times New Roman"/>
          <w:b/>
          <w:spacing w:val="0"/>
          <w:sz w:val="24"/>
          <w:szCs w:val="22"/>
          <w:lang w:val="en-ZA"/>
        </w:rPr>
        <w:t>Report to be considered</w:t>
      </w:r>
    </w:p>
    <w:sectPr w:rsidR="00D16F67" w:rsidRPr="00A547BB" w:rsidSect="00CF2FF3">
      <w:headerReference w:type="default" r:id="rId11"/>
      <w:footerReference w:type="default" r:id="rId12"/>
      <w:headerReference w:type="first" r:id="rId13"/>
      <w:footerReference w:type="first" r:id="rId14"/>
      <w:pgSz w:w="11906" w:h="16838" w:code="9"/>
      <w:pgMar w:top="2977" w:right="1134" w:bottom="1560" w:left="851" w:header="709"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6E20F" w14:textId="77777777" w:rsidR="009B03A1" w:rsidRDefault="009B03A1">
      <w:r>
        <w:separator/>
      </w:r>
    </w:p>
  </w:endnote>
  <w:endnote w:type="continuationSeparator" w:id="0">
    <w:p w14:paraId="2630EABB" w14:textId="77777777" w:rsidR="009B03A1" w:rsidRDefault="009B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Apple Butter"/>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CD35C" w14:textId="5B9B8B4B" w:rsidR="0056211F" w:rsidRPr="00CF2FF3" w:rsidRDefault="0056211F">
    <w:pPr>
      <w:pStyle w:val="Footer"/>
      <w:jc w:val="right"/>
      <w:rPr>
        <w:sz w:val="16"/>
        <w:szCs w:val="16"/>
      </w:rPr>
    </w:pPr>
    <w:r w:rsidRPr="00CF2FF3">
      <w:rPr>
        <w:sz w:val="16"/>
        <w:szCs w:val="16"/>
      </w:rPr>
      <w:fldChar w:fldCharType="begin"/>
    </w:r>
    <w:r w:rsidRPr="00CF2FF3">
      <w:rPr>
        <w:sz w:val="16"/>
        <w:szCs w:val="16"/>
      </w:rPr>
      <w:instrText xml:space="preserve"> PAGE   \* MERGEFORMAT </w:instrText>
    </w:r>
    <w:r w:rsidRPr="00CF2FF3">
      <w:rPr>
        <w:sz w:val="16"/>
        <w:szCs w:val="16"/>
      </w:rPr>
      <w:fldChar w:fldCharType="separate"/>
    </w:r>
    <w:r w:rsidR="008330EE">
      <w:rPr>
        <w:noProof/>
        <w:sz w:val="16"/>
        <w:szCs w:val="16"/>
      </w:rPr>
      <w:t>1</w:t>
    </w:r>
    <w:r w:rsidRPr="00CF2FF3">
      <w:rPr>
        <w:sz w:val="16"/>
        <w:szCs w:val="16"/>
      </w:rPr>
      <w:fldChar w:fldCharType="end"/>
    </w:r>
  </w:p>
  <w:p w14:paraId="4DD56143" w14:textId="77777777" w:rsidR="0056211F" w:rsidRDefault="005621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1CB16" w14:textId="77777777" w:rsidR="0056211F" w:rsidRDefault="0056211F" w:rsidP="00CF2FF3">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AF226" w14:textId="77777777" w:rsidR="009B03A1" w:rsidRDefault="009B03A1">
      <w:r>
        <w:separator/>
      </w:r>
    </w:p>
  </w:footnote>
  <w:footnote w:type="continuationSeparator" w:id="0">
    <w:p w14:paraId="15C5AB32" w14:textId="77777777" w:rsidR="009B03A1" w:rsidRDefault="009B03A1">
      <w:r>
        <w:continuationSeparator/>
      </w:r>
    </w:p>
  </w:footnote>
  <w:footnote w:id="1">
    <w:p w14:paraId="1563D3FB" w14:textId="77777777" w:rsidR="0056211F" w:rsidRDefault="0056211F" w:rsidP="00B1373C">
      <w:pPr>
        <w:pStyle w:val="FootnoteText"/>
      </w:pPr>
      <w:r>
        <w:rPr>
          <w:rStyle w:val="FootnoteReference"/>
        </w:rPr>
        <w:footnoteRef/>
      </w:r>
      <w:r>
        <w:t xml:space="preserve"> </w:t>
      </w:r>
      <w:proofErr w:type="gramStart"/>
      <w:r>
        <w:t>Department of Arts and Culture (2016), p.3.</w:t>
      </w:r>
      <w:proofErr w:type="gramEnd"/>
    </w:p>
  </w:footnote>
  <w:footnote w:id="2">
    <w:p w14:paraId="31C7F809" w14:textId="77777777" w:rsidR="0056211F" w:rsidRDefault="0056211F" w:rsidP="00B1373C">
      <w:pPr>
        <w:pStyle w:val="FootnoteText"/>
      </w:pPr>
      <w:r>
        <w:rPr>
          <w:rStyle w:val="FootnoteReference"/>
        </w:rPr>
        <w:footnoteRef/>
      </w:r>
      <w:r>
        <w:t xml:space="preserve"> </w:t>
      </w:r>
      <w:proofErr w:type="gramStart"/>
      <w:r>
        <w:t>Ibid, p.5.</w:t>
      </w:r>
      <w:proofErr w:type="gramEnd"/>
    </w:p>
  </w:footnote>
  <w:footnote w:id="3">
    <w:p w14:paraId="5F833F6B" w14:textId="77777777" w:rsidR="0056211F" w:rsidRDefault="0056211F" w:rsidP="00B1373C">
      <w:pPr>
        <w:pStyle w:val="FootnoteText"/>
      </w:pPr>
      <w:r>
        <w:rPr>
          <w:rStyle w:val="FootnoteReference"/>
        </w:rPr>
        <w:footnoteRef/>
      </w:r>
      <w:r>
        <w:t xml:space="preserve"> </w:t>
      </w:r>
      <w:proofErr w:type="gramStart"/>
      <w:r>
        <w:t>National Treasury (2016b).</w:t>
      </w:r>
      <w:proofErr w:type="gramEnd"/>
    </w:p>
  </w:footnote>
  <w:footnote w:id="4">
    <w:p w14:paraId="4924D705" w14:textId="77777777" w:rsidR="0056211F" w:rsidRDefault="0056211F" w:rsidP="00B1373C">
      <w:pPr>
        <w:pStyle w:val="FootnoteText"/>
      </w:pPr>
      <w:r>
        <w:rPr>
          <w:rStyle w:val="FootnoteReference"/>
        </w:rPr>
        <w:footnoteRef/>
      </w:r>
      <w:r>
        <w:t xml:space="preserve"> </w:t>
      </w:r>
      <w:proofErr w:type="gramStart"/>
      <w:r>
        <w:t>Standing Committee on Appropriations (2017).</w:t>
      </w:r>
      <w:proofErr w:type="gramEnd"/>
    </w:p>
  </w:footnote>
  <w:footnote w:id="5">
    <w:p w14:paraId="2559AAEB" w14:textId="77777777" w:rsidR="0056211F" w:rsidRDefault="0056211F" w:rsidP="00B1373C">
      <w:pPr>
        <w:pStyle w:val="FootnoteText"/>
      </w:pPr>
      <w:r>
        <w:rPr>
          <w:rStyle w:val="FootnoteReference"/>
        </w:rPr>
        <w:footnoteRef/>
      </w:r>
      <w:r>
        <w:t xml:space="preserve"> Ibid.</w:t>
      </w:r>
    </w:p>
  </w:footnote>
  <w:footnote w:id="6">
    <w:p w14:paraId="7BFEB383" w14:textId="77777777" w:rsidR="0056211F" w:rsidRDefault="0056211F" w:rsidP="00B1373C">
      <w:pPr>
        <w:pStyle w:val="FootnoteText"/>
      </w:pPr>
      <w:r>
        <w:rPr>
          <w:rStyle w:val="FootnoteReference"/>
        </w:rPr>
        <w:footnoteRef/>
      </w:r>
      <w:r>
        <w:t xml:space="preserve"> </w:t>
      </w:r>
      <w:proofErr w:type="gramStart"/>
      <w:r>
        <w:t>Portfolio Committee on Arts and Culture (2016).</w:t>
      </w:r>
      <w:proofErr w:type="gramEnd"/>
    </w:p>
  </w:footnote>
  <w:footnote w:id="7">
    <w:p w14:paraId="7539A6FE" w14:textId="77777777" w:rsidR="0056211F" w:rsidRDefault="0056211F" w:rsidP="00424B7B">
      <w:pPr>
        <w:pStyle w:val="FootnoteText"/>
      </w:pPr>
      <w:r>
        <w:rPr>
          <w:rStyle w:val="FootnoteReference"/>
        </w:rPr>
        <w:footnoteRef/>
      </w:r>
      <w:r>
        <w:t xml:space="preserve"> </w:t>
      </w:r>
      <w:proofErr w:type="gramStart"/>
      <w:r>
        <w:t>Department of Arts and Culture (2017), pp.16-20.</w:t>
      </w:r>
      <w:proofErr w:type="gramEnd"/>
      <w:r>
        <w:t xml:space="preserve"> </w:t>
      </w:r>
    </w:p>
  </w:footnote>
  <w:footnote w:id="8">
    <w:p w14:paraId="3FC84899" w14:textId="77777777" w:rsidR="0056211F" w:rsidRDefault="0056211F" w:rsidP="00424B7B">
      <w:pPr>
        <w:pStyle w:val="FootnoteText"/>
      </w:pPr>
      <w:r>
        <w:rPr>
          <w:rStyle w:val="FootnoteReference"/>
        </w:rPr>
        <w:footnoteRef/>
      </w:r>
      <w:r>
        <w:t xml:space="preserve"> </w:t>
      </w:r>
      <w:proofErr w:type="gramStart"/>
      <w:r>
        <w:t>Ibid, p.21.</w:t>
      </w:r>
      <w:proofErr w:type="gramEnd"/>
    </w:p>
  </w:footnote>
  <w:footnote w:id="9">
    <w:p w14:paraId="0195E5D6" w14:textId="77777777" w:rsidR="0056211F" w:rsidRPr="0009571E" w:rsidRDefault="0056211F" w:rsidP="00424B7B">
      <w:pPr>
        <w:pStyle w:val="FootnoteText"/>
        <w:rPr>
          <w:rFonts w:cs="Arial"/>
          <w:szCs w:val="18"/>
        </w:rPr>
      </w:pPr>
      <w:r w:rsidRPr="00221026">
        <w:rPr>
          <w:rStyle w:val="FootnoteReference"/>
          <w:rFonts w:cs="Arial"/>
          <w:szCs w:val="18"/>
        </w:rPr>
        <w:footnoteRef/>
      </w:r>
      <w:r w:rsidRPr="00221026">
        <w:rPr>
          <w:rFonts w:cs="Arial"/>
          <w:szCs w:val="18"/>
        </w:rPr>
        <w:t xml:space="preserve"> </w:t>
      </w:r>
      <w:proofErr w:type="gramStart"/>
      <w:r w:rsidRPr="00221026">
        <w:rPr>
          <w:rFonts w:cs="Arial"/>
          <w:szCs w:val="18"/>
        </w:rPr>
        <w:t>National Treasury (2013).</w:t>
      </w:r>
      <w:proofErr w:type="gramEnd"/>
      <w:r w:rsidRPr="00221026">
        <w:rPr>
          <w:rFonts w:cs="Arial"/>
          <w:szCs w:val="18"/>
        </w:rPr>
        <w:t xml:space="preserve"> </w:t>
      </w:r>
    </w:p>
  </w:footnote>
  <w:footnote w:id="10">
    <w:p w14:paraId="6E9EE475" w14:textId="77777777" w:rsidR="0056211F" w:rsidRPr="00663755" w:rsidRDefault="0056211F" w:rsidP="00424B7B">
      <w:pPr>
        <w:pStyle w:val="FootnoteText"/>
      </w:pPr>
      <w:r w:rsidRPr="009C33A6">
        <w:rPr>
          <w:rStyle w:val="FootnoteReference"/>
        </w:rPr>
        <w:footnoteRef/>
      </w:r>
      <w:r w:rsidRPr="009C33A6">
        <w:t xml:space="preserve"> </w:t>
      </w:r>
      <w:proofErr w:type="gramStart"/>
      <w:r w:rsidRPr="009C33A6">
        <w:t>Department of Arts and Culture (2014).</w:t>
      </w:r>
      <w:proofErr w:type="gramEnd"/>
      <w:r w:rsidRPr="009C33A6">
        <w:t xml:space="preserve"> </w:t>
      </w:r>
    </w:p>
  </w:footnote>
  <w:footnote w:id="11">
    <w:p w14:paraId="60AF52AA" w14:textId="77777777" w:rsidR="0056211F" w:rsidRPr="006C5C4B" w:rsidRDefault="0056211F" w:rsidP="00424B7B">
      <w:pPr>
        <w:pStyle w:val="FootnoteText"/>
      </w:pPr>
      <w:r>
        <w:rPr>
          <w:rStyle w:val="FootnoteReference"/>
        </w:rPr>
        <w:footnoteRef/>
      </w:r>
      <w:r>
        <w:t xml:space="preserve"> The Presidency (2012), p. 26.</w:t>
      </w:r>
    </w:p>
  </w:footnote>
  <w:footnote w:id="12">
    <w:p w14:paraId="41033A5F" w14:textId="77777777" w:rsidR="0056211F" w:rsidRDefault="0056211F" w:rsidP="00424B7B">
      <w:pPr>
        <w:pStyle w:val="FootnoteText"/>
      </w:pPr>
      <w:r>
        <w:rPr>
          <w:rStyle w:val="FootnoteReference"/>
        </w:rPr>
        <w:footnoteRef/>
      </w:r>
      <w:r>
        <w:t xml:space="preserve"> </w:t>
      </w:r>
      <w:r w:rsidRPr="00C8408A">
        <w:t>http://www.un.org/sustainabledevelopment/education/</w:t>
      </w:r>
    </w:p>
  </w:footnote>
  <w:footnote w:id="13">
    <w:p w14:paraId="33E31698" w14:textId="77777777" w:rsidR="0056211F" w:rsidRDefault="0056211F" w:rsidP="00424B7B">
      <w:pPr>
        <w:pStyle w:val="FootnoteText"/>
      </w:pPr>
      <w:r>
        <w:rPr>
          <w:rStyle w:val="FootnoteReference"/>
        </w:rPr>
        <w:footnoteRef/>
      </w:r>
      <w:r>
        <w:t xml:space="preserve"> </w:t>
      </w:r>
      <w:r w:rsidRPr="004B036D">
        <w:t>http://www.un.org/sustainabledevelopment/economic-growth/</w:t>
      </w:r>
    </w:p>
  </w:footnote>
  <w:footnote w:id="14">
    <w:p w14:paraId="29E69505" w14:textId="77777777" w:rsidR="0056211F" w:rsidRDefault="0056211F" w:rsidP="00424B7B">
      <w:pPr>
        <w:pStyle w:val="FootnoteText"/>
      </w:pPr>
      <w:r>
        <w:rPr>
          <w:rStyle w:val="FootnoteReference"/>
        </w:rPr>
        <w:footnoteRef/>
      </w:r>
      <w:r>
        <w:t xml:space="preserve"> </w:t>
      </w:r>
      <w:r w:rsidRPr="002202AF">
        <w:t>http://www.un.org/sustainabledevelopment/inequality/</w:t>
      </w:r>
    </w:p>
  </w:footnote>
  <w:footnote w:id="15">
    <w:p w14:paraId="0DEFA574" w14:textId="77777777" w:rsidR="0056211F" w:rsidRDefault="0056211F" w:rsidP="00424B7B">
      <w:pPr>
        <w:pStyle w:val="FootnoteText"/>
      </w:pPr>
      <w:r>
        <w:rPr>
          <w:rStyle w:val="FootnoteReference"/>
        </w:rPr>
        <w:footnoteRef/>
      </w:r>
      <w:r>
        <w:t xml:space="preserve"> </w:t>
      </w:r>
      <w:proofErr w:type="gramStart"/>
      <w:r>
        <w:t>African Union (2015).</w:t>
      </w:r>
      <w:proofErr w:type="gramEnd"/>
    </w:p>
  </w:footnote>
  <w:footnote w:id="16">
    <w:p w14:paraId="3DAB154E" w14:textId="77777777" w:rsidR="0056211F" w:rsidRDefault="0056211F" w:rsidP="00424B7B">
      <w:pPr>
        <w:pStyle w:val="FootnoteText"/>
      </w:pPr>
      <w:r>
        <w:rPr>
          <w:rStyle w:val="FootnoteReference"/>
        </w:rPr>
        <w:footnoteRef/>
      </w:r>
      <w:r>
        <w:t xml:space="preserve"> </w:t>
      </w:r>
      <w:proofErr w:type="gramStart"/>
      <w:r>
        <w:t>National Treasury (2017).</w:t>
      </w:r>
      <w:proofErr w:type="gramEnd"/>
    </w:p>
  </w:footnote>
  <w:footnote w:id="17">
    <w:p w14:paraId="675D13B8" w14:textId="77777777" w:rsidR="0056211F" w:rsidRDefault="0056211F" w:rsidP="00424B7B">
      <w:pPr>
        <w:pStyle w:val="FootnoteText"/>
      </w:pPr>
      <w:r>
        <w:rPr>
          <w:rStyle w:val="FootnoteReference"/>
        </w:rPr>
        <w:footnoteRef/>
      </w:r>
      <w:r>
        <w:t xml:space="preserve"> </w:t>
      </w:r>
      <w:proofErr w:type="gramStart"/>
      <w:r>
        <w:t>National Treasury (2017).</w:t>
      </w:r>
      <w:proofErr w:type="gramEnd"/>
    </w:p>
  </w:footnote>
  <w:footnote w:id="18">
    <w:p w14:paraId="78CA777F" w14:textId="77777777" w:rsidR="0056211F" w:rsidRDefault="0056211F" w:rsidP="00424B7B">
      <w:pPr>
        <w:pStyle w:val="FootnoteText"/>
      </w:pPr>
      <w:r>
        <w:rPr>
          <w:rStyle w:val="FootnoteReference"/>
        </w:rPr>
        <w:footnoteRef/>
      </w:r>
      <w:r>
        <w:t xml:space="preserve"> </w:t>
      </w:r>
      <w:proofErr w:type="gramStart"/>
      <w:r>
        <w:t>Clayton (2016).</w:t>
      </w:r>
      <w:proofErr w:type="gramEnd"/>
    </w:p>
  </w:footnote>
  <w:footnote w:id="19">
    <w:p w14:paraId="0A57346F" w14:textId="77777777" w:rsidR="0056211F" w:rsidRDefault="0056211F" w:rsidP="00424B7B">
      <w:pPr>
        <w:pStyle w:val="FootnoteText"/>
      </w:pPr>
      <w:r>
        <w:rPr>
          <w:rStyle w:val="FootnoteReference"/>
        </w:rPr>
        <w:footnoteRef/>
      </w:r>
      <w:r>
        <w:t xml:space="preserve"> </w:t>
      </w:r>
      <w:proofErr w:type="gramStart"/>
      <w:r>
        <w:t>National Treasury (2016b).</w:t>
      </w:r>
      <w:proofErr w:type="gramEnd"/>
    </w:p>
  </w:footnote>
  <w:footnote w:id="20">
    <w:p w14:paraId="4E832C03" w14:textId="77777777" w:rsidR="0056211F" w:rsidRDefault="0056211F" w:rsidP="00424B7B">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4EBFE" w14:textId="744E545F" w:rsidR="0056211F" w:rsidRDefault="005621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30EA7" w14:textId="77777777" w:rsidR="0056211F" w:rsidRDefault="0056211F">
    <w:pPr>
      <w:pStyle w:val="Header"/>
    </w:pPr>
    <w:r>
      <w:rPr>
        <w:noProof/>
        <w:lang w:val="en-ZA" w:eastAsia="en-ZA"/>
      </w:rPr>
      <w:drawing>
        <wp:anchor distT="0" distB="0" distL="114300" distR="114300" simplePos="0" relativeHeight="251656704" behindDoc="0" locked="0" layoutInCell="1" allowOverlap="1" wp14:anchorId="2F5934B8" wp14:editId="0C484F90">
          <wp:simplePos x="0" y="0"/>
          <wp:positionH relativeFrom="column">
            <wp:posOffset>0</wp:posOffset>
          </wp:positionH>
          <wp:positionV relativeFrom="paragraph">
            <wp:posOffset>0</wp:posOffset>
          </wp:positionV>
          <wp:extent cx="2543810" cy="824230"/>
          <wp:effectExtent l="0" t="0" r="889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810" cy="8242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58752" behindDoc="1" locked="0" layoutInCell="1" allowOverlap="1" wp14:anchorId="4D20FD2F" wp14:editId="059DE4EC">
          <wp:simplePos x="0" y="0"/>
          <wp:positionH relativeFrom="page">
            <wp:posOffset>1764030</wp:posOffset>
          </wp:positionH>
          <wp:positionV relativeFrom="page">
            <wp:posOffset>3384550</wp:posOffset>
          </wp:positionV>
          <wp:extent cx="3998595" cy="3915410"/>
          <wp:effectExtent l="0" t="0" r="1905" b="8890"/>
          <wp:wrapNone/>
          <wp:docPr id="3" name="Picture 3"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ma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98595" cy="39154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A33"/>
    <w:multiLevelType w:val="hybridMultilevel"/>
    <w:tmpl w:val="6EE0EA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601B10"/>
    <w:multiLevelType w:val="hybridMultilevel"/>
    <w:tmpl w:val="E73682D4"/>
    <w:lvl w:ilvl="0" w:tplc="1C090001">
      <w:start w:val="1"/>
      <w:numFmt w:val="bullet"/>
      <w:lvlText w:val=""/>
      <w:lvlJc w:val="left"/>
      <w:pPr>
        <w:ind w:left="1555" w:hanging="360"/>
      </w:pPr>
      <w:rPr>
        <w:rFonts w:ascii="Symbol" w:hAnsi="Symbol" w:hint="default"/>
      </w:rPr>
    </w:lvl>
    <w:lvl w:ilvl="1" w:tplc="1C090003" w:tentative="1">
      <w:start w:val="1"/>
      <w:numFmt w:val="bullet"/>
      <w:lvlText w:val="o"/>
      <w:lvlJc w:val="left"/>
      <w:pPr>
        <w:ind w:left="2275" w:hanging="360"/>
      </w:pPr>
      <w:rPr>
        <w:rFonts w:ascii="Courier New" w:hAnsi="Courier New" w:cs="Courier New" w:hint="default"/>
      </w:rPr>
    </w:lvl>
    <w:lvl w:ilvl="2" w:tplc="1C090005" w:tentative="1">
      <w:start w:val="1"/>
      <w:numFmt w:val="bullet"/>
      <w:lvlText w:val=""/>
      <w:lvlJc w:val="left"/>
      <w:pPr>
        <w:ind w:left="2995" w:hanging="360"/>
      </w:pPr>
      <w:rPr>
        <w:rFonts w:ascii="Wingdings" w:hAnsi="Wingdings" w:hint="default"/>
      </w:rPr>
    </w:lvl>
    <w:lvl w:ilvl="3" w:tplc="1C090001" w:tentative="1">
      <w:start w:val="1"/>
      <w:numFmt w:val="bullet"/>
      <w:lvlText w:val=""/>
      <w:lvlJc w:val="left"/>
      <w:pPr>
        <w:ind w:left="3715" w:hanging="360"/>
      </w:pPr>
      <w:rPr>
        <w:rFonts w:ascii="Symbol" w:hAnsi="Symbol" w:hint="default"/>
      </w:rPr>
    </w:lvl>
    <w:lvl w:ilvl="4" w:tplc="1C090003" w:tentative="1">
      <w:start w:val="1"/>
      <w:numFmt w:val="bullet"/>
      <w:lvlText w:val="o"/>
      <w:lvlJc w:val="left"/>
      <w:pPr>
        <w:ind w:left="4435" w:hanging="360"/>
      </w:pPr>
      <w:rPr>
        <w:rFonts w:ascii="Courier New" w:hAnsi="Courier New" w:cs="Courier New" w:hint="default"/>
      </w:rPr>
    </w:lvl>
    <w:lvl w:ilvl="5" w:tplc="1C090005" w:tentative="1">
      <w:start w:val="1"/>
      <w:numFmt w:val="bullet"/>
      <w:lvlText w:val=""/>
      <w:lvlJc w:val="left"/>
      <w:pPr>
        <w:ind w:left="5155" w:hanging="360"/>
      </w:pPr>
      <w:rPr>
        <w:rFonts w:ascii="Wingdings" w:hAnsi="Wingdings" w:hint="default"/>
      </w:rPr>
    </w:lvl>
    <w:lvl w:ilvl="6" w:tplc="1C090001" w:tentative="1">
      <w:start w:val="1"/>
      <w:numFmt w:val="bullet"/>
      <w:lvlText w:val=""/>
      <w:lvlJc w:val="left"/>
      <w:pPr>
        <w:ind w:left="5875" w:hanging="360"/>
      </w:pPr>
      <w:rPr>
        <w:rFonts w:ascii="Symbol" w:hAnsi="Symbol" w:hint="default"/>
      </w:rPr>
    </w:lvl>
    <w:lvl w:ilvl="7" w:tplc="1C090003" w:tentative="1">
      <w:start w:val="1"/>
      <w:numFmt w:val="bullet"/>
      <w:lvlText w:val="o"/>
      <w:lvlJc w:val="left"/>
      <w:pPr>
        <w:ind w:left="6595" w:hanging="360"/>
      </w:pPr>
      <w:rPr>
        <w:rFonts w:ascii="Courier New" w:hAnsi="Courier New" w:cs="Courier New" w:hint="default"/>
      </w:rPr>
    </w:lvl>
    <w:lvl w:ilvl="8" w:tplc="1C090005" w:tentative="1">
      <w:start w:val="1"/>
      <w:numFmt w:val="bullet"/>
      <w:lvlText w:val=""/>
      <w:lvlJc w:val="left"/>
      <w:pPr>
        <w:ind w:left="7315" w:hanging="360"/>
      </w:pPr>
      <w:rPr>
        <w:rFonts w:ascii="Wingdings" w:hAnsi="Wingdings" w:hint="default"/>
      </w:rPr>
    </w:lvl>
  </w:abstractNum>
  <w:abstractNum w:abstractNumId="2">
    <w:nsid w:val="04F96DC1"/>
    <w:multiLevelType w:val="hybridMultilevel"/>
    <w:tmpl w:val="AF283A1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A9D506B"/>
    <w:multiLevelType w:val="hybridMultilevel"/>
    <w:tmpl w:val="A90E2B6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19124EC"/>
    <w:multiLevelType w:val="hybridMultilevel"/>
    <w:tmpl w:val="5F9ECA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19D6CBC"/>
    <w:multiLevelType w:val="hybridMultilevel"/>
    <w:tmpl w:val="4572B468"/>
    <w:lvl w:ilvl="0" w:tplc="671290F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5911A87"/>
    <w:multiLevelType w:val="hybridMultilevel"/>
    <w:tmpl w:val="D696C9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75D072A"/>
    <w:multiLevelType w:val="hybridMultilevel"/>
    <w:tmpl w:val="739EDF10"/>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827363D"/>
    <w:multiLevelType w:val="hybridMultilevel"/>
    <w:tmpl w:val="D354BB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434907"/>
    <w:multiLevelType w:val="hybridMultilevel"/>
    <w:tmpl w:val="AEDA94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DF321BA"/>
    <w:multiLevelType w:val="hybridMultilevel"/>
    <w:tmpl w:val="15280984"/>
    <w:lvl w:ilvl="0" w:tplc="1B805D6A">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1155823"/>
    <w:multiLevelType w:val="hybridMultilevel"/>
    <w:tmpl w:val="4314D5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6A41321"/>
    <w:multiLevelType w:val="hybridMultilevel"/>
    <w:tmpl w:val="18BA1D1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6E85432"/>
    <w:multiLevelType w:val="hybridMultilevel"/>
    <w:tmpl w:val="A6A220DE"/>
    <w:lvl w:ilvl="0" w:tplc="3EC20102">
      <w:start w:val="1"/>
      <w:numFmt w:val="upperLetter"/>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6FF45B4"/>
    <w:multiLevelType w:val="hybridMultilevel"/>
    <w:tmpl w:val="A5C29DD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776204C"/>
    <w:multiLevelType w:val="hybridMultilevel"/>
    <w:tmpl w:val="9C24B4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AB93803"/>
    <w:multiLevelType w:val="hybridMultilevel"/>
    <w:tmpl w:val="F5C064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EA239A7"/>
    <w:multiLevelType w:val="hybridMultilevel"/>
    <w:tmpl w:val="EDE4E16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FEC267E"/>
    <w:multiLevelType w:val="multilevel"/>
    <w:tmpl w:val="C4F0A7C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05273F7"/>
    <w:multiLevelType w:val="hybridMultilevel"/>
    <w:tmpl w:val="5636A97E"/>
    <w:lvl w:ilvl="0" w:tplc="1C090003">
      <w:start w:val="1"/>
      <w:numFmt w:val="bullet"/>
      <w:lvlText w:val="o"/>
      <w:lvlJc w:val="left"/>
      <w:pPr>
        <w:ind w:left="1728" w:hanging="360"/>
      </w:pPr>
      <w:rPr>
        <w:rFonts w:ascii="Courier New" w:hAnsi="Courier New" w:cs="Courier New" w:hint="default"/>
      </w:rPr>
    </w:lvl>
    <w:lvl w:ilvl="1" w:tplc="1C090003" w:tentative="1">
      <w:start w:val="1"/>
      <w:numFmt w:val="bullet"/>
      <w:lvlText w:val="o"/>
      <w:lvlJc w:val="left"/>
      <w:pPr>
        <w:ind w:left="2448" w:hanging="360"/>
      </w:pPr>
      <w:rPr>
        <w:rFonts w:ascii="Courier New" w:hAnsi="Courier New" w:cs="Courier New" w:hint="default"/>
      </w:rPr>
    </w:lvl>
    <w:lvl w:ilvl="2" w:tplc="1C090005" w:tentative="1">
      <w:start w:val="1"/>
      <w:numFmt w:val="bullet"/>
      <w:lvlText w:val=""/>
      <w:lvlJc w:val="left"/>
      <w:pPr>
        <w:ind w:left="3168" w:hanging="360"/>
      </w:pPr>
      <w:rPr>
        <w:rFonts w:ascii="Wingdings" w:hAnsi="Wingdings" w:hint="default"/>
      </w:rPr>
    </w:lvl>
    <w:lvl w:ilvl="3" w:tplc="1C090001" w:tentative="1">
      <w:start w:val="1"/>
      <w:numFmt w:val="bullet"/>
      <w:lvlText w:val=""/>
      <w:lvlJc w:val="left"/>
      <w:pPr>
        <w:ind w:left="3888" w:hanging="360"/>
      </w:pPr>
      <w:rPr>
        <w:rFonts w:ascii="Symbol" w:hAnsi="Symbol" w:hint="default"/>
      </w:rPr>
    </w:lvl>
    <w:lvl w:ilvl="4" w:tplc="1C090003" w:tentative="1">
      <w:start w:val="1"/>
      <w:numFmt w:val="bullet"/>
      <w:lvlText w:val="o"/>
      <w:lvlJc w:val="left"/>
      <w:pPr>
        <w:ind w:left="4608" w:hanging="360"/>
      </w:pPr>
      <w:rPr>
        <w:rFonts w:ascii="Courier New" w:hAnsi="Courier New" w:cs="Courier New" w:hint="default"/>
      </w:rPr>
    </w:lvl>
    <w:lvl w:ilvl="5" w:tplc="1C090005" w:tentative="1">
      <w:start w:val="1"/>
      <w:numFmt w:val="bullet"/>
      <w:lvlText w:val=""/>
      <w:lvlJc w:val="left"/>
      <w:pPr>
        <w:ind w:left="5328" w:hanging="360"/>
      </w:pPr>
      <w:rPr>
        <w:rFonts w:ascii="Wingdings" w:hAnsi="Wingdings" w:hint="default"/>
      </w:rPr>
    </w:lvl>
    <w:lvl w:ilvl="6" w:tplc="1C090001" w:tentative="1">
      <w:start w:val="1"/>
      <w:numFmt w:val="bullet"/>
      <w:lvlText w:val=""/>
      <w:lvlJc w:val="left"/>
      <w:pPr>
        <w:ind w:left="6048" w:hanging="360"/>
      </w:pPr>
      <w:rPr>
        <w:rFonts w:ascii="Symbol" w:hAnsi="Symbol" w:hint="default"/>
      </w:rPr>
    </w:lvl>
    <w:lvl w:ilvl="7" w:tplc="1C090003" w:tentative="1">
      <w:start w:val="1"/>
      <w:numFmt w:val="bullet"/>
      <w:lvlText w:val="o"/>
      <w:lvlJc w:val="left"/>
      <w:pPr>
        <w:ind w:left="6768" w:hanging="360"/>
      </w:pPr>
      <w:rPr>
        <w:rFonts w:ascii="Courier New" w:hAnsi="Courier New" w:cs="Courier New" w:hint="default"/>
      </w:rPr>
    </w:lvl>
    <w:lvl w:ilvl="8" w:tplc="1C090005" w:tentative="1">
      <w:start w:val="1"/>
      <w:numFmt w:val="bullet"/>
      <w:lvlText w:val=""/>
      <w:lvlJc w:val="left"/>
      <w:pPr>
        <w:ind w:left="7488" w:hanging="360"/>
      </w:pPr>
      <w:rPr>
        <w:rFonts w:ascii="Wingdings" w:hAnsi="Wingdings" w:hint="default"/>
      </w:rPr>
    </w:lvl>
  </w:abstractNum>
  <w:abstractNum w:abstractNumId="20">
    <w:nsid w:val="324B2B3F"/>
    <w:multiLevelType w:val="hybridMultilevel"/>
    <w:tmpl w:val="90A4745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4A30DBC"/>
    <w:multiLevelType w:val="hybridMultilevel"/>
    <w:tmpl w:val="63681C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56777C3"/>
    <w:multiLevelType w:val="hybridMultilevel"/>
    <w:tmpl w:val="6AACDA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BEA3613"/>
    <w:multiLevelType w:val="hybridMultilevel"/>
    <w:tmpl w:val="9460BE7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C677E5C"/>
    <w:multiLevelType w:val="hybridMultilevel"/>
    <w:tmpl w:val="B9741904"/>
    <w:lvl w:ilvl="0" w:tplc="1C090001">
      <w:start w:val="1"/>
      <w:numFmt w:val="bullet"/>
      <w:lvlText w:val=""/>
      <w:lvlJc w:val="left"/>
      <w:pPr>
        <w:ind w:left="1446" w:hanging="360"/>
      </w:pPr>
      <w:rPr>
        <w:rFonts w:ascii="Symbol" w:hAnsi="Symbol" w:hint="default"/>
      </w:rPr>
    </w:lvl>
    <w:lvl w:ilvl="1" w:tplc="1C090003" w:tentative="1">
      <w:start w:val="1"/>
      <w:numFmt w:val="bullet"/>
      <w:lvlText w:val="o"/>
      <w:lvlJc w:val="left"/>
      <w:pPr>
        <w:ind w:left="2166" w:hanging="360"/>
      </w:pPr>
      <w:rPr>
        <w:rFonts w:ascii="Courier New" w:hAnsi="Courier New" w:cs="Courier New" w:hint="default"/>
      </w:rPr>
    </w:lvl>
    <w:lvl w:ilvl="2" w:tplc="1C090005" w:tentative="1">
      <w:start w:val="1"/>
      <w:numFmt w:val="bullet"/>
      <w:lvlText w:val=""/>
      <w:lvlJc w:val="left"/>
      <w:pPr>
        <w:ind w:left="2886" w:hanging="360"/>
      </w:pPr>
      <w:rPr>
        <w:rFonts w:ascii="Wingdings" w:hAnsi="Wingdings" w:hint="default"/>
      </w:rPr>
    </w:lvl>
    <w:lvl w:ilvl="3" w:tplc="1C090001" w:tentative="1">
      <w:start w:val="1"/>
      <w:numFmt w:val="bullet"/>
      <w:lvlText w:val=""/>
      <w:lvlJc w:val="left"/>
      <w:pPr>
        <w:ind w:left="3606" w:hanging="360"/>
      </w:pPr>
      <w:rPr>
        <w:rFonts w:ascii="Symbol" w:hAnsi="Symbol" w:hint="default"/>
      </w:rPr>
    </w:lvl>
    <w:lvl w:ilvl="4" w:tplc="1C090003" w:tentative="1">
      <w:start w:val="1"/>
      <w:numFmt w:val="bullet"/>
      <w:lvlText w:val="o"/>
      <w:lvlJc w:val="left"/>
      <w:pPr>
        <w:ind w:left="4326" w:hanging="360"/>
      </w:pPr>
      <w:rPr>
        <w:rFonts w:ascii="Courier New" w:hAnsi="Courier New" w:cs="Courier New" w:hint="default"/>
      </w:rPr>
    </w:lvl>
    <w:lvl w:ilvl="5" w:tplc="1C090005" w:tentative="1">
      <w:start w:val="1"/>
      <w:numFmt w:val="bullet"/>
      <w:lvlText w:val=""/>
      <w:lvlJc w:val="left"/>
      <w:pPr>
        <w:ind w:left="5046" w:hanging="360"/>
      </w:pPr>
      <w:rPr>
        <w:rFonts w:ascii="Wingdings" w:hAnsi="Wingdings" w:hint="default"/>
      </w:rPr>
    </w:lvl>
    <w:lvl w:ilvl="6" w:tplc="1C090001" w:tentative="1">
      <w:start w:val="1"/>
      <w:numFmt w:val="bullet"/>
      <w:lvlText w:val=""/>
      <w:lvlJc w:val="left"/>
      <w:pPr>
        <w:ind w:left="5766" w:hanging="360"/>
      </w:pPr>
      <w:rPr>
        <w:rFonts w:ascii="Symbol" w:hAnsi="Symbol" w:hint="default"/>
      </w:rPr>
    </w:lvl>
    <w:lvl w:ilvl="7" w:tplc="1C090003" w:tentative="1">
      <w:start w:val="1"/>
      <w:numFmt w:val="bullet"/>
      <w:lvlText w:val="o"/>
      <w:lvlJc w:val="left"/>
      <w:pPr>
        <w:ind w:left="6486" w:hanging="360"/>
      </w:pPr>
      <w:rPr>
        <w:rFonts w:ascii="Courier New" w:hAnsi="Courier New" w:cs="Courier New" w:hint="default"/>
      </w:rPr>
    </w:lvl>
    <w:lvl w:ilvl="8" w:tplc="1C090005" w:tentative="1">
      <w:start w:val="1"/>
      <w:numFmt w:val="bullet"/>
      <w:lvlText w:val=""/>
      <w:lvlJc w:val="left"/>
      <w:pPr>
        <w:ind w:left="7206" w:hanging="360"/>
      </w:pPr>
      <w:rPr>
        <w:rFonts w:ascii="Wingdings" w:hAnsi="Wingdings" w:hint="default"/>
      </w:rPr>
    </w:lvl>
  </w:abstractNum>
  <w:abstractNum w:abstractNumId="25">
    <w:nsid w:val="3E157170"/>
    <w:multiLevelType w:val="hybridMultilevel"/>
    <w:tmpl w:val="6A70E38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46033764"/>
    <w:multiLevelType w:val="hybridMultilevel"/>
    <w:tmpl w:val="7F7E6EA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9741CAD"/>
    <w:multiLevelType w:val="hybridMultilevel"/>
    <w:tmpl w:val="AC443ED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EAF4523"/>
    <w:multiLevelType w:val="hybridMultilevel"/>
    <w:tmpl w:val="28FA7A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EDE59A4"/>
    <w:multiLevelType w:val="hybridMultilevel"/>
    <w:tmpl w:val="69A2DC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4FA421F"/>
    <w:multiLevelType w:val="hybridMultilevel"/>
    <w:tmpl w:val="F7EA5B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5F72130"/>
    <w:multiLevelType w:val="hybridMultilevel"/>
    <w:tmpl w:val="AB9E39D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8C65D0D"/>
    <w:multiLevelType w:val="hybridMultilevel"/>
    <w:tmpl w:val="E9920CB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9BE04F3"/>
    <w:multiLevelType w:val="hybridMultilevel"/>
    <w:tmpl w:val="F7D2F304"/>
    <w:lvl w:ilvl="0" w:tplc="1C09000F">
      <w:start w:val="1"/>
      <w:numFmt w:val="decimal"/>
      <w:lvlText w:val="%1."/>
      <w:lvlJc w:val="left"/>
      <w:pPr>
        <w:ind w:left="1446" w:hanging="360"/>
      </w:pPr>
      <w:rPr>
        <w:rFonts w:hint="default"/>
      </w:rPr>
    </w:lvl>
    <w:lvl w:ilvl="1" w:tplc="1C090003" w:tentative="1">
      <w:start w:val="1"/>
      <w:numFmt w:val="bullet"/>
      <w:lvlText w:val="o"/>
      <w:lvlJc w:val="left"/>
      <w:pPr>
        <w:ind w:left="2166" w:hanging="360"/>
      </w:pPr>
      <w:rPr>
        <w:rFonts w:ascii="Courier New" w:hAnsi="Courier New" w:cs="Courier New" w:hint="default"/>
      </w:rPr>
    </w:lvl>
    <w:lvl w:ilvl="2" w:tplc="1C090005" w:tentative="1">
      <w:start w:val="1"/>
      <w:numFmt w:val="bullet"/>
      <w:lvlText w:val=""/>
      <w:lvlJc w:val="left"/>
      <w:pPr>
        <w:ind w:left="2886" w:hanging="360"/>
      </w:pPr>
      <w:rPr>
        <w:rFonts w:ascii="Wingdings" w:hAnsi="Wingdings" w:hint="default"/>
      </w:rPr>
    </w:lvl>
    <w:lvl w:ilvl="3" w:tplc="1C090001" w:tentative="1">
      <w:start w:val="1"/>
      <w:numFmt w:val="bullet"/>
      <w:lvlText w:val=""/>
      <w:lvlJc w:val="left"/>
      <w:pPr>
        <w:ind w:left="3606" w:hanging="360"/>
      </w:pPr>
      <w:rPr>
        <w:rFonts w:ascii="Symbol" w:hAnsi="Symbol" w:hint="default"/>
      </w:rPr>
    </w:lvl>
    <w:lvl w:ilvl="4" w:tplc="1C090003" w:tentative="1">
      <w:start w:val="1"/>
      <w:numFmt w:val="bullet"/>
      <w:lvlText w:val="o"/>
      <w:lvlJc w:val="left"/>
      <w:pPr>
        <w:ind w:left="4326" w:hanging="360"/>
      </w:pPr>
      <w:rPr>
        <w:rFonts w:ascii="Courier New" w:hAnsi="Courier New" w:cs="Courier New" w:hint="default"/>
      </w:rPr>
    </w:lvl>
    <w:lvl w:ilvl="5" w:tplc="1C090005" w:tentative="1">
      <w:start w:val="1"/>
      <w:numFmt w:val="bullet"/>
      <w:lvlText w:val=""/>
      <w:lvlJc w:val="left"/>
      <w:pPr>
        <w:ind w:left="5046" w:hanging="360"/>
      </w:pPr>
      <w:rPr>
        <w:rFonts w:ascii="Wingdings" w:hAnsi="Wingdings" w:hint="default"/>
      </w:rPr>
    </w:lvl>
    <w:lvl w:ilvl="6" w:tplc="1C090001" w:tentative="1">
      <w:start w:val="1"/>
      <w:numFmt w:val="bullet"/>
      <w:lvlText w:val=""/>
      <w:lvlJc w:val="left"/>
      <w:pPr>
        <w:ind w:left="5766" w:hanging="360"/>
      </w:pPr>
      <w:rPr>
        <w:rFonts w:ascii="Symbol" w:hAnsi="Symbol" w:hint="default"/>
      </w:rPr>
    </w:lvl>
    <w:lvl w:ilvl="7" w:tplc="1C090003" w:tentative="1">
      <w:start w:val="1"/>
      <w:numFmt w:val="bullet"/>
      <w:lvlText w:val="o"/>
      <w:lvlJc w:val="left"/>
      <w:pPr>
        <w:ind w:left="6486" w:hanging="360"/>
      </w:pPr>
      <w:rPr>
        <w:rFonts w:ascii="Courier New" w:hAnsi="Courier New" w:cs="Courier New" w:hint="default"/>
      </w:rPr>
    </w:lvl>
    <w:lvl w:ilvl="8" w:tplc="1C090005" w:tentative="1">
      <w:start w:val="1"/>
      <w:numFmt w:val="bullet"/>
      <w:lvlText w:val=""/>
      <w:lvlJc w:val="left"/>
      <w:pPr>
        <w:ind w:left="7206" w:hanging="360"/>
      </w:pPr>
      <w:rPr>
        <w:rFonts w:ascii="Wingdings" w:hAnsi="Wingdings" w:hint="default"/>
      </w:rPr>
    </w:lvl>
  </w:abstractNum>
  <w:abstractNum w:abstractNumId="34">
    <w:nsid w:val="5A9424F2"/>
    <w:multiLevelType w:val="hybridMultilevel"/>
    <w:tmpl w:val="0FAC94B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C7F2D72"/>
    <w:multiLevelType w:val="hybridMultilevel"/>
    <w:tmpl w:val="58869820"/>
    <w:lvl w:ilvl="0" w:tplc="1C090001">
      <w:start w:val="1"/>
      <w:numFmt w:val="bullet"/>
      <w:lvlText w:val=""/>
      <w:lvlJc w:val="left"/>
      <w:pPr>
        <w:ind w:left="1446" w:hanging="360"/>
      </w:pPr>
      <w:rPr>
        <w:rFonts w:ascii="Symbol" w:hAnsi="Symbol" w:hint="default"/>
      </w:rPr>
    </w:lvl>
    <w:lvl w:ilvl="1" w:tplc="1C090003" w:tentative="1">
      <w:start w:val="1"/>
      <w:numFmt w:val="bullet"/>
      <w:lvlText w:val="o"/>
      <w:lvlJc w:val="left"/>
      <w:pPr>
        <w:ind w:left="2166" w:hanging="360"/>
      </w:pPr>
      <w:rPr>
        <w:rFonts w:ascii="Courier New" w:hAnsi="Courier New" w:cs="Courier New" w:hint="default"/>
      </w:rPr>
    </w:lvl>
    <w:lvl w:ilvl="2" w:tplc="1C090005" w:tentative="1">
      <w:start w:val="1"/>
      <w:numFmt w:val="bullet"/>
      <w:lvlText w:val=""/>
      <w:lvlJc w:val="left"/>
      <w:pPr>
        <w:ind w:left="2886" w:hanging="360"/>
      </w:pPr>
      <w:rPr>
        <w:rFonts w:ascii="Wingdings" w:hAnsi="Wingdings" w:hint="default"/>
      </w:rPr>
    </w:lvl>
    <w:lvl w:ilvl="3" w:tplc="1C090001" w:tentative="1">
      <w:start w:val="1"/>
      <w:numFmt w:val="bullet"/>
      <w:lvlText w:val=""/>
      <w:lvlJc w:val="left"/>
      <w:pPr>
        <w:ind w:left="3606" w:hanging="360"/>
      </w:pPr>
      <w:rPr>
        <w:rFonts w:ascii="Symbol" w:hAnsi="Symbol" w:hint="default"/>
      </w:rPr>
    </w:lvl>
    <w:lvl w:ilvl="4" w:tplc="1C090003" w:tentative="1">
      <w:start w:val="1"/>
      <w:numFmt w:val="bullet"/>
      <w:lvlText w:val="o"/>
      <w:lvlJc w:val="left"/>
      <w:pPr>
        <w:ind w:left="4326" w:hanging="360"/>
      </w:pPr>
      <w:rPr>
        <w:rFonts w:ascii="Courier New" w:hAnsi="Courier New" w:cs="Courier New" w:hint="default"/>
      </w:rPr>
    </w:lvl>
    <w:lvl w:ilvl="5" w:tplc="1C090005" w:tentative="1">
      <w:start w:val="1"/>
      <w:numFmt w:val="bullet"/>
      <w:lvlText w:val=""/>
      <w:lvlJc w:val="left"/>
      <w:pPr>
        <w:ind w:left="5046" w:hanging="360"/>
      </w:pPr>
      <w:rPr>
        <w:rFonts w:ascii="Wingdings" w:hAnsi="Wingdings" w:hint="default"/>
      </w:rPr>
    </w:lvl>
    <w:lvl w:ilvl="6" w:tplc="1C090001" w:tentative="1">
      <w:start w:val="1"/>
      <w:numFmt w:val="bullet"/>
      <w:lvlText w:val=""/>
      <w:lvlJc w:val="left"/>
      <w:pPr>
        <w:ind w:left="5766" w:hanging="360"/>
      </w:pPr>
      <w:rPr>
        <w:rFonts w:ascii="Symbol" w:hAnsi="Symbol" w:hint="default"/>
      </w:rPr>
    </w:lvl>
    <w:lvl w:ilvl="7" w:tplc="1C090003" w:tentative="1">
      <w:start w:val="1"/>
      <w:numFmt w:val="bullet"/>
      <w:lvlText w:val="o"/>
      <w:lvlJc w:val="left"/>
      <w:pPr>
        <w:ind w:left="6486" w:hanging="360"/>
      </w:pPr>
      <w:rPr>
        <w:rFonts w:ascii="Courier New" w:hAnsi="Courier New" w:cs="Courier New" w:hint="default"/>
      </w:rPr>
    </w:lvl>
    <w:lvl w:ilvl="8" w:tplc="1C090005" w:tentative="1">
      <w:start w:val="1"/>
      <w:numFmt w:val="bullet"/>
      <w:lvlText w:val=""/>
      <w:lvlJc w:val="left"/>
      <w:pPr>
        <w:ind w:left="7206" w:hanging="360"/>
      </w:pPr>
      <w:rPr>
        <w:rFonts w:ascii="Wingdings" w:hAnsi="Wingdings" w:hint="default"/>
      </w:rPr>
    </w:lvl>
  </w:abstractNum>
  <w:abstractNum w:abstractNumId="36">
    <w:nsid w:val="5D83308A"/>
    <w:multiLevelType w:val="hybridMultilevel"/>
    <w:tmpl w:val="C25827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4EA25A6"/>
    <w:multiLevelType w:val="hybridMultilevel"/>
    <w:tmpl w:val="0CE89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94469C"/>
    <w:multiLevelType w:val="hybridMultilevel"/>
    <w:tmpl w:val="495E0C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8986FDD"/>
    <w:multiLevelType w:val="multilevel"/>
    <w:tmpl w:val="72F6CA1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A811414"/>
    <w:multiLevelType w:val="hybridMultilevel"/>
    <w:tmpl w:val="10AA9F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6C3875FE"/>
    <w:multiLevelType w:val="multilevel"/>
    <w:tmpl w:val="40F8C1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DCA2AEC"/>
    <w:multiLevelType w:val="hybridMultilevel"/>
    <w:tmpl w:val="D414A11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72A90ABF"/>
    <w:multiLevelType w:val="hybridMultilevel"/>
    <w:tmpl w:val="0A7A645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3793042"/>
    <w:multiLevelType w:val="hybridMultilevel"/>
    <w:tmpl w:val="A80EAD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4DF7365"/>
    <w:multiLevelType w:val="hybridMultilevel"/>
    <w:tmpl w:val="CCF67B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753A085B"/>
    <w:multiLevelType w:val="hybridMultilevel"/>
    <w:tmpl w:val="6EF4FD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7884230F"/>
    <w:multiLevelType w:val="hybridMultilevel"/>
    <w:tmpl w:val="BF6289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7E87624A"/>
    <w:multiLevelType w:val="hybridMultilevel"/>
    <w:tmpl w:val="15EC6F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7EE97348"/>
    <w:multiLevelType w:val="hybridMultilevel"/>
    <w:tmpl w:val="E9F279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7"/>
  </w:num>
  <w:num w:numId="2">
    <w:abstractNumId w:val="49"/>
  </w:num>
  <w:num w:numId="3">
    <w:abstractNumId w:val="20"/>
  </w:num>
  <w:num w:numId="4">
    <w:abstractNumId w:val="26"/>
  </w:num>
  <w:num w:numId="5">
    <w:abstractNumId w:val="42"/>
  </w:num>
  <w:num w:numId="6">
    <w:abstractNumId w:val="3"/>
  </w:num>
  <w:num w:numId="7">
    <w:abstractNumId w:val="14"/>
  </w:num>
  <w:num w:numId="8">
    <w:abstractNumId w:val="34"/>
  </w:num>
  <w:num w:numId="9">
    <w:abstractNumId w:val="8"/>
  </w:num>
  <w:num w:numId="10">
    <w:abstractNumId w:val="27"/>
  </w:num>
  <w:num w:numId="11">
    <w:abstractNumId w:val="23"/>
  </w:num>
  <w:num w:numId="12">
    <w:abstractNumId w:val="43"/>
  </w:num>
  <w:num w:numId="13">
    <w:abstractNumId w:val="2"/>
  </w:num>
  <w:num w:numId="14">
    <w:abstractNumId w:val="13"/>
  </w:num>
  <w:num w:numId="15">
    <w:abstractNumId w:val="7"/>
  </w:num>
  <w:num w:numId="16">
    <w:abstractNumId w:val="40"/>
  </w:num>
  <w:num w:numId="17">
    <w:abstractNumId w:val="30"/>
  </w:num>
  <w:num w:numId="18">
    <w:abstractNumId w:val="39"/>
  </w:num>
  <w:num w:numId="19">
    <w:abstractNumId w:val="18"/>
  </w:num>
  <w:num w:numId="20">
    <w:abstractNumId w:val="47"/>
  </w:num>
  <w:num w:numId="21">
    <w:abstractNumId w:val="38"/>
  </w:num>
  <w:num w:numId="22">
    <w:abstractNumId w:val="6"/>
  </w:num>
  <w:num w:numId="23">
    <w:abstractNumId w:val="48"/>
  </w:num>
  <w:num w:numId="24">
    <w:abstractNumId w:val="22"/>
  </w:num>
  <w:num w:numId="25">
    <w:abstractNumId w:val="9"/>
  </w:num>
  <w:num w:numId="26">
    <w:abstractNumId w:val="41"/>
  </w:num>
  <w:num w:numId="27">
    <w:abstractNumId w:val="15"/>
  </w:num>
  <w:num w:numId="28">
    <w:abstractNumId w:val="21"/>
  </w:num>
  <w:num w:numId="29">
    <w:abstractNumId w:val="0"/>
  </w:num>
  <w:num w:numId="30">
    <w:abstractNumId w:val="28"/>
  </w:num>
  <w:num w:numId="31">
    <w:abstractNumId w:val="25"/>
  </w:num>
  <w:num w:numId="32">
    <w:abstractNumId w:val="16"/>
  </w:num>
  <w:num w:numId="33">
    <w:abstractNumId w:val="46"/>
  </w:num>
  <w:num w:numId="34">
    <w:abstractNumId w:val="1"/>
  </w:num>
  <w:num w:numId="35">
    <w:abstractNumId w:val="4"/>
  </w:num>
  <w:num w:numId="36">
    <w:abstractNumId w:val="19"/>
  </w:num>
  <w:num w:numId="37">
    <w:abstractNumId w:val="10"/>
  </w:num>
  <w:num w:numId="38">
    <w:abstractNumId w:val="29"/>
  </w:num>
  <w:num w:numId="39">
    <w:abstractNumId w:val="5"/>
  </w:num>
  <w:num w:numId="40">
    <w:abstractNumId w:val="44"/>
  </w:num>
  <w:num w:numId="41">
    <w:abstractNumId w:val="45"/>
  </w:num>
  <w:num w:numId="42">
    <w:abstractNumId w:val="35"/>
  </w:num>
  <w:num w:numId="43">
    <w:abstractNumId w:val="33"/>
  </w:num>
  <w:num w:numId="44">
    <w:abstractNumId w:val="24"/>
  </w:num>
  <w:num w:numId="45">
    <w:abstractNumId w:val="36"/>
  </w:num>
  <w:num w:numId="46">
    <w:abstractNumId w:val="12"/>
  </w:num>
  <w:num w:numId="47">
    <w:abstractNumId w:val="32"/>
  </w:num>
  <w:num w:numId="48">
    <w:abstractNumId w:val="31"/>
  </w:num>
  <w:num w:numId="49">
    <w:abstractNumId w:val="11"/>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93"/>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867"/>
    <w:rsid w:val="000017DB"/>
    <w:rsid w:val="00003079"/>
    <w:rsid w:val="0001048D"/>
    <w:rsid w:val="0001123B"/>
    <w:rsid w:val="000168D0"/>
    <w:rsid w:val="00016FA4"/>
    <w:rsid w:val="0003118E"/>
    <w:rsid w:val="00035688"/>
    <w:rsid w:val="00037C86"/>
    <w:rsid w:val="00044DA0"/>
    <w:rsid w:val="00051853"/>
    <w:rsid w:val="00051858"/>
    <w:rsid w:val="00052F7E"/>
    <w:rsid w:val="00055764"/>
    <w:rsid w:val="0006698A"/>
    <w:rsid w:val="00077892"/>
    <w:rsid w:val="000821B1"/>
    <w:rsid w:val="00097EC6"/>
    <w:rsid w:val="000B2FD3"/>
    <w:rsid w:val="000B3947"/>
    <w:rsid w:val="000E38AF"/>
    <w:rsid w:val="000E536F"/>
    <w:rsid w:val="000E7751"/>
    <w:rsid w:val="000F622E"/>
    <w:rsid w:val="001014C3"/>
    <w:rsid w:val="001026C9"/>
    <w:rsid w:val="001100CB"/>
    <w:rsid w:val="0011081D"/>
    <w:rsid w:val="00110CEA"/>
    <w:rsid w:val="0011325B"/>
    <w:rsid w:val="001166BD"/>
    <w:rsid w:val="0012348E"/>
    <w:rsid w:val="001313CC"/>
    <w:rsid w:val="00131F0E"/>
    <w:rsid w:val="00140AA9"/>
    <w:rsid w:val="001427B9"/>
    <w:rsid w:val="00151433"/>
    <w:rsid w:val="00152F53"/>
    <w:rsid w:val="001642F7"/>
    <w:rsid w:val="0018755E"/>
    <w:rsid w:val="001A1E3E"/>
    <w:rsid w:val="001A3867"/>
    <w:rsid w:val="001A4A9D"/>
    <w:rsid w:val="001B0AD0"/>
    <w:rsid w:val="001B1213"/>
    <w:rsid w:val="001B4FF5"/>
    <w:rsid w:val="001E12E8"/>
    <w:rsid w:val="001E467F"/>
    <w:rsid w:val="001E5B08"/>
    <w:rsid w:val="001F2E01"/>
    <w:rsid w:val="001F3667"/>
    <w:rsid w:val="001F3843"/>
    <w:rsid w:val="001F4396"/>
    <w:rsid w:val="001F5424"/>
    <w:rsid w:val="002055AE"/>
    <w:rsid w:val="002071DD"/>
    <w:rsid w:val="00210D2F"/>
    <w:rsid w:val="0021229D"/>
    <w:rsid w:val="00221849"/>
    <w:rsid w:val="002226C1"/>
    <w:rsid w:val="00222EE2"/>
    <w:rsid w:val="002353E1"/>
    <w:rsid w:val="00242F90"/>
    <w:rsid w:val="002448C4"/>
    <w:rsid w:val="00267A76"/>
    <w:rsid w:val="00274803"/>
    <w:rsid w:val="00275440"/>
    <w:rsid w:val="00276EC5"/>
    <w:rsid w:val="00277C3F"/>
    <w:rsid w:val="002925EF"/>
    <w:rsid w:val="00295AC5"/>
    <w:rsid w:val="00296CCA"/>
    <w:rsid w:val="002A2179"/>
    <w:rsid w:val="002A2B65"/>
    <w:rsid w:val="002A7461"/>
    <w:rsid w:val="002B05E2"/>
    <w:rsid w:val="002B09F8"/>
    <w:rsid w:val="002B0D33"/>
    <w:rsid w:val="002B4D1D"/>
    <w:rsid w:val="002B4D55"/>
    <w:rsid w:val="002B72BC"/>
    <w:rsid w:val="002B7DF5"/>
    <w:rsid w:val="002C3A62"/>
    <w:rsid w:val="002C49C9"/>
    <w:rsid w:val="002D0B7E"/>
    <w:rsid w:val="002E070C"/>
    <w:rsid w:val="00300A9E"/>
    <w:rsid w:val="00302B68"/>
    <w:rsid w:val="00310FEA"/>
    <w:rsid w:val="003169F3"/>
    <w:rsid w:val="00316A8D"/>
    <w:rsid w:val="0031757A"/>
    <w:rsid w:val="0033348E"/>
    <w:rsid w:val="00346064"/>
    <w:rsid w:val="00350FA5"/>
    <w:rsid w:val="003549B9"/>
    <w:rsid w:val="00360C27"/>
    <w:rsid w:val="00365A1F"/>
    <w:rsid w:val="00376FFF"/>
    <w:rsid w:val="003A4405"/>
    <w:rsid w:val="003A611E"/>
    <w:rsid w:val="003B192A"/>
    <w:rsid w:val="003B7987"/>
    <w:rsid w:val="003D3B1D"/>
    <w:rsid w:val="003D7F40"/>
    <w:rsid w:val="003E28D5"/>
    <w:rsid w:val="003E71A5"/>
    <w:rsid w:val="003F25EE"/>
    <w:rsid w:val="00402BBB"/>
    <w:rsid w:val="00404652"/>
    <w:rsid w:val="004071C5"/>
    <w:rsid w:val="004078A9"/>
    <w:rsid w:val="00410BC1"/>
    <w:rsid w:val="004122DF"/>
    <w:rsid w:val="004202F8"/>
    <w:rsid w:val="00420EF7"/>
    <w:rsid w:val="00421D59"/>
    <w:rsid w:val="00424B7B"/>
    <w:rsid w:val="00426CAC"/>
    <w:rsid w:val="0043384A"/>
    <w:rsid w:val="00437BD1"/>
    <w:rsid w:val="004440DC"/>
    <w:rsid w:val="0044501E"/>
    <w:rsid w:val="004468D0"/>
    <w:rsid w:val="004622B7"/>
    <w:rsid w:val="00463827"/>
    <w:rsid w:val="00464FB9"/>
    <w:rsid w:val="00471D2D"/>
    <w:rsid w:val="0047533A"/>
    <w:rsid w:val="00484D3B"/>
    <w:rsid w:val="004A0810"/>
    <w:rsid w:val="004A3347"/>
    <w:rsid w:val="004A40A1"/>
    <w:rsid w:val="004B129C"/>
    <w:rsid w:val="004B7EC1"/>
    <w:rsid w:val="004C1D42"/>
    <w:rsid w:val="004C272D"/>
    <w:rsid w:val="004D0900"/>
    <w:rsid w:val="004D7E55"/>
    <w:rsid w:val="004F2346"/>
    <w:rsid w:val="004F34BD"/>
    <w:rsid w:val="004F4145"/>
    <w:rsid w:val="004F5F00"/>
    <w:rsid w:val="00505E23"/>
    <w:rsid w:val="00506B77"/>
    <w:rsid w:val="0051472A"/>
    <w:rsid w:val="0054271A"/>
    <w:rsid w:val="00542999"/>
    <w:rsid w:val="005539BF"/>
    <w:rsid w:val="005540BA"/>
    <w:rsid w:val="005563A0"/>
    <w:rsid w:val="0055769A"/>
    <w:rsid w:val="0056211F"/>
    <w:rsid w:val="00574F04"/>
    <w:rsid w:val="00576A43"/>
    <w:rsid w:val="005848B3"/>
    <w:rsid w:val="00587671"/>
    <w:rsid w:val="00590C2D"/>
    <w:rsid w:val="005971B0"/>
    <w:rsid w:val="005B1D90"/>
    <w:rsid w:val="005B2626"/>
    <w:rsid w:val="005D23C0"/>
    <w:rsid w:val="005D38ED"/>
    <w:rsid w:val="005D4D36"/>
    <w:rsid w:val="005D558A"/>
    <w:rsid w:val="005E1D31"/>
    <w:rsid w:val="005E2E9A"/>
    <w:rsid w:val="005E592E"/>
    <w:rsid w:val="00611ACA"/>
    <w:rsid w:val="0061490F"/>
    <w:rsid w:val="006247DE"/>
    <w:rsid w:val="00630E61"/>
    <w:rsid w:val="00641E50"/>
    <w:rsid w:val="006447A1"/>
    <w:rsid w:val="0065197E"/>
    <w:rsid w:val="00652519"/>
    <w:rsid w:val="00652EBD"/>
    <w:rsid w:val="006568F3"/>
    <w:rsid w:val="00657BA3"/>
    <w:rsid w:val="00663EFA"/>
    <w:rsid w:val="006714EA"/>
    <w:rsid w:val="00673734"/>
    <w:rsid w:val="00673C5C"/>
    <w:rsid w:val="0067497C"/>
    <w:rsid w:val="00675301"/>
    <w:rsid w:val="00682764"/>
    <w:rsid w:val="006B7322"/>
    <w:rsid w:val="006D3CAB"/>
    <w:rsid w:val="006D452A"/>
    <w:rsid w:val="006E374E"/>
    <w:rsid w:val="006E37D4"/>
    <w:rsid w:val="006E5B35"/>
    <w:rsid w:val="006E781B"/>
    <w:rsid w:val="006F65BB"/>
    <w:rsid w:val="006F673F"/>
    <w:rsid w:val="00703A1B"/>
    <w:rsid w:val="00703CBF"/>
    <w:rsid w:val="00706BBF"/>
    <w:rsid w:val="0071140A"/>
    <w:rsid w:val="00713D5A"/>
    <w:rsid w:val="00717F35"/>
    <w:rsid w:val="00723C53"/>
    <w:rsid w:val="00724B99"/>
    <w:rsid w:val="00725E8B"/>
    <w:rsid w:val="007312F1"/>
    <w:rsid w:val="00751D5E"/>
    <w:rsid w:val="007556E8"/>
    <w:rsid w:val="00757DFC"/>
    <w:rsid w:val="007669CC"/>
    <w:rsid w:val="007731BD"/>
    <w:rsid w:val="00783159"/>
    <w:rsid w:val="00784243"/>
    <w:rsid w:val="007860FC"/>
    <w:rsid w:val="007924D0"/>
    <w:rsid w:val="007A0881"/>
    <w:rsid w:val="007A67D4"/>
    <w:rsid w:val="007B6185"/>
    <w:rsid w:val="007B675A"/>
    <w:rsid w:val="007B6E8F"/>
    <w:rsid w:val="007C78B2"/>
    <w:rsid w:val="007E0A62"/>
    <w:rsid w:val="007E442A"/>
    <w:rsid w:val="007E79BF"/>
    <w:rsid w:val="007F4D72"/>
    <w:rsid w:val="00811EAD"/>
    <w:rsid w:val="0082236A"/>
    <w:rsid w:val="00822729"/>
    <w:rsid w:val="008279A7"/>
    <w:rsid w:val="00832476"/>
    <w:rsid w:val="008330EE"/>
    <w:rsid w:val="00835F40"/>
    <w:rsid w:val="00855C00"/>
    <w:rsid w:val="00860787"/>
    <w:rsid w:val="008607BA"/>
    <w:rsid w:val="00862F32"/>
    <w:rsid w:val="00875524"/>
    <w:rsid w:val="00880F44"/>
    <w:rsid w:val="00881D8B"/>
    <w:rsid w:val="008926ED"/>
    <w:rsid w:val="00895C48"/>
    <w:rsid w:val="008962FE"/>
    <w:rsid w:val="008C04C7"/>
    <w:rsid w:val="008C72D6"/>
    <w:rsid w:val="008C7A9B"/>
    <w:rsid w:val="008D0E55"/>
    <w:rsid w:val="008D4D7F"/>
    <w:rsid w:val="008D58F4"/>
    <w:rsid w:val="008E1970"/>
    <w:rsid w:val="0090129F"/>
    <w:rsid w:val="00910CBE"/>
    <w:rsid w:val="0091350B"/>
    <w:rsid w:val="00930A37"/>
    <w:rsid w:val="00954AAD"/>
    <w:rsid w:val="009725A9"/>
    <w:rsid w:val="00974984"/>
    <w:rsid w:val="009835EF"/>
    <w:rsid w:val="00986349"/>
    <w:rsid w:val="009A01BA"/>
    <w:rsid w:val="009A6C71"/>
    <w:rsid w:val="009B03A1"/>
    <w:rsid w:val="009B5B19"/>
    <w:rsid w:val="009C0A34"/>
    <w:rsid w:val="009C0E3A"/>
    <w:rsid w:val="009C1719"/>
    <w:rsid w:val="009C1D6E"/>
    <w:rsid w:val="009C2710"/>
    <w:rsid w:val="009C3E9B"/>
    <w:rsid w:val="009C577E"/>
    <w:rsid w:val="009D199A"/>
    <w:rsid w:val="009D300B"/>
    <w:rsid w:val="009E6AF6"/>
    <w:rsid w:val="009F148F"/>
    <w:rsid w:val="00A0123B"/>
    <w:rsid w:val="00A06F90"/>
    <w:rsid w:val="00A108F1"/>
    <w:rsid w:val="00A124C3"/>
    <w:rsid w:val="00A14BA4"/>
    <w:rsid w:val="00A17501"/>
    <w:rsid w:val="00A1770E"/>
    <w:rsid w:val="00A51006"/>
    <w:rsid w:val="00A51487"/>
    <w:rsid w:val="00A5297E"/>
    <w:rsid w:val="00A547BB"/>
    <w:rsid w:val="00A55BFA"/>
    <w:rsid w:val="00A7073A"/>
    <w:rsid w:val="00A7421C"/>
    <w:rsid w:val="00A747A9"/>
    <w:rsid w:val="00A76700"/>
    <w:rsid w:val="00A82B6D"/>
    <w:rsid w:val="00A83D71"/>
    <w:rsid w:val="00AA51E3"/>
    <w:rsid w:val="00AA75CA"/>
    <w:rsid w:val="00AB21F1"/>
    <w:rsid w:val="00AC05F7"/>
    <w:rsid w:val="00AC1B1D"/>
    <w:rsid w:val="00AC3BE7"/>
    <w:rsid w:val="00AD74AD"/>
    <w:rsid w:val="00AE07C9"/>
    <w:rsid w:val="00AE2C54"/>
    <w:rsid w:val="00AE49D0"/>
    <w:rsid w:val="00AE615D"/>
    <w:rsid w:val="00AF4CB3"/>
    <w:rsid w:val="00AF5690"/>
    <w:rsid w:val="00B050D1"/>
    <w:rsid w:val="00B05BC3"/>
    <w:rsid w:val="00B06517"/>
    <w:rsid w:val="00B11829"/>
    <w:rsid w:val="00B13306"/>
    <w:rsid w:val="00B1373C"/>
    <w:rsid w:val="00B31EF9"/>
    <w:rsid w:val="00B37C36"/>
    <w:rsid w:val="00B421EE"/>
    <w:rsid w:val="00B468C3"/>
    <w:rsid w:val="00B613A0"/>
    <w:rsid w:val="00B62CBC"/>
    <w:rsid w:val="00B63FA1"/>
    <w:rsid w:val="00B64964"/>
    <w:rsid w:val="00B66A7A"/>
    <w:rsid w:val="00B740B6"/>
    <w:rsid w:val="00B816B0"/>
    <w:rsid w:val="00BA11A1"/>
    <w:rsid w:val="00BA4F0C"/>
    <w:rsid w:val="00BA7645"/>
    <w:rsid w:val="00BC023A"/>
    <w:rsid w:val="00BC2EB5"/>
    <w:rsid w:val="00BC498C"/>
    <w:rsid w:val="00BD0620"/>
    <w:rsid w:val="00BD5AB0"/>
    <w:rsid w:val="00BD7DD8"/>
    <w:rsid w:val="00BE70B6"/>
    <w:rsid w:val="00BF09A2"/>
    <w:rsid w:val="00BF6573"/>
    <w:rsid w:val="00C02AE5"/>
    <w:rsid w:val="00C077F8"/>
    <w:rsid w:val="00C120B2"/>
    <w:rsid w:val="00C141FB"/>
    <w:rsid w:val="00C14E44"/>
    <w:rsid w:val="00C202ED"/>
    <w:rsid w:val="00C2511B"/>
    <w:rsid w:val="00C30DF3"/>
    <w:rsid w:val="00C3718F"/>
    <w:rsid w:val="00C43D60"/>
    <w:rsid w:val="00C47E54"/>
    <w:rsid w:val="00C62684"/>
    <w:rsid w:val="00C63441"/>
    <w:rsid w:val="00C647BC"/>
    <w:rsid w:val="00C6634B"/>
    <w:rsid w:val="00C75735"/>
    <w:rsid w:val="00C82B6D"/>
    <w:rsid w:val="00C8509E"/>
    <w:rsid w:val="00CA2AC4"/>
    <w:rsid w:val="00CA4E08"/>
    <w:rsid w:val="00CA63CF"/>
    <w:rsid w:val="00CB322B"/>
    <w:rsid w:val="00CB3F1D"/>
    <w:rsid w:val="00CB437C"/>
    <w:rsid w:val="00CB59D4"/>
    <w:rsid w:val="00CC0A77"/>
    <w:rsid w:val="00CC2030"/>
    <w:rsid w:val="00CC6A2D"/>
    <w:rsid w:val="00CC74AA"/>
    <w:rsid w:val="00CC76FC"/>
    <w:rsid w:val="00CD13F5"/>
    <w:rsid w:val="00CD1A8A"/>
    <w:rsid w:val="00CD1AAC"/>
    <w:rsid w:val="00CD5A49"/>
    <w:rsid w:val="00CE0AF8"/>
    <w:rsid w:val="00CE2B88"/>
    <w:rsid w:val="00CE3A9E"/>
    <w:rsid w:val="00CE7FAE"/>
    <w:rsid w:val="00CF1CB9"/>
    <w:rsid w:val="00CF2FF3"/>
    <w:rsid w:val="00CF61E9"/>
    <w:rsid w:val="00D0305A"/>
    <w:rsid w:val="00D07B82"/>
    <w:rsid w:val="00D11CB1"/>
    <w:rsid w:val="00D13B12"/>
    <w:rsid w:val="00D14265"/>
    <w:rsid w:val="00D16F67"/>
    <w:rsid w:val="00D31036"/>
    <w:rsid w:val="00D334CF"/>
    <w:rsid w:val="00D35AED"/>
    <w:rsid w:val="00D37ED2"/>
    <w:rsid w:val="00D541C3"/>
    <w:rsid w:val="00D556A0"/>
    <w:rsid w:val="00D65B14"/>
    <w:rsid w:val="00D762EB"/>
    <w:rsid w:val="00D91667"/>
    <w:rsid w:val="00D97F40"/>
    <w:rsid w:val="00DA2E20"/>
    <w:rsid w:val="00DA7EA4"/>
    <w:rsid w:val="00DB04D7"/>
    <w:rsid w:val="00DC10A0"/>
    <w:rsid w:val="00DE34FB"/>
    <w:rsid w:val="00DE366E"/>
    <w:rsid w:val="00DE5CC7"/>
    <w:rsid w:val="00DE7C8F"/>
    <w:rsid w:val="00E11E1A"/>
    <w:rsid w:val="00E152F8"/>
    <w:rsid w:val="00E20D63"/>
    <w:rsid w:val="00E22B4F"/>
    <w:rsid w:val="00E2519B"/>
    <w:rsid w:val="00E2526C"/>
    <w:rsid w:val="00E268AE"/>
    <w:rsid w:val="00E34081"/>
    <w:rsid w:val="00E4388F"/>
    <w:rsid w:val="00E55880"/>
    <w:rsid w:val="00E565AB"/>
    <w:rsid w:val="00E64ACB"/>
    <w:rsid w:val="00E70155"/>
    <w:rsid w:val="00E7238D"/>
    <w:rsid w:val="00E82A68"/>
    <w:rsid w:val="00E9652F"/>
    <w:rsid w:val="00EB5339"/>
    <w:rsid w:val="00EC2A7C"/>
    <w:rsid w:val="00ED3A5C"/>
    <w:rsid w:val="00EE43ED"/>
    <w:rsid w:val="00EF406E"/>
    <w:rsid w:val="00F00E7D"/>
    <w:rsid w:val="00F14AF9"/>
    <w:rsid w:val="00F15BBF"/>
    <w:rsid w:val="00F218ED"/>
    <w:rsid w:val="00F260FF"/>
    <w:rsid w:val="00F41E49"/>
    <w:rsid w:val="00F4453E"/>
    <w:rsid w:val="00F5016A"/>
    <w:rsid w:val="00F60690"/>
    <w:rsid w:val="00F76756"/>
    <w:rsid w:val="00F82355"/>
    <w:rsid w:val="00F82B4A"/>
    <w:rsid w:val="00F83233"/>
    <w:rsid w:val="00F94944"/>
    <w:rsid w:val="00F973A3"/>
    <w:rsid w:val="00FA2F5F"/>
    <w:rsid w:val="00FB3AC9"/>
    <w:rsid w:val="00FD013F"/>
    <w:rsid w:val="00FD0553"/>
    <w:rsid w:val="00FD125D"/>
    <w:rsid w:val="00FD5B6B"/>
    <w:rsid w:val="00FE2FCD"/>
    <w:rsid w:val="00FE659C"/>
    <w:rsid w:val="00FE6F1F"/>
    <w:rsid w:val="00FF15B9"/>
    <w:rsid w:val="00FF6A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6E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4CF"/>
    <w:pPr>
      <w:spacing w:line="280" w:lineRule="exact"/>
    </w:pPr>
    <w:rPr>
      <w:rFonts w:ascii="Arial" w:hAnsi="Arial"/>
      <w:color w:val="000000"/>
      <w:spacing w:val="6"/>
      <w:sz w:val="18"/>
      <w:szCs w:val="18"/>
      <w:lang w:val="en-GB" w:eastAsia="en-GB"/>
    </w:rPr>
  </w:style>
  <w:style w:type="paragraph" w:styleId="Heading1">
    <w:name w:val="heading 1"/>
    <w:basedOn w:val="Normal"/>
    <w:next w:val="Normal"/>
    <w:qFormat/>
    <w:rsid w:val="001F2E01"/>
    <w:pPr>
      <w:keepNext/>
      <w:outlineLvl w:val="0"/>
    </w:pPr>
    <w:rPr>
      <w:rFonts w:cs="Arial"/>
      <w:b/>
      <w:bCs/>
      <w:kern w:val="32"/>
      <w:sz w:val="20"/>
      <w:szCs w:val="20"/>
    </w:rPr>
  </w:style>
  <w:style w:type="paragraph" w:styleId="Heading2">
    <w:name w:val="heading 2"/>
    <w:basedOn w:val="Normal"/>
    <w:next w:val="Normal"/>
    <w:qFormat/>
    <w:rsid w:val="004071C5"/>
    <w:pPr>
      <w:keepNext/>
      <w:outlineLvl w:val="1"/>
    </w:pPr>
    <w:rPr>
      <w:rFonts w:cs="Arial"/>
      <w:b/>
      <w:bCs/>
      <w:iCs/>
    </w:rPr>
  </w:style>
  <w:style w:type="paragraph" w:styleId="Heading3">
    <w:name w:val="heading 3"/>
    <w:basedOn w:val="Normal"/>
    <w:next w:val="Normal"/>
    <w:qFormat/>
    <w:rsid w:val="004071C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uiPriority w:val="99"/>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basedOn w:val="DefaultParagraphFont"/>
    <w:link w:val="Footer"/>
    <w:uiPriority w:val="99"/>
    <w:rsid w:val="001014C3"/>
    <w:rPr>
      <w:rFonts w:ascii="Arial" w:hAnsi="Arial"/>
      <w:sz w:val="14"/>
      <w:szCs w:val="14"/>
      <w:lang w:val="en-GB" w:eastAsia="en-GB" w:bidi="ar-SA"/>
    </w:rPr>
  </w:style>
  <w:style w:type="character" w:customStyle="1" w:styleId="FooterboldChar">
    <w:name w:val="Footer bold Char"/>
    <w:basedOn w:val="Footer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rsid w:val="00E7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customStyle="1" w:styleId="Normalboldwhite">
    <w:name w:val="Normal bold white"/>
    <w:basedOn w:val="Normalbold"/>
    <w:rsid w:val="00D13B12"/>
    <w:rPr>
      <w:color w:val="FFFFFF"/>
      <w:lang w:val="en-US"/>
    </w:rPr>
  </w:style>
  <w:style w:type="character" w:styleId="Hyperlink">
    <w:name w:val="Hyperlink"/>
    <w:basedOn w:val="DefaultParagraphFont"/>
    <w:rsid w:val="00A747A9"/>
    <w:rPr>
      <w:color w:val="0000FF"/>
      <w:u w:val="single"/>
    </w:rPr>
  </w:style>
  <w:style w:type="paragraph" w:styleId="ListParagraph">
    <w:name w:val="List Paragraph"/>
    <w:basedOn w:val="Normal"/>
    <w:uiPriority w:val="34"/>
    <w:qFormat/>
    <w:rsid w:val="004F5F00"/>
    <w:pPr>
      <w:ind w:left="720"/>
    </w:pPr>
  </w:style>
  <w:style w:type="paragraph" w:styleId="BalloonText">
    <w:name w:val="Balloon Text"/>
    <w:basedOn w:val="Normal"/>
    <w:link w:val="BalloonTextChar"/>
    <w:rsid w:val="003B798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B7987"/>
    <w:rPr>
      <w:rFonts w:ascii="Tahoma" w:hAnsi="Tahoma" w:cs="Tahoma"/>
      <w:color w:val="000000"/>
      <w:spacing w:val="6"/>
      <w:sz w:val="16"/>
      <w:szCs w:val="16"/>
      <w:lang w:val="en-GB" w:eastAsia="en-GB"/>
    </w:rPr>
  </w:style>
  <w:style w:type="character" w:styleId="CommentReference">
    <w:name w:val="annotation reference"/>
    <w:basedOn w:val="DefaultParagraphFont"/>
    <w:rsid w:val="00152F53"/>
    <w:rPr>
      <w:sz w:val="16"/>
      <w:szCs w:val="16"/>
    </w:rPr>
  </w:style>
  <w:style w:type="paragraph" w:styleId="CommentText">
    <w:name w:val="annotation text"/>
    <w:basedOn w:val="Normal"/>
    <w:link w:val="CommentTextChar"/>
    <w:rsid w:val="00152F53"/>
    <w:rPr>
      <w:sz w:val="20"/>
      <w:szCs w:val="20"/>
    </w:rPr>
  </w:style>
  <w:style w:type="character" w:customStyle="1" w:styleId="CommentTextChar">
    <w:name w:val="Comment Text Char"/>
    <w:basedOn w:val="DefaultParagraphFont"/>
    <w:link w:val="CommentText"/>
    <w:rsid w:val="00152F53"/>
    <w:rPr>
      <w:rFonts w:ascii="Arial" w:hAnsi="Arial"/>
      <w:color w:val="000000"/>
      <w:spacing w:val="6"/>
      <w:lang w:val="en-GB" w:eastAsia="en-GB"/>
    </w:rPr>
  </w:style>
  <w:style w:type="paragraph" w:styleId="CommentSubject">
    <w:name w:val="annotation subject"/>
    <w:basedOn w:val="CommentText"/>
    <w:next w:val="CommentText"/>
    <w:link w:val="CommentSubjectChar"/>
    <w:rsid w:val="00152F53"/>
    <w:rPr>
      <w:b/>
      <w:bCs/>
    </w:rPr>
  </w:style>
  <w:style w:type="character" w:customStyle="1" w:styleId="CommentSubjectChar">
    <w:name w:val="Comment Subject Char"/>
    <w:basedOn w:val="CommentTextChar"/>
    <w:link w:val="CommentSubject"/>
    <w:rsid w:val="00152F53"/>
    <w:rPr>
      <w:rFonts w:ascii="Arial" w:hAnsi="Arial"/>
      <w:b/>
      <w:bCs/>
      <w:color w:val="000000"/>
      <w:spacing w:val="6"/>
      <w:lang w:val="en-GB" w:eastAsia="en-GB"/>
    </w:rPr>
  </w:style>
  <w:style w:type="paragraph" w:styleId="FootnoteText">
    <w:name w:val="footnote text"/>
    <w:basedOn w:val="Normal"/>
    <w:link w:val="FootnoteTextChar"/>
    <w:unhideWhenUsed/>
    <w:rsid w:val="0018755E"/>
    <w:rPr>
      <w:rFonts w:ascii="Times New Roman" w:hAnsi="Times New Roman"/>
      <w:szCs w:val="20"/>
    </w:rPr>
  </w:style>
  <w:style w:type="character" w:customStyle="1" w:styleId="FootnoteTextChar">
    <w:name w:val="Footnote Text Char"/>
    <w:basedOn w:val="DefaultParagraphFont"/>
    <w:link w:val="FootnoteText"/>
    <w:rsid w:val="0018755E"/>
    <w:rPr>
      <w:color w:val="000000"/>
      <w:spacing w:val="6"/>
      <w:sz w:val="18"/>
      <w:lang w:val="en-GB" w:eastAsia="en-GB"/>
    </w:rPr>
  </w:style>
  <w:style w:type="character" w:styleId="FootnoteReference">
    <w:name w:val="footnote reference"/>
    <w:uiPriority w:val="99"/>
    <w:rsid w:val="008607BA"/>
    <w:rPr>
      <w:vertAlign w:val="superscript"/>
    </w:rPr>
  </w:style>
  <w:style w:type="paragraph" w:styleId="Revision">
    <w:name w:val="Revision"/>
    <w:hidden/>
    <w:uiPriority w:val="99"/>
    <w:semiHidden/>
    <w:rsid w:val="00052F7E"/>
    <w:rPr>
      <w:rFonts w:ascii="Arial" w:hAnsi="Arial"/>
      <w:color w:val="000000"/>
      <w:spacing w:val="6"/>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4CF"/>
    <w:pPr>
      <w:spacing w:line="280" w:lineRule="exact"/>
    </w:pPr>
    <w:rPr>
      <w:rFonts w:ascii="Arial" w:hAnsi="Arial"/>
      <w:color w:val="000000"/>
      <w:spacing w:val="6"/>
      <w:sz w:val="18"/>
      <w:szCs w:val="18"/>
      <w:lang w:val="en-GB" w:eastAsia="en-GB"/>
    </w:rPr>
  </w:style>
  <w:style w:type="paragraph" w:styleId="Heading1">
    <w:name w:val="heading 1"/>
    <w:basedOn w:val="Normal"/>
    <w:next w:val="Normal"/>
    <w:qFormat/>
    <w:rsid w:val="001F2E01"/>
    <w:pPr>
      <w:keepNext/>
      <w:outlineLvl w:val="0"/>
    </w:pPr>
    <w:rPr>
      <w:rFonts w:cs="Arial"/>
      <w:b/>
      <w:bCs/>
      <w:kern w:val="32"/>
      <w:sz w:val="20"/>
      <w:szCs w:val="20"/>
    </w:rPr>
  </w:style>
  <w:style w:type="paragraph" w:styleId="Heading2">
    <w:name w:val="heading 2"/>
    <w:basedOn w:val="Normal"/>
    <w:next w:val="Normal"/>
    <w:qFormat/>
    <w:rsid w:val="004071C5"/>
    <w:pPr>
      <w:keepNext/>
      <w:outlineLvl w:val="1"/>
    </w:pPr>
    <w:rPr>
      <w:rFonts w:cs="Arial"/>
      <w:b/>
      <w:bCs/>
      <w:iCs/>
    </w:rPr>
  </w:style>
  <w:style w:type="paragraph" w:styleId="Heading3">
    <w:name w:val="heading 3"/>
    <w:basedOn w:val="Normal"/>
    <w:next w:val="Normal"/>
    <w:qFormat/>
    <w:rsid w:val="004071C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uiPriority w:val="99"/>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basedOn w:val="DefaultParagraphFont"/>
    <w:link w:val="Footer"/>
    <w:uiPriority w:val="99"/>
    <w:rsid w:val="001014C3"/>
    <w:rPr>
      <w:rFonts w:ascii="Arial" w:hAnsi="Arial"/>
      <w:sz w:val="14"/>
      <w:szCs w:val="14"/>
      <w:lang w:val="en-GB" w:eastAsia="en-GB" w:bidi="ar-SA"/>
    </w:rPr>
  </w:style>
  <w:style w:type="character" w:customStyle="1" w:styleId="FooterboldChar">
    <w:name w:val="Footer bold Char"/>
    <w:basedOn w:val="Footer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rsid w:val="00E7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customStyle="1" w:styleId="Normalboldwhite">
    <w:name w:val="Normal bold white"/>
    <w:basedOn w:val="Normalbold"/>
    <w:rsid w:val="00D13B12"/>
    <w:rPr>
      <w:color w:val="FFFFFF"/>
      <w:lang w:val="en-US"/>
    </w:rPr>
  </w:style>
  <w:style w:type="character" w:styleId="Hyperlink">
    <w:name w:val="Hyperlink"/>
    <w:basedOn w:val="DefaultParagraphFont"/>
    <w:rsid w:val="00A747A9"/>
    <w:rPr>
      <w:color w:val="0000FF"/>
      <w:u w:val="single"/>
    </w:rPr>
  </w:style>
  <w:style w:type="paragraph" w:styleId="ListParagraph">
    <w:name w:val="List Paragraph"/>
    <w:basedOn w:val="Normal"/>
    <w:uiPriority w:val="34"/>
    <w:qFormat/>
    <w:rsid w:val="004F5F00"/>
    <w:pPr>
      <w:ind w:left="720"/>
    </w:pPr>
  </w:style>
  <w:style w:type="paragraph" w:styleId="BalloonText">
    <w:name w:val="Balloon Text"/>
    <w:basedOn w:val="Normal"/>
    <w:link w:val="BalloonTextChar"/>
    <w:rsid w:val="003B798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B7987"/>
    <w:rPr>
      <w:rFonts w:ascii="Tahoma" w:hAnsi="Tahoma" w:cs="Tahoma"/>
      <w:color w:val="000000"/>
      <w:spacing w:val="6"/>
      <w:sz w:val="16"/>
      <w:szCs w:val="16"/>
      <w:lang w:val="en-GB" w:eastAsia="en-GB"/>
    </w:rPr>
  </w:style>
  <w:style w:type="character" w:styleId="CommentReference">
    <w:name w:val="annotation reference"/>
    <w:basedOn w:val="DefaultParagraphFont"/>
    <w:rsid w:val="00152F53"/>
    <w:rPr>
      <w:sz w:val="16"/>
      <w:szCs w:val="16"/>
    </w:rPr>
  </w:style>
  <w:style w:type="paragraph" w:styleId="CommentText">
    <w:name w:val="annotation text"/>
    <w:basedOn w:val="Normal"/>
    <w:link w:val="CommentTextChar"/>
    <w:rsid w:val="00152F53"/>
    <w:rPr>
      <w:sz w:val="20"/>
      <w:szCs w:val="20"/>
    </w:rPr>
  </w:style>
  <w:style w:type="character" w:customStyle="1" w:styleId="CommentTextChar">
    <w:name w:val="Comment Text Char"/>
    <w:basedOn w:val="DefaultParagraphFont"/>
    <w:link w:val="CommentText"/>
    <w:rsid w:val="00152F53"/>
    <w:rPr>
      <w:rFonts w:ascii="Arial" w:hAnsi="Arial"/>
      <w:color w:val="000000"/>
      <w:spacing w:val="6"/>
      <w:lang w:val="en-GB" w:eastAsia="en-GB"/>
    </w:rPr>
  </w:style>
  <w:style w:type="paragraph" w:styleId="CommentSubject">
    <w:name w:val="annotation subject"/>
    <w:basedOn w:val="CommentText"/>
    <w:next w:val="CommentText"/>
    <w:link w:val="CommentSubjectChar"/>
    <w:rsid w:val="00152F53"/>
    <w:rPr>
      <w:b/>
      <w:bCs/>
    </w:rPr>
  </w:style>
  <w:style w:type="character" w:customStyle="1" w:styleId="CommentSubjectChar">
    <w:name w:val="Comment Subject Char"/>
    <w:basedOn w:val="CommentTextChar"/>
    <w:link w:val="CommentSubject"/>
    <w:rsid w:val="00152F53"/>
    <w:rPr>
      <w:rFonts w:ascii="Arial" w:hAnsi="Arial"/>
      <w:b/>
      <w:bCs/>
      <w:color w:val="000000"/>
      <w:spacing w:val="6"/>
      <w:lang w:val="en-GB" w:eastAsia="en-GB"/>
    </w:rPr>
  </w:style>
  <w:style w:type="paragraph" w:styleId="FootnoteText">
    <w:name w:val="footnote text"/>
    <w:basedOn w:val="Normal"/>
    <w:link w:val="FootnoteTextChar"/>
    <w:unhideWhenUsed/>
    <w:rsid w:val="0018755E"/>
    <w:rPr>
      <w:rFonts w:ascii="Times New Roman" w:hAnsi="Times New Roman"/>
      <w:szCs w:val="20"/>
    </w:rPr>
  </w:style>
  <w:style w:type="character" w:customStyle="1" w:styleId="FootnoteTextChar">
    <w:name w:val="Footnote Text Char"/>
    <w:basedOn w:val="DefaultParagraphFont"/>
    <w:link w:val="FootnoteText"/>
    <w:rsid w:val="0018755E"/>
    <w:rPr>
      <w:color w:val="000000"/>
      <w:spacing w:val="6"/>
      <w:sz w:val="18"/>
      <w:lang w:val="en-GB" w:eastAsia="en-GB"/>
    </w:rPr>
  </w:style>
  <w:style w:type="character" w:styleId="FootnoteReference">
    <w:name w:val="footnote reference"/>
    <w:uiPriority w:val="99"/>
    <w:rsid w:val="008607BA"/>
    <w:rPr>
      <w:vertAlign w:val="superscript"/>
    </w:rPr>
  </w:style>
  <w:style w:type="paragraph" w:styleId="Revision">
    <w:name w:val="Revision"/>
    <w:hidden/>
    <w:uiPriority w:val="99"/>
    <w:semiHidden/>
    <w:rsid w:val="00052F7E"/>
    <w:rPr>
      <w:rFonts w:ascii="Arial" w:hAnsi="Arial"/>
      <w:color w:val="000000"/>
      <w:spacing w:val="6"/>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7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fclayton\Desktop\Work%20in%20Progress\Budget%202017\2.Budget%20Table.Committee.Overall%20Budget%202017%20-%20Arts%20and%20Cultur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clayton\Desktop\Work%20in%20Progress\Budget%202017\1.Budget%20%20Table%20for%20Publication%202017%20-%20Arts%20and%20Cultur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Nominal amounts</c:v>
                </c:pt>
              </c:strCache>
            </c:strRef>
          </c:tx>
          <c:spPr>
            <a:solidFill>
              <a:schemeClr val="accent6">
                <a:lumMod val="60000"/>
                <a:lumOff val="40000"/>
              </a:schemeClr>
            </a:solidFill>
            <a:ln>
              <a:noFill/>
            </a:ln>
            <a:effectLst/>
          </c:spPr>
          <c:invertIfNegative val="0"/>
          <c:cat>
            <c:strRef>
              <c:f>Sheet1!$B$1:$E$1</c:f>
              <c:strCache>
                <c:ptCount val="4"/>
                <c:pt idx="0">
                  <c:v>2016/17</c:v>
                </c:pt>
                <c:pt idx="1">
                  <c:v>2017/18</c:v>
                </c:pt>
                <c:pt idx="2">
                  <c:v>2018/19</c:v>
                </c:pt>
                <c:pt idx="3">
                  <c:v>2019/20</c:v>
                </c:pt>
              </c:strCache>
            </c:strRef>
          </c:cat>
          <c:val>
            <c:numRef>
              <c:f>Sheet1!$B$2:$E$2</c:f>
              <c:numCache>
                <c:formatCode>General</c:formatCode>
                <c:ptCount val="4"/>
                <c:pt idx="0">
                  <c:v>4062.6</c:v>
                </c:pt>
                <c:pt idx="1">
                  <c:v>4449.8</c:v>
                </c:pt>
                <c:pt idx="2">
                  <c:v>4491.7</c:v>
                </c:pt>
                <c:pt idx="3">
                  <c:v>4752.3</c:v>
                </c:pt>
              </c:numCache>
            </c:numRef>
          </c:val>
          <c:extLst xmlns:c16r2="http://schemas.microsoft.com/office/drawing/2015/06/chart">
            <c:ext xmlns:c16="http://schemas.microsoft.com/office/drawing/2014/chart" uri="{C3380CC4-5D6E-409C-BE32-E72D297353CC}">
              <c16:uniqueId val="{00000000-B721-4F54-94A9-B2AFF01FC716}"/>
            </c:ext>
          </c:extLst>
        </c:ser>
        <c:ser>
          <c:idx val="1"/>
          <c:order val="1"/>
          <c:tx>
            <c:strRef>
              <c:f>Sheet1!$A$3</c:f>
              <c:strCache>
                <c:ptCount val="1"/>
                <c:pt idx="0">
                  <c:v>Inflation-adjusted</c:v>
                </c:pt>
              </c:strCache>
            </c:strRef>
          </c:tx>
          <c:spPr>
            <a:solidFill>
              <a:schemeClr val="accent6">
                <a:lumMod val="75000"/>
              </a:schemeClr>
            </a:solidFill>
            <a:ln>
              <a:noFill/>
            </a:ln>
            <a:effectLst/>
          </c:spPr>
          <c:invertIfNegative val="0"/>
          <c:cat>
            <c:strRef>
              <c:f>Sheet1!$B$1:$E$1</c:f>
              <c:strCache>
                <c:ptCount val="4"/>
                <c:pt idx="0">
                  <c:v>2016/17</c:v>
                </c:pt>
                <c:pt idx="1">
                  <c:v>2017/18</c:v>
                </c:pt>
                <c:pt idx="2">
                  <c:v>2018/19</c:v>
                </c:pt>
                <c:pt idx="3">
                  <c:v>2019/20</c:v>
                </c:pt>
              </c:strCache>
            </c:strRef>
          </c:cat>
          <c:val>
            <c:numRef>
              <c:f>Sheet1!$B$3:$E$3</c:f>
              <c:numCache>
                <c:formatCode>General</c:formatCode>
                <c:ptCount val="4"/>
                <c:pt idx="0">
                  <c:v>4062.6</c:v>
                </c:pt>
                <c:pt idx="1">
                  <c:v>4186.0771401693319</c:v>
                </c:pt>
                <c:pt idx="2">
                  <c:v>3997.6290304924128</c:v>
                </c:pt>
                <c:pt idx="3">
                  <c:v>4005.2689020373887</c:v>
                </c:pt>
              </c:numCache>
            </c:numRef>
          </c:val>
          <c:extLst xmlns:c16r2="http://schemas.microsoft.com/office/drawing/2015/06/chart">
            <c:ext xmlns:c16="http://schemas.microsoft.com/office/drawing/2014/chart" uri="{C3380CC4-5D6E-409C-BE32-E72D297353CC}">
              <c16:uniqueId val="{00000001-B721-4F54-94A9-B2AFF01FC716}"/>
            </c:ext>
          </c:extLst>
        </c:ser>
        <c:dLbls>
          <c:showLegendKey val="0"/>
          <c:showVal val="0"/>
          <c:showCatName val="0"/>
          <c:showSerName val="0"/>
          <c:showPercent val="0"/>
          <c:showBubbleSize val="0"/>
        </c:dLbls>
        <c:gapWidth val="199"/>
        <c:axId val="58109952"/>
        <c:axId val="58700544"/>
      </c:barChart>
      <c:catAx>
        <c:axId val="581099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8700544"/>
        <c:crosses val="autoZero"/>
        <c:auto val="1"/>
        <c:lblAlgn val="ctr"/>
        <c:lblOffset val="100"/>
        <c:noMultiLvlLbl val="0"/>
      </c:catAx>
      <c:valAx>
        <c:axId val="58700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cap="all" baseline="0">
                    <a:solidFill>
                      <a:schemeClr val="tx1">
                        <a:lumMod val="65000"/>
                        <a:lumOff val="35000"/>
                      </a:schemeClr>
                    </a:solidFill>
                    <a:latin typeface="+mn-lt"/>
                    <a:ea typeface="+mn-ea"/>
                    <a:cs typeface="+mn-cs"/>
                  </a:defRPr>
                </a:pPr>
                <a:r>
                  <a:rPr lang="en-ZA" sz="800" b="1" cap="none" baseline="0">
                    <a:solidFill>
                      <a:sysClr val="windowText" lastClr="000000"/>
                    </a:solidFill>
                    <a:latin typeface="Arial" panose="020B0604020202020204" pitchFamily="34" charset="0"/>
                    <a:cs typeface="Arial" panose="020B0604020202020204" pitchFamily="34" charset="0"/>
                  </a:rPr>
                  <a:t>Rand (thousands)</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81099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ZA"/>
              <a:t>Budget Allocation</a:t>
            </a:r>
          </a:p>
        </c:rich>
      </c:tx>
      <c:layout>
        <c:manualLayout>
          <c:xMode val="edge"/>
          <c:yMode val="edge"/>
          <c:x val="0.41420149404401374"/>
          <c:y val="3.2581537772894666E-2"/>
        </c:manualLayout>
      </c:layout>
      <c:overlay val="0"/>
      <c:spPr>
        <a:noFill/>
        <a:ln w="25400">
          <a:noFill/>
        </a:ln>
      </c:spPr>
    </c:title>
    <c:autoTitleDeleted val="0"/>
    <c:plotArea>
      <c:layout>
        <c:manualLayout>
          <c:layoutTarget val="inner"/>
          <c:xMode val="edge"/>
          <c:yMode val="edge"/>
          <c:x val="0.12496852574868585"/>
          <c:y val="0.16040127470454579"/>
          <c:w val="0.78402423494723883"/>
          <c:h val="0.68170592914397599"/>
        </c:manualLayout>
      </c:layout>
      <c:barChart>
        <c:barDir val="col"/>
        <c:grouping val="clustered"/>
        <c:varyColors val="0"/>
        <c:ser>
          <c:idx val="0"/>
          <c:order val="0"/>
          <c:tx>
            <c:strRef>
              <c:f>'Data input'!$B$2</c:f>
              <c:strCache>
                <c:ptCount val="1"/>
                <c:pt idx="0">
                  <c:v>2016/17</c:v>
                </c:pt>
              </c:strCache>
            </c:strRef>
          </c:tx>
          <c:spPr>
            <a:solidFill>
              <a:schemeClr val="accent1"/>
            </a:solidFill>
            <a:ln w="12700">
              <a:solidFill>
                <a:srgbClr val="000000"/>
              </a:solidFill>
              <a:prstDash val="solid"/>
            </a:ln>
          </c:spPr>
          <c:invertIfNegative val="0"/>
          <c:val>
            <c:numRef>
              <c:f>'Data input'!$B$3:$B$6</c:f>
              <c:numCache>
                <c:formatCode>###\ ###\ ##0.0</c:formatCode>
                <c:ptCount val="4"/>
                <c:pt idx="0">
                  <c:v>264.89999999999998</c:v>
                </c:pt>
                <c:pt idx="1">
                  <c:v>321.5</c:v>
                </c:pt>
                <c:pt idx="2">
                  <c:v>1068.3</c:v>
                </c:pt>
                <c:pt idx="3">
                  <c:v>2407.9</c:v>
                </c:pt>
              </c:numCache>
            </c:numRef>
          </c:val>
          <c:extLst xmlns:c16r2="http://schemas.microsoft.com/office/drawing/2015/06/chart">
            <c:ext xmlns:c16="http://schemas.microsoft.com/office/drawing/2014/chart" uri="{C3380CC4-5D6E-409C-BE32-E72D297353CC}">
              <c16:uniqueId val="{00000000-7849-4848-9365-7D7BAC234D73}"/>
            </c:ext>
          </c:extLst>
        </c:ser>
        <c:ser>
          <c:idx val="1"/>
          <c:order val="1"/>
          <c:tx>
            <c:strRef>
              <c:f>'Data input'!$C$2</c:f>
              <c:strCache>
                <c:ptCount val="1"/>
                <c:pt idx="0">
                  <c:v>2017/18</c:v>
                </c:pt>
              </c:strCache>
            </c:strRef>
          </c:tx>
          <c:spPr>
            <a:solidFill>
              <a:srgbClr val="002060"/>
            </a:solidFill>
            <a:ln w="12700">
              <a:solidFill>
                <a:srgbClr val="000000"/>
              </a:solidFill>
              <a:prstDash val="solid"/>
            </a:ln>
          </c:spPr>
          <c:invertIfNegative val="0"/>
          <c:val>
            <c:numRef>
              <c:f>'Data input'!$C$3:$C$6</c:f>
              <c:numCache>
                <c:formatCode>###\ ###\ ##0.0</c:formatCode>
                <c:ptCount val="4"/>
                <c:pt idx="0">
                  <c:v>266.5</c:v>
                </c:pt>
                <c:pt idx="1">
                  <c:v>386</c:v>
                </c:pt>
                <c:pt idx="2">
                  <c:v>1154.3</c:v>
                </c:pt>
                <c:pt idx="3">
                  <c:v>2643.1</c:v>
                </c:pt>
              </c:numCache>
            </c:numRef>
          </c:val>
          <c:extLst xmlns:c16r2="http://schemas.microsoft.com/office/drawing/2015/06/chart">
            <c:ext xmlns:c16="http://schemas.microsoft.com/office/drawing/2014/chart" uri="{C3380CC4-5D6E-409C-BE32-E72D297353CC}">
              <c16:uniqueId val="{00000001-7849-4848-9365-7D7BAC234D73}"/>
            </c:ext>
          </c:extLst>
        </c:ser>
        <c:dLbls>
          <c:showLegendKey val="0"/>
          <c:showVal val="0"/>
          <c:showCatName val="0"/>
          <c:showSerName val="0"/>
          <c:showPercent val="0"/>
          <c:showBubbleSize val="0"/>
        </c:dLbls>
        <c:gapWidth val="150"/>
        <c:axId val="67291392"/>
        <c:axId val="67733760"/>
      </c:barChart>
      <c:catAx>
        <c:axId val="6729139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ZA"/>
                  <a:t>Programmes</a:t>
                </a:r>
              </a:p>
            </c:rich>
          </c:tx>
          <c:layout>
            <c:manualLayout>
              <c:xMode val="edge"/>
              <c:yMode val="edge"/>
              <c:x val="0.43639084315643978"/>
              <c:y val="0.9097766485584649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7733760"/>
        <c:crosses val="autoZero"/>
        <c:auto val="1"/>
        <c:lblAlgn val="ctr"/>
        <c:lblOffset val="100"/>
        <c:tickLblSkip val="1"/>
        <c:tickMarkSkip val="1"/>
        <c:noMultiLvlLbl val="0"/>
      </c:catAx>
      <c:valAx>
        <c:axId val="67733760"/>
        <c:scaling>
          <c:orientation val="minMax"/>
        </c:scaling>
        <c:delete val="0"/>
        <c:axPos val="l"/>
        <c:title>
          <c:tx>
            <c:rich>
              <a:bodyPr/>
              <a:lstStyle/>
              <a:p>
                <a:pPr>
                  <a:defRPr sz="800" b="1" i="0" u="none" strike="noStrike" baseline="0">
                    <a:solidFill>
                      <a:srgbClr val="000000"/>
                    </a:solidFill>
                    <a:latin typeface="Arial"/>
                    <a:ea typeface="Arial"/>
                    <a:cs typeface="Arial"/>
                  </a:defRPr>
                </a:pPr>
                <a:r>
                  <a:rPr lang="en-ZA"/>
                  <a:t>'000 000</a:t>
                </a:r>
              </a:p>
            </c:rich>
          </c:tx>
          <c:layout>
            <c:manualLayout>
              <c:xMode val="edge"/>
              <c:yMode val="edge"/>
              <c:x val="1.7020437542260129E-2"/>
              <c:y val="0.48353744801863469"/>
            </c:manualLayout>
          </c:layout>
          <c:overlay val="0"/>
          <c:spPr>
            <a:noFill/>
            <a:ln w="25400">
              <a:noFill/>
            </a:ln>
          </c:spPr>
        </c:title>
        <c:numFmt formatCode="###\ ###\ ##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7291392"/>
        <c:crosses val="autoZero"/>
        <c:crossBetween val="between"/>
      </c:valAx>
      <c:spPr>
        <a:noFill/>
        <a:ln w="25400">
          <a:noFill/>
        </a:ln>
      </c:spPr>
    </c:plotArea>
    <c:legend>
      <c:legendPos val="r"/>
      <c:layout>
        <c:manualLayout>
          <c:xMode val="edge"/>
          <c:yMode val="edge"/>
          <c:x val="0.90062075820404097"/>
          <c:y val="0.46319355429408532"/>
          <c:w val="8.639332805292832E-2"/>
          <c:h val="9.4964292254165861E-2"/>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D4414-3817-4AB8-B7DA-F928924C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6461</Words>
  <Characters>36831</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43206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Asanda</cp:lastModifiedBy>
  <cp:revision>2</cp:revision>
  <cp:lastPrinted>2013-04-23T16:47:00Z</cp:lastPrinted>
  <dcterms:created xsi:type="dcterms:W3CDTF">2017-05-23T11:22:00Z</dcterms:created>
  <dcterms:modified xsi:type="dcterms:W3CDTF">2017-05-23T11:22:00Z</dcterms:modified>
</cp:coreProperties>
</file>