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66" w:rsidRPr="00B40308" w:rsidRDefault="00B40308" w:rsidP="00B40308">
      <w:pPr>
        <w:spacing w:before="120" w:after="120" w:line="240" w:lineRule="auto"/>
        <w:ind w:hanging="540"/>
        <w:jc w:val="both"/>
        <w:rPr>
          <w:rFonts w:ascii="Times New Roman" w:eastAsia="Calibri" w:hAnsi="Times New Roman" w:cs="Times New Roman"/>
          <w:b/>
          <w:sz w:val="24"/>
          <w:szCs w:val="24"/>
        </w:rPr>
      </w:pPr>
      <w:bookmarkStart w:id="0" w:name="_GoBack"/>
      <w:bookmarkEnd w:id="0"/>
      <w:r w:rsidRPr="00B40308">
        <w:rPr>
          <w:rFonts w:ascii="Times New Roman" w:eastAsia="Calibri" w:hAnsi="Times New Roman" w:cs="Times New Roman"/>
          <w:b/>
          <w:sz w:val="24"/>
          <w:szCs w:val="24"/>
        </w:rPr>
        <w:t>2.</w:t>
      </w:r>
      <w:r w:rsidRPr="00B40308">
        <w:rPr>
          <w:rFonts w:ascii="Times New Roman" w:eastAsia="Calibri" w:hAnsi="Times New Roman" w:cs="Times New Roman"/>
          <w:b/>
          <w:sz w:val="24"/>
          <w:szCs w:val="24"/>
        </w:rPr>
        <w:tab/>
      </w:r>
      <w:r w:rsidR="00821866" w:rsidRPr="00B40308">
        <w:rPr>
          <w:rFonts w:ascii="Times New Roman" w:eastAsia="Calibri" w:hAnsi="Times New Roman" w:cs="Times New Roman"/>
          <w:b/>
          <w:sz w:val="28"/>
          <w:szCs w:val="28"/>
        </w:rPr>
        <w:t>R</w:t>
      </w:r>
      <w:r>
        <w:rPr>
          <w:rFonts w:ascii="Times New Roman" w:eastAsia="Calibri" w:hAnsi="Times New Roman" w:cs="Times New Roman"/>
          <w:b/>
          <w:sz w:val="28"/>
          <w:szCs w:val="28"/>
        </w:rPr>
        <w:t xml:space="preserve">eport of the Joint Standing Committee on Financial Management of Parliament on the 2016/17 Mid-Year Report of Parliament of the Republic of South Africa, </w:t>
      </w:r>
      <w:r w:rsidR="00CB1400" w:rsidRPr="00B40308">
        <w:rPr>
          <w:rFonts w:ascii="Times New Roman" w:eastAsia="Calibri" w:hAnsi="Times New Roman" w:cs="Times New Roman"/>
          <w:b/>
          <w:sz w:val="28"/>
          <w:szCs w:val="28"/>
        </w:rPr>
        <w:t xml:space="preserve"> DATED </w:t>
      </w:r>
      <w:r w:rsidR="00491FA7" w:rsidRPr="00B40308">
        <w:rPr>
          <w:rFonts w:ascii="Times New Roman" w:eastAsia="Calibri" w:hAnsi="Times New Roman" w:cs="Times New Roman"/>
          <w:b/>
          <w:sz w:val="28"/>
          <w:szCs w:val="28"/>
        </w:rPr>
        <w:t>16 MARCH 2017</w:t>
      </w:r>
    </w:p>
    <w:p w:rsidR="00DF28D9" w:rsidRPr="00B40308" w:rsidRDefault="00DF28D9" w:rsidP="00B40308">
      <w:pPr>
        <w:autoSpaceDE w:val="0"/>
        <w:autoSpaceDN w:val="0"/>
        <w:adjustRightInd w:val="0"/>
        <w:spacing w:before="120" w:after="120" w:line="240" w:lineRule="auto"/>
        <w:jc w:val="both"/>
        <w:rPr>
          <w:rFonts w:ascii="Times New Roman" w:eastAsia="Calibri" w:hAnsi="Times New Roman" w:cs="Times New Roman"/>
          <w:sz w:val="24"/>
          <w:szCs w:val="24"/>
        </w:rPr>
      </w:pPr>
    </w:p>
    <w:p w:rsidR="00821866" w:rsidRPr="00B40308" w:rsidRDefault="00821866" w:rsidP="00B40308">
      <w:pPr>
        <w:autoSpaceDE w:val="0"/>
        <w:autoSpaceDN w:val="0"/>
        <w:adjustRightInd w:val="0"/>
        <w:spacing w:before="120" w:after="120" w:line="240" w:lineRule="auto"/>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The Joint Standing Committee on the Financial Management of Parliament, having considered the Parliament of the Republic of South Africa’s 2016/17 mid-year report</w:t>
      </w:r>
      <w:r w:rsidR="00DF28D9" w:rsidRPr="00B40308">
        <w:rPr>
          <w:rFonts w:ascii="Times New Roman" w:eastAsia="Calibri" w:hAnsi="Times New Roman" w:cs="Times New Roman"/>
          <w:sz w:val="24"/>
          <w:szCs w:val="24"/>
        </w:rPr>
        <w:t>, reports as follows:</w:t>
      </w:r>
    </w:p>
    <w:p w:rsidR="00B40308" w:rsidRPr="00B40308" w:rsidRDefault="00B40308" w:rsidP="00B40308">
      <w:pPr>
        <w:autoSpaceDE w:val="0"/>
        <w:autoSpaceDN w:val="0"/>
        <w:adjustRightInd w:val="0"/>
        <w:spacing w:before="120" w:after="120" w:line="240" w:lineRule="auto"/>
        <w:jc w:val="both"/>
        <w:rPr>
          <w:rFonts w:ascii="Times New Roman" w:eastAsia="Calibri" w:hAnsi="Times New Roman" w:cs="Times New Roman"/>
          <w:sz w:val="24"/>
          <w:szCs w:val="24"/>
        </w:rPr>
      </w:pPr>
    </w:p>
    <w:p w:rsidR="00821866" w:rsidRPr="00B40308" w:rsidRDefault="00821866" w:rsidP="00B40308">
      <w:pPr>
        <w:spacing w:before="120" w:after="120" w:line="240" w:lineRule="auto"/>
        <w:contextualSpacing/>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1.</w:t>
      </w:r>
      <w:r w:rsidRPr="00B40308">
        <w:rPr>
          <w:rFonts w:ascii="Times New Roman" w:eastAsia="Calibri" w:hAnsi="Times New Roman" w:cs="Times New Roman"/>
          <w:b/>
          <w:sz w:val="24"/>
          <w:szCs w:val="24"/>
        </w:rPr>
        <w:tab/>
        <w:t>INTRODUCTION</w:t>
      </w:r>
    </w:p>
    <w:p w:rsidR="00821866" w:rsidRPr="00B40308" w:rsidRDefault="00821866"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1.1</w:t>
      </w:r>
      <w:r w:rsidRPr="00B40308">
        <w:rPr>
          <w:rFonts w:ascii="Times New Roman" w:eastAsia="Calibri" w:hAnsi="Times New Roman" w:cs="Times New Roman"/>
          <w:sz w:val="24"/>
          <w:szCs w:val="24"/>
        </w:rPr>
        <w:tab/>
        <w:t xml:space="preserve">Section 4 of the Financial Management of Parliament and Provincial Legislatures Act (No 10 of 2009) </w:t>
      </w:r>
      <w:r w:rsidR="00793DCA" w:rsidRPr="00B40308">
        <w:rPr>
          <w:rFonts w:ascii="Times New Roman" w:eastAsia="Calibri" w:hAnsi="Times New Roman" w:cs="Times New Roman"/>
          <w:sz w:val="24"/>
          <w:szCs w:val="24"/>
        </w:rPr>
        <w:t xml:space="preserve">(FMPPLA) </w:t>
      </w:r>
      <w:r w:rsidRPr="00B40308">
        <w:rPr>
          <w:rFonts w:ascii="Times New Roman" w:eastAsia="Calibri" w:hAnsi="Times New Roman" w:cs="Times New Roman"/>
          <w:sz w:val="24"/>
          <w:szCs w:val="24"/>
        </w:rPr>
        <w:t xml:space="preserve">provides for the establishment of an oversight mechanism to maintain oversight of the financial management of Parliament. The Joint Standing Committee on the Financial Management of Parliament (the Committee) was established in terms of the Joint Rules of Parliament. The Committee has the powers afforded to parliamentary committees under sections 56 and 69 of the Constitution. </w:t>
      </w:r>
    </w:p>
    <w:p w:rsidR="00821866" w:rsidRPr="00B40308" w:rsidRDefault="00821866"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1.2</w:t>
      </w:r>
      <w:r w:rsidRPr="00B40308">
        <w:rPr>
          <w:rFonts w:ascii="Times New Roman" w:eastAsia="Calibri" w:hAnsi="Times New Roman" w:cs="Times New Roman"/>
          <w:sz w:val="24"/>
          <w:szCs w:val="24"/>
        </w:rPr>
        <w:tab/>
        <w:t>Parliament’s 2016/17 Mid-year Report was tabled and referred to the Committee on 8 November 2016 for consideration in terms of section 54(2) of the Act. The Secretary to Parliament—the accounting officer—and his senior management team appeared before the Committee in a meeting held on 23 November 2016 where the institution’s performance for the period under review was interrogated.</w:t>
      </w:r>
    </w:p>
    <w:p w:rsidR="00821866" w:rsidRPr="00B40308" w:rsidRDefault="00821866"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1.3</w:t>
      </w:r>
      <w:r w:rsidRPr="00B40308">
        <w:rPr>
          <w:rFonts w:ascii="Times New Roman" w:eastAsia="Calibri" w:hAnsi="Times New Roman" w:cs="Times New Roman"/>
          <w:sz w:val="24"/>
          <w:szCs w:val="24"/>
        </w:rPr>
        <w:tab/>
        <w:t>This report should be read along with Parliament’s 2014-2019 Strategic Plan, the 2016/17 Annual Performance Plan and budget, as well as the 2015/16 Annual Report.</w:t>
      </w:r>
    </w:p>
    <w:p w:rsidR="00821866" w:rsidRPr="00B40308" w:rsidRDefault="00821866"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1.4</w:t>
      </w:r>
      <w:r w:rsidRPr="00B40308">
        <w:rPr>
          <w:rFonts w:ascii="Times New Roman" w:eastAsia="Calibri" w:hAnsi="Times New Roman" w:cs="Times New Roman"/>
          <w:sz w:val="24"/>
          <w:szCs w:val="24"/>
        </w:rPr>
        <w:tab/>
        <w:t>This report comprises t</w:t>
      </w:r>
      <w:r w:rsidR="004420D5" w:rsidRPr="00B40308">
        <w:rPr>
          <w:rFonts w:ascii="Times New Roman" w:eastAsia="Calibri" w:hAnsi="Times New Roman" w:cs="Times New Roman"/>
          <w:sz w:val="24"/>
          <w:szCs w:val="24"/>
        </w:rPr>
        <w:t>wo</w:t>
      </w:r>
      <w:r w:rsidRPr="00B40308">
        <w:rPr>
          <w:rFonts w:ascii="Times New Roman" w:eastAsia="Calibri" w:hAnsi="Times New Roman" w:cs="Times New Roman"/>
          <w:sz w:val="24"/>
          <w:szCs w:val="24"/>
        </w:rPr>
        <w:t xml:space="preserve"> parts: Part A containing a summary of the institution’s financial and </w:t>
      </w:r>
      <w:r w:rsidR="00DB03E3" w:rsidRPr="00B40308">
        <w:rPr>
          <w:rFonts w:ascii="Times New Roman" w:eastAsia="Calibri" w:hAnsi="Times New Roman" w:cs="Times New Roman"/>
          <w:sz w:val="24"/>
          <w:szCs w:val="24"/>
        </w:rPr>
        <w:t xml:space="preserve">non-financial </w:t>
      </w:r>
      <w:r w:rsidRPr="00B40308">
        <w:rPr>
          <w:rFonts w:ascii="Times New Roman" w:eastAsia="Calibri" w:hAnsi="Times New Roman" w:cs="Times New Roman"/>
          <w:sz w:val="24"/>
          <w:szCs w:val="24"/>
        </w:rPr>
        <w:t>performance information for the period under review;</w:t>
      </w:r>
      <w:r w:rsidR="00042184" w:rsidRPr="00B40308">
        <w:rPr>
          <w:rFonts w:ascii="Times New Roman" w:eastAsia="Calibri" w:hAnsi="Times New Roman" w:cs="Times New Roman"/>
          <w:sz w:val="24"/>
          <w:szCs w:val="24"/>
        </w:rPr>
        <w:t xml:space="preserve"> and </w:t>
      </w:r>
      <w:r w:rsidRPr="00B40308">
        <w:rPr>
          <w:rFonts w:ascii="Times New Roman" w:eastAsia="Calibri" w:hAnsi="Times New Roman" w:cs="Times New Roman"/>
          <w:sz w:val="24"/>
          <w:szCs w:val="24"/>
        </w:rPr>
        <w:t xml:space="preserve"> Part B containing the Committee’s observations</w:t>
      </w:r>
      <w:r w:rsidR="0098417B" w:rsidRPr="00B40308">
        <w:rPr>
          <w:rFonts w:ascii="Times New Roman" w:eastAsia="Calibri" w:hAnsi="Times New Roman" w:cs="Times New Roman"/>
          <w:sz w:val="24"/>
          <w:szCs w:val="24"/>
        </w:rPr>
        <w:t xml:space="preserve"> and </w:t>
      </w:r>
      <w:r w:rsidRPr="00B40308">
        <w:rPr>
          <w:rFonts w:ascii="Times New Roman" w:eastAsia="Calibri" w:hAnsi="Times New Roman" w:cs="Times New Roman"/>
          <w:sz w:val="24"/>
          <w:szCs w:val="24"/>
        </w:rPr>
        <w:t>recommendations.</w:t>
      </w:r>
    </w:p>
    <w:p w:rsidR="00CB1400" w:rsidRPr="00B40308" w:rsidRDefault="00CB1400" w:rsidP="00B40308">
      <w:pPr>
        <w:spacing w:before="120" w:after="120" w:line="240" w:lineRule="auto"/>
        <w:jc w:val="both"/>
        <w:rPr>
          <w:rFonts w:ascii="Times New Roman" w:eastAsia="Calibri" w:hAnsi="Times New Roman" w:cs="Times New Roman"/>
          <w:b/>
          <w:sz w:val="24"/>
          <w:szCs w:val="24"/>
        </w:rPr>
      </w:pPr>
    </w:p>
    <w:p w:rsidR="00821866" w:rsidRPr="00B40308" w:rsidRDefault="00821866" w:rsidP="00B40308">
      <w:pPr>
        <w:autoSpaceDE w:val="0"/>
        <w:autoSpaceDN w:val="0"/>
        <w:adjustRightInd w:val="0"/>
        <w:spacing w:before="120" w:after="120" w:line="240" w:lineRule="auto"/>
        <w:ind w:left="1440" w:hanging="1440"/>
        <w:jc w:val="both"/>
        <w:rPr>
          <w:rFonts w:ascii="Times New Roman" w:eastAsia="Calibri" w:hAnsi="Times New Roman" w:cs="Times New Roman"/>
          <w:b/>
          <w:bCs/>
          <w:sz w:val="24"/>
          <w:szCs w:val="24"/>
        </w:rPr>
      </w:pPr>
      <w:r w:rsidRPr="00B40308">
        <w:rPr>
          <w:rFonts w:ascii="Times New Roman" w:eastAsia="Calibri" w:hAnsi="Times New Roman" w:cs="Times New Roman"/>
          <w:b/>
          <w:bCs/>
          <w:sz w:val="24"/>
          <w:szCs w:val="24"/>
        </w:rPr>
        <w:t>PART A:</w:t>
      </w:r>
      <w:r w:rsidRPr="00B40308">
        <w:rPr>
          <w:rFonts w:ascii="Times New Roman" w:eastAsia="Calibri" w:hAnsi="Times New Roman" w:cs="Times New Roman"/>
          <w:b/>
          <w:bCs/>
          <w:sz w:val="24"/>
          <w:szCs w:val="24"/>
        </w:rPr>
        <w:tab/>
        <w:t>PERFORMANCE AT THE END OF THE SECOND QUARTER OF THE 2016/17 FINANCIAL YEAR</w:t>
      </w:r>
    </w:p>
    <w:p w:rsidR="00821866" w:rsidRPr="00B40308" w:rsidRDefault="00821866" w:rsidP="00B40308">
      <w:pPr>
        <w:spacing w:before="120" w:after="120" w:line="240" w:lineRule="auto"/>
        <w:jc w:val="both"/>
        <w:rPr>
          <w:rFonts w:ascii="Times New Roman" w:eastAsia="Calibri" w:hAnsi="Times New Roman" w:cs="Times New Roman"/>
          <w:b/>
          <w:sz w:val="24"/>
          <w:szCs w:val="24"/>
        </w:rPr>
      </w:pPr>
    </w:p>
    <w:p w:rsidR="00821866" w:rsidRPr="00B40308" w:rsidRDefault="00821866"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2.</w:t>
      </w:r>
      <w:r w:rsidRPr="00B40308">
        <w:rPr>
          <w:rFonts w:ascii="Times New Roman" w:eastAsia="Calibri" w:hAnsi="Times New Roman" w:cs="Times New Roman"/>
          <w:b/>
          <w:sz w:val="24"/>
          <w:szCs w:val="24"/>
        </w:rPr>
        <w:tab/>
        <w:t>Mandate</w:t>
      </w:r>
    </w:p>
    <w:p w:rsidR="00821866" w:rsidRPr="00B40308" w:rsidRDefault="00821866" w:rsidP="00B40308">
      <w:pPr>
        <w:spacing w:before="120" w:after="120" w:line="240" w:lineRule="auto"/>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2.1</w:t>
      </w:r>
      <w:r w:rsidRPr="00B40308">
        <w:rPr>
          <w:rFonts w:ascii="Times New Roman" w:eastAsia="Calibri" w:hAnsi="Times New Roman" w:cs="Times New Roman"/>
          <w:sz w:val="24"/>
          <w:szCs w:val="24"/>
        </w:rPr>
        <w:tab/>
        <w:t>Parliament derives its mandate from:</w:t>
      </w:r>
    </w:p>
    <w:p w:rsidR="00821866" w:rsidRPr="00B40308" w:rsidRDefault="00821866" w:rsidP="00B40308">
      <w:pPr>
        <w:spacing w:before="120" w:after="120" w:line="240" w:lineRule="auto"/>
        <w:ind w:left="144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r>
      <w:r w:rsidR="00C01969" w:rsidRPr="00B40308">
        <w:rPr>
          <w:rFonts w:ascii="Times New Roman" w:eastAsia="Calibri" w:hAnsi="Times New Roman" w:cs="Times New Roman"/>
          <w:sz w:val="24"/>
          <w:szCs w:val="24"/>
        </w:rPr>
        <w:t>C</w:t>
      </w:r>
      <w:r w:rsidRPr="00B40308">
        <w:rPr>
          <w:rFonts w:ascii="Times New Roman" w:eastAsia="Calibri" w:hAnsi="Times New Roman" w:cs="Times New Roman"/>
          <w:sz w:val="24"/>
          <w:szCs w:val="24"/>
        </w:rPr>
        <w:t>hapter 4 of the Constitution of the Republic of South Africa, 1996 (Act No 108 of 1996), which sets out its composition, powers and functions;</w:t>
      </w:r>
    </w:p>
    <w:p w:rsidR="00821866" w:rsidRPr="00B40308" w:rsidRDefault="00821866" w:rsidP="00B40308">
      <w:pPr>
        <w:spacing w:before="120" w:after="120" w:line="240" w:lineRule="auto"/>
        <w:ind w:left="144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the Financial Management of Parliament and Provincial Legislatures Act, 2009 (Act No 10 of 2009) which regulates the institution’s financial management;</w:t>
      </w:r>
    </w:p>
    <w:p w:rsidR="00821866" w:rsidRPr="00B40308" w:rsidRDefault="00821866" w:rsidP="00B40308">
      <w:pPr>
        <w:spacing w:before="120" w:after="120" w:line="240" w:lineRule="auto"/>
        <w:ind w:left="144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 xml:space="preserve">the Money Bills Amendment Procedure and Related Matters Act, 2009 (Act No 9 of 2009) which provides procedures to amend money bills; and </w:t>
      </w:r>
    </w:p>
    <w:p w:rsidR="00821866" w:rsidRPr="00B40308" w:rsidRDefault="00821866" w:rsidP="00B40308">
      <w:pPr>
        <w:spacing w:before="120" w:after="120" w:line="240" w:lineRule="auto"/>
        <w:ind w:left="144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the Powers, Privileges and Immunities of Parliament and Provincial Legislatures Act of 2004 (Act No 4 of 2004) which defines and declares the national and provincial legislatures’ powers, privileges and immunities.</w:t>
      </w:r>
    </w:p>
    <w:p w:rsidR="00B40308" w:rsidRPr="00B40308" w:rsidRDefault="00B40308" w:rsidP="00B40308">
      <w:pPr>
        <w:spacing w:before="120" w:after="120" w:line="240" w:lineRule="auto"/>
        <w:ind w:left="1440" w:hanging="720"/>
        <w:jc w:val="both"/>
        <w:rPr>
          <w:rFonts w:ascii="Times New Roman" w:eastAsia="Calibri" w:hAnsi="Times New Roman" w:cs="Times New Roman"/>
          <w:sz w:val="24"/>
          <w:szCs w:val="24"/>
        </w:rPr>
      </w:pPr>
    </w:p>
    <w:p w:rsidR="00B40308" w:rsidRDefault="00B4030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21866" w:rsidRPr="00B40308" w:rsidRDefault="00821866"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lastRenderedPageBreak/>
        <w:t>2.2</w:t>
      </w:r>
      <w:r w:rsidRPr="00B40308">
        <w:rPr>
          <w:rFonts w:ascii="Times New Roman" w:eastAsia="Calibri" w:hAnsi="Times New Roman" w:cs="Times New Roman"/>
          <w:b/>
          <w:sz w:val="24"/>
          <w:szCs w:val="24"/>
        </w:rPr>
        <w:tab/>
        <w:t>Mission and vision</w:t>
      </w:r>
    </w:p>
    <w:p w:rsidR="00821866" w:rsidRPr="00B40308" w:rsidRDefault="00821866"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2.2.1</w:t>
      </w:r>
      <w:r w:rsidRPr="00B40308">
        <w:rPr>
          <w:rFonts w:ascii="Times New Roman" w:eastAsia="Calibri" w:hAnsi="Times New Roman" w:cs="Times New Roman"/>
          <w:sz w:val="24"/>
          <w:szCs w:val="24"/>
        </w:rPr>
        <w:tab/>
        <w:t xml:space="preserve">The institution identified six values </w:t>
      </w:r>
      <w:r w:rsidR="004573B0" w:rsidRPr="00B40308">
        <w:rPr>
          <w:rFonts w:ascii="Times New Roman" w:eastAsia="Calibri" w:hAnsi="Times New Roman" w:cs="Times New Roman"/>
          <w:sz w:val="24"/>
          <w:szCs w:val="24"/>
        </w:rPr>
        <w:t>which serve to guide it on how it c</w:t>
      </w:r>
      <w:r w:rsidRPr="00B40308">
        <w:rPr>
          <w:rFonts w:ascii="Times New Roman" w:eastAsia="Calibri" w:hAnsi="Times New Roman" w:cs="Times New Roman"/>
          <w:sz w:val="24"/>
          <w:szCs w:val="24"/>
        </w:rPr>
        <w:t>onducts its business: openness; responsiveness; accountability; teamwork; professionalism; and integrity.</w:t>
      </w:r>
    </w:p>
    <w:p w:rsidR="00821866" w:rsidRPr="00B40308" w:rsidRDefault="00821866"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2.2.2</w:t>
      </w:r>
      <w:r w:rsidRPr="00B40308">
        <w:rPr>
          <w:rFonts w:ascii="Times New Roman" w:eastAsia="Calibri" w:hAnsi="Times New Roman" w:cs="Times New Roman"/>
          <w:sz w:val="24"/>
          <w:szCs w:val="24"/>
        </w:rPr>
        <w:tab/>
        <w:t>In pursuit of its vision to be “activist and responsive” so as to improve the quality of life in South Africa and to ensure enduring equality, the institution has, as its mission, to provide, amongst others, “an innovative, transformative, effective and efficient parliamentary service and administration that enables Members of Parliament to fulfil their constitutional responsibilities”.</w:t>
      </w:r>
    </w:p>
    <w:p w:rsidR="00821866" w:rsidRPr="00B40308" w:rsidRDefault="00821866" w:rsidP="00B40308">
      <w:pPr>
        <w:spacing w:before="120" w:after="120" w:line="240" w:lineRule="auto"/>
        <w:jc w:val="both"/>
        <w:rPr>
          <w:rFonts w:ascii="Times New Roman" w:eastAsia="Calibri" w:hAnsi="Times New Roman" w:cs="Times New Roman"/>
          <w:sz w:val="24"/>
          <w:szCs w:val="24"/>
        </w:rPr>
      </w:pPr>
    </w:p>
    <w:p w:rsidR="00821866" w:rsidRPr="00B40308" w:rsidRDefault="00821866"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2.3</w:t>
      </w:r>
      <w:r w:rsidRPr="00B40308">
        <w:rPr>
          <w:rFonts w:ascii="Times New Roman" w:eastAsia="Calibri" w:hAnsi="Times New Roman" w:cs="Times New Roman"/>
          <w:b/>
          <w:sz w:val="24"/>
          <w:szCs w:val="24"/>
        </w:rPr>
        <w:tab/>
        <w:t>Strategic Priorities 2014-2019/Strategic Goals in the year under review</w:t>
      </w:r>
    </w:p>
    <w:p w:rsidR="00821866" w:rsidRPr="00B40308" w:rsidRDefault="00821866" w:rsidP="00B40308">
      <w:pPr>
        <w:spacing w:before="120" w:after="120" w:line="240" w:lineRule="auto"/>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2.3.1</w:t>
      </w:r>
      <w:r w:rsidRPr="00B40308">
        <w:rPr>
          <w:rFonts w:ascii="Times New Roman" w:eastAsia="Calibri" w:hAnsi="Times New Roman" w:cs="Times New Roman"/>
          <w:sz w:val="24"/>
          <w:szCs w:val="24"/>
        </w:rPr>
        <w:tab/>
        <w:t>The institution’s five strategic priorities are:</w:t>
      </w:r>
    </w:p>
    <w:p w:rsidR="00821866" w:rsidRPr="00B40308" w:rsidRDefault="00821866" w:rsidP="00B40308">
      <w:pPr>
        <w:spacing w:before="120" w:after="120" w:line="240" w:lineRule="auto"/>
        <w:ind w:firstLine="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 xml:space="preserve">strengthening oversight and accountability; </w:t>
      </w:r>
    </w:p>
    <w:p w:rsidR="00821866" w:rsidRPr="00B40308" w:rsidRDefault="00821866" w:rsidP="00B40308">
      <w:pPr>
        <w:spacing w:before="120" w:after="120" w:line="240" w:lineRule="auto"/>
        <w:ind w:firstLine="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enhancing public involvement;</w:t>
      </w:r>
    </w:p>
    <w:p w:rsidR="00821866" w:rsidRPr="00B40308" w:rsidRDefault="00821866" w:rsidP="00B40308">
      <w:pPr>
        <w:spacing w:before="120" w:after="120" w:line="240" w:lineRule="auto"/>
        <w:ind w:firstLine="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deepening engagement in international fora;</w:t>
      </w:r>
    </w:p>
    <w:p w:rsidR="00821866" w:rsidRPr="00B40308" w:rsidRDefault="00821866" w:rsidP="00B40308">
      <w:pPr>
        <w:spacing w:before="120" w:after="120" w:line="240" w:lineRule="auto"/>
        <w:ind w:firstLine="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 xml:space="preserve">strengthening co-operative governance; and </w:t>
      </w:r>
    </w:p>
    <w:p w:rsidR="00821866" w:rsidRPr="00B40308" w:rsidRDefault="00821866" w:rsidP="00B40308">
      <w:pPr>
        <w:spacing w:before="120" w:after="120" w:line="240" w:lineRule="auto"/>
        <w:ind w:firstLine="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strengthening its legislative capacity.</w:t>
      </w:r>
    </w:p>
    <w:p w:rsidR="00821866" w:rsidRPr="00B40308" w:rsidRDefault="00821866" w:rsidP="00B40308">
      <w:pPr>
        <w:spacing w:before="120" w:after="120" w:line="240" w:lineRule="auto"/>
        <w:ind w:left="720" w:hanging="720"/>
        <w:jc w:val="both"/>
        <w:rPr>
          <w:rFonts w:ascii="Times New Roman" w:eastAsia="Calibri" w:hAnsi="Times New Roman" w:cs="Times New Roman"/>
          <w:sz w:val="24"/>
          <w:szCs w:val="24"/>
        </w:rPr>
      </w:pPr>
    </w:p>
    <w:p w:rsidR="00821866" w:rsidRPr="00B40308" w:rsidRDefault="00821866"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2.3.2</w:t>
      </w:r>
      <w:r w:rsidRPr="00B40308">
        <w:rPr>
          <w:rFonts w:ascii="Times New Roman" w:eastAsia="Calibri" w:hAnsi="Times New Roman" w:cs="Times New Roman"/>
          <w:sz w:val="24"/>
          <w:szCs w:val="24"/>
        </w:rPr>
        <w:tab/>
        <w:t>To achieve the above, the 5</w:t>
      </w:r>
      <w:r w:rsidRPr="00B40308">
        <w:rPr>
          <w:rFonts w:ascii="Times New Roman" w:eastAsia="Calibri" w:hAnsi="Times New Roman" w:cs="Times New Roman"/>
          <w:sz w:val="24"/>
          <w:szCs w:val="24"/>
          <w:vertAlign w:val="superscript"/>
        </w:rPr>
        <w:t>th</w:t>
      </w:r>
      <w:r w:rsidRPr="00B40308">
        <w:rPr>
          <w:rFonts w:ascii="Times New Roman" w:eastAsia="Calibri" w:hAnsi="Times New Roman" w:cs="Times New Roman"/>
          <w:sz w:val="24"/>
          <w:szCs w:val="24"/>
        </w:rPr>
        <w:t xml:space="preserve"> Parliament adopted the following strategic outcome-oriented goals:</w:t>
      </w:r>
    </w:p>
    <w:p w:rsidR="00821866" w:rsidRPr="00B40308" w:rsidRDefault="00821866" w:rsidP="00B40308">
      <w:pPr>
        <w:spacing w:before="120" w:after="120" w:line="240" w:lineRule="auto"/>
        <w:ind w:left="144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to enhance Parliament’s oversight and accountability over the work of the executive to ensure implementation of the objectives of the Medium Term Strategic Framework (MTSF) 2014-2019;</w:t>
      </w:r>
    </w:p>
    <w:p w:rsidR="00821866" w:rsidRPr="00B40308" w:rsidRDefault="00821866" w:rsidP="00B40308">
      <w:pPr>
        <w:spacing w:before="120" w:after="120" w:line="240" w:lineRule="auto"/>
        <w:ind w:left="144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to co-operate and collaborate with other spheres of government on matters of common interest and ensure co-operative and sound intergovernmental relations;</w:t>
      </w:r>
    </w:p>
    <w:p w:rsidR="00821866" w:rsidRPr="00B40308" w:rsidRDefault="00821866" w:rsidP="00B40308">
      <w:pPr>
        <w:spacing w:before="120" w:after="120" w:line="240" w:lineRule="auto"/>
        <w:ind w:left="144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to enhance public involvement in the processes of Parliament to realise participatory democracy through the implementation of the public involvement model by 2019;</w:t>
      </w:r>
    </w:p>
    <w:p w:rsidR="00821866" w:rsidRPr="00B40308" w:rsidRDefault="00821866" w:rsidP="00B40308">
      <w:pPr>
        <w:spacing w:before="120" w:after="120" w:line="240" w:lineRule="auto"/>
        <w:ind w:left="144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to enhance parliamentary international engagement and co-operation;</w:t>
      </w:r>
    </w:p>
    <w:p w:rsidR="00821866" w:rsidRPr="00B40308" w:rsidRDefault="00821866" w:rsidP="00B40308">
      <w:pPr>
        <w:spacing w:before="120" w:after="120" w:line="240" w:lineRule="auto"/>
        <w:ind w:left="144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to enhance the ability of Parliament to exercise its legislative power through consolidation and implementation of integrated legislative processes by 2019 in order to fulfil its constitutional responsibility; and</w:t>
      </w:r>
    </w:p>
    <w:p w:rsidR="00821866" w:rsidRPr="00B40308" w:rsidRDefault="00821866" w:rsidP="00B40308">
      <w:pPr>
        <w:spacing w:before="120" w:after="120" w:line="240" w:lineRule="auto"/>
        <w:ind w:left="144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ab/>
        <w:t>to build a capable and productive parliamentary service that delivers enhanced support to Members of Parliament in order that they may efficiently fulfil their constitutional functions.</w:t>
      </w:r>
    </w:p>
    <w:p w:rsidR="00821866" w:rsidRPr="00B40308" w:rsidRDefault="00821866" w:rsidP="00B40308">
      <w:pPr>
        <w:spacing w:before="120" w:after="120" w:line="240" w:lineRule="auto"/>
        <w:jc w:val="both"/>
        <w:rPr>
          <w:rFonts w:ascii="Times New Roman" w:eastAsia="Calibri" w:hAnsi="Times New Roman" w:cs="Times New Roman"/>
          <w:sz w:val="24"/>
          <w:szCs w:val="24"/>
        </w:rPr>
      </w:pPr>
    </w:p>
    <w:p w:rsidR="00821866" w:rsidRPr="00B40308" w:rsidRDefault="00821866"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3.</w:t>
      </w:r>
      <w:r w:rsidRPr="00B40308">
        <w:rPr>
          <w:rFonts w:ascii="Times New Roman" w:eastAsia="Calibri" w:hAnsi="Times New Roman" w:cs="Times New Roman"/>
          <w:b/>
          <w:sz w:val="24"/>
          <w:szCs w:val="24"/>
        </w:rPr>
        <w:tab/>
        <w:t>F</w:t>
      </w:r>
      <w:r w:rsidR="008D3A40" w:rsidRPr="00B40308">
        <w:rPr>
          <w:rFonts w:ascii="Times New Roman" w:eastAsia="Calibri" w:hAnsi="Times New Roman" w:cs="Times New Roman"/>
          <w:b/>
          <w:sz w:val="24"/>
          <w:szCs w:val="24"/>
        </w:rPr>
        <w:t xml:space="preserve">inancial </w:t>
      </w:r>
      <w:r w:rsidR="004420D5" w:rsidRPr="00B40308">
        <w:rPr>
          <w:rFonts w:ascii="Times New Roman" w:eastAsia="Calibri" w:hAnsi="Times New Roman" w:cs="Times New Roman"/>
          <w:b/>
          <w:sz w:val="24"/>
          <w:szCs w:val="24"/>
        </w:rPr>
        <w:t>p</w:t>
      </w:r>
      <w:r w:rsidR="008D3A40" w:rsidRPr="00B40308">
        <w:rPr>
          <w:rFonts w:ascii="Times New Roman" w:eastAsia="Calibri" w:hAnsi="Times New Roman" w:cs="Times New Roman"/>
          <w:b/>
          <w:sz w:val="24"/>
          <w:szCs w:val="24"/>
        </w:rPr>
        <w:t>erformance in the period</w:t>
      </w:r>
      <w:r w:rsidRPr="00B40308">
        <w:rPr>
          <w:rFonts w:ascii="Times New Roman" w:eastAsia="Calibri" w:hAnsi="Times New Roman" w:cs="Times New Roman"/>
          <w:b/>
          <w:sz w:val="24"/>
          <w:szCs w:val="24"/>
        </w:rPr>
        <w:t xml:space="preserve"> under review</w:t>
      </w:r>
    </w:p>
    <w:p w:rsidR="000D093B" w:rsidRPr="00B40308" w:rsidRDefault="00821866" w:rsidP="00B40308">
      <w:pPr>
        <w:spacing w:before="120" w:after="120" w:line="240" w:lineRule="auto"/>
        <w:ind w:left="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At the end of the period under rev</w:t>
      </w:r>
      <w:r w:rsidR="00CB1400" w:rsidRPr="00B40308">
        <w:rPr>
          <w:rFonts w:ascii="Times New Roman" w:eastAsia="Calibri" w:hAnsi="Times New Roman" w:cs="Times New Roman"/>
          <w:sz w:val="24"/>
          <w:szCs w:val="24"/>
        </w:rPr>
        <w:t>iew, Parliament has</w:t>
      </w:r>
      <w:r w:rsidR="008D3A40" w:rsidRPr="00B40308">
        <w:rPr>
          <w:rFonts w:ascii="Times New Roman" w:eastAsia="Calibri" w:hAnsi="Times New Roman" w:cs="Times New Roman"/>
          <w:sz w:val="24"/>
          <w:szCs w:val="24"/>
        </w:rPr>
        <w:t xml:space="preserve"> spent R</w:t>
      </w:r>
      <w:r w:rsidR="004846DE" w:rsidRPr="00B40308">
        <w:rPr>
          <w:rFonts w:ascii="Times New Roman" w:eastAsia="Calibri" w:hAnsi="Times New Roman" w:cs="Times New Roman"/>
          <w:sz w:val="24"/>
          <w:szCs w:val="24"/>
        </w:rPr>
        <w:t>1.049 billion of t</w:t>
      </w:r>
      <w:r w:rsidR="00E3597F" w:rsidRPr="00B40308">
        <w:rPr>
          <w:rFonts w:ascii="Times New Roman" w:eastAsia="Calibri" w:hAnsi="Times New Roman" w:cs="Times New Roman"/>
          <w:sz w:val="24"/>
          <w:szCs w:val="24"/>
        </w:rPr>
        <w:t>he budgeted R1.191 billion</w:t>
      </w:r>
      <w:r w:rsidR="004846DE" w:rsidRPr="00B40308">
        <w:rPr>
          <w:rFonts w:ascii="Times New Roman" w:eastAsia="Calibri" w:hAnsi="Times New Roman" w:cs="Times New Roman"/>
          <w:sz w:val="24"/>
          <w:szCs w:val="24"/>
        </w:rPr>
        <w:t xml:space="preserve"> resulting in an </w:t>
      </w:r>
      <w:r w:rsidR="008D332F" w:rsidRPr="00B40308">
        <w:rPr>
          <w:rFonts w:ascii="Times New Roman" w:eastAsia="Calibri" w:hAnsi="Times New Roman" w:cs="Times New Roman"/>
          <w:sz w:val="24"/>
          <w:szCs w:val="24"/>
        </w:rPr>
        <w:t>under expenditure of R141.347 million. In terms of the annual budget for 2016/17 of R2.3</w:t>
      </w:r>
      <w:r w:rsidR="00CB1400" w:rsidRPr="00B40308">
        <w:rPr>
          <w:rFonts w:ascii="Times New Roman" w:eastAsia="Calibri" w:hAnsi="Times New Roman" w:cs="Times New Roman"/>
          <w:sz w:val="24"/>
          <w:szCs w:val="24"/>
        </w:rPr>
        <w:t>82 billion, Parliament projects</w:t>
      </w:r>
      <w:r w:rsidR="008D332F" w:rsidRPr="00B40308">
        <w:rPr>
          <w:rFonts w:ascii="Times New Roman" w:eastAsia="Calibri" w:hAnsi="Times New Roman" w:cs="Times New Roman"/>
          <w:sz w:val="24"/>
          <w:szCs w:val="24"/>
        </w:rPr>
        <w:t xml:space="preserve"> to spend </w:t>
      </w:r>
      <w:r w:rsidR="008D332F" w:rsidRPr="00B40308">
        <w:rPr>
          <w:rFonts w:ascii="Times New Roman" w:eastAsia="Calibri" w:hAnsi="Times New Roman" w:cs="Times New Roman"/>
          <w:sz w:val="24"/>
          <w:szCs w:val="24"/>
        </w:rPr>
        <w:lastRenderedPageBreak/>
        <w:t>R2.320 billion or R62.324 million less at the end of the financial year.</w:t>
      </w:r>
      <w:r w:rsidR="004846DE" w:rsidRPr="00B40308">
        <w:rPr>
          <w:rFonts w:ascii="Times New Roman" w:eastAsia="Calibri" w:hAnsi="Times New Roman" w:cs="Times New Roman"/>
          <w:sz w:val="24"/>
          <w:szCs w:val="24"/>
        </w:rPr>
        <w:t xml:space="preserve"> Table 1 below gives an overview of Parliament’s expenditure performance as at 30 September 2016. </w:t>
      </w:r>
    </w:p>
    <w:p w:rsidR="00DF28D9" w:rsidRPr="00B40308" w:rsidRDefault="00DF28D9" w:rsidP="00B40308">
      <w:pPr>
        <w:spacing w:before="120" w:after="120" w:line="240" w:lineRule="auto"/>
        <w:ind w:left="720" w:hanging="1004"/>
        <w:jc w:val="both"/>
        <w:rPr>
          <w:rFonts w:ascii="Times New Roman" w:eastAsia="Calibri" w:hAnsi="Times New Roman" w:cs="Times New Roman"/>
          <w:b/>
          <w:sz w:val="24"/>
          <w:szCs w:val="24"/>
        </w:rPr>
      </w:pPr>
    </w:p>
    <w:p w:rsidR="00CB1400" w:rsidRPr="00B40308" w:rsidRDefault="00CB1400" w:rsidP="00B40308">
      <w:pPr>
        <w:spacing w:before="120" w:after="120" w:line="240" w:lineRule="auto"/>
        <w:ind w:left="720" w:hanging="1004"/>
        <w:jc w:val="both"/>
        <w:rPr>
          <w:rFonts w:ascii="Times New Roman" w:eastAsia="Calibri" w:hAnsi="Times New Roman" w:cs="Times New Roman"/>
          <w:sz w:val="24"/>
          <w:szCs w:val="24"/>
        </w:rPr>
      </w:pPr>
      <w:r w:rsidRPr="00B40308">
        <w:rPr>
          <w:rFonts w:ascii="Times New Roman" w:eastAsia="Calibri" w:hAnsi="Times New Roman" w:cs="Times New Roman"/>
          <w:b/>
          <w:sz w:val="24"/>
          <w:szCs w:val="24"/>
        </w:rPr>
        <w:t>Table 1:</w:t>
      </w:r>
      <w:r w:rsidRPr="00B40308">
        <w:rPr>
          <w:rFonts w:ascii="Times New Roman" w:eastAsia="Calibri" w:hAnsi="Times New Roman" w:cs="Times New Roman"/>
          <w:sz w:val="24"/>
          <w:szCs w:val="24"/>
        </w:rPr>
        <w:t xml:space="preserve"> Expenditure performance as at 30 September 2016</w:t>
      </w:r>
    </w:p>
    <w:tbl>
      <w:tblPr>
        <w:tblStyle w:val="TableGrid"/>
        <w:tblW w:w="0" w:type="auto"/>
        <w:tblInd w:w="-147" w:type="dxa"/>
        <w:tblLayout w:type="fixed"/>
        <w:tblLook w:val="04A0" w:firstRow="1" w:lastRow="0" w:firstColumn="1" w:lastColumn="0" w:noHBand="0" w:noVBand="1"/>
      </w:tblPr>
      <w:tblGrid>
        <w:gridCol w:w="1985"/>
        <w:gridCol w:w="992"/>
        <w:gridCol w:w="1276"/>
        <w:gridCol w:w="851"/>
        <w:gridCol w:w="1134"/>
        <w:gridCol w:w="953"/>
        <w:gridCol w:w="1088"/>
        <w:gridCol w:w="884"/>
      </w:tblGrid>
      <w:tr w:rsidR="008D332F" w:rsidRPr="00B40308" w:rsidTr="000D093B">
        <w:tc>
          <w:tcPr>
            <w:tcW w:w="1985" w:type="dxa"/>
          </w:tcPr>
          <w:p w:rsidR="008D332F" w:rsidRPr="00B40308" w:rsidRDefault="008D332F" w:rsidP="00B40308">
            <w:pPr>
              <w:spacing w:before="120" w:after="120"/>
              <w:jc w:val="center"/>
              <w:rPr>
                <w:rFonts w:ascii="Times New Roman" w:eastAsia="Calibri" w:hAnsi="Times New Roman" w:cs="Times New Roman"/>
                <w:b/>
                <w:sz w:val="24"/>
                <w:szCs w:val="24"/>
              </w:rPr>
            </w:pPr>
          </w:p>
        </w:tc>
        <w:tc>
          <w:tcPr>
            <w:tcW w:w="4253" w:type="dxa"/>
            <w:gridSpan w:val="4"/>
          </w:tcPr>
          <w:p w:rsidR="008D332F" w:rsidRPr="00B40308" w:rsidRDefault="008D332F" w:rsidP="00B40308">
            <w:pPr>
              <w:spacing w:before="120" w:after="120"/>
              <w:jc w:val="center"/>
              <w:rPr>
                <w:rFonts w:ascii="Times New Roman" w:eastAsia="Calibri" w:hAnsi="Times New Roman" w:cs="Times New Roman"/>
                <w:b/>
                <w:sz w:val="24"/>
                <w:szCs w:val="24"/>
              </w:rPr>
            </w:pPr>
            <w:r w:rsidRPr="00B40308">
              <w:rPr>
                <w:rFonts w:ascii="Times New Roman" w:eastAsia="Calibri" w:hAnsi="Times New Roman" w:cs="Times New Roman"/>
                <w:b/>
                <w:sz w:val="24"/>
                <w:szCs w:val="24"/>
              </w:rPr>
              <w:t>April to September 2016</w:t>
            </w:r>
          </w:p>
        </w:tc>
        <w:tc>
          <w:tcPr>
            <w:tcW w:w="2925" w:type="dxa"/>
            <w:gridSpan w:val="3"/>
          </w:tcPr>
          <w:p w:rsidR="008D332F" w:rsidRPr="00B40308" w:rsidRDefault="008D332F" w:rsidP="00B40308">
            <w:pPr>
              <w:spacing w:before="120" w:after="120"/>
              <w:jc w:val="center"/>
              <w:rPr>
                <w:rFonts w:ascii="Times New Roman" w:eastAsia="Calibri" w:hAnsi="Times New Roman" w:cs="Times New Roman"/>
                <w:b/>
                <w:sz w:val="24"/>
                <w:szCs w:val="24"/>
              </w:rPr>
            </w:pPr>
            <w:r w:rsidRPr="00B40308">
              <w:rPr>
                <w:rFonts w:ascii="Times New Roman" w:eastAsia="Calibri" w:hAnsi="Times New Roman" w:cs="Times New Roman"/>
                <w:b/>
                <w:sz w:val="24"/>
                <w:szCs w:val="24"/>
              </w:rPr>
              <w:t>Annual</w:t>
            </w:r>
          </w:p>
        </w:tc>
      </w:tr>
      <w:tr w:rsidR="000D093B" w:rsidRPr="00B40308" w:rsidTr="000D093B">
        <w:tc>
          <w:tcPr>
            <w:tcW w:w="1985" w:type="dxa"/>
          </w:tcPr>
          <w:p w:rsidR="008D332F" w:rsidRPr="00B40308" w:rsidRDefault="008D332F" w:rsidP="00B40308">
            <w:pPr>
              <w:spacing w:before="120" w:after="120"/>
              <w:jc w:val="both"/>
              <w:rPr>
                <w:rFonts w:ascii="Times New Roman" w:eastAsia="Calibri" w:hAnsi="Times New Roman" w:cs="Times New Roman"/>
                <w:b/>
                <w:sz w:val="24"/>
                <w:szCs w:val="24"/>
              </w:rPr>
            </w:pPr>
          </w:p>
        </w:tc>
        <w:tc>
          <w:tcPr>
            <w:tcW w:w="992" w:type="dxa"/>
          </w:tcPr>
          <w:p w:rsidR="008D332F" w:rsidRPr="00B40308" w:rsidRDefault="008D332F"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Budget</w:t>
            </w:r>
          </w:p>
          <w:p w:rsidR="008D332F" w:rsidRPr="00B40308" w:rsidRDefault="008D332F"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c>
          <w:tcPr>
            <w:tcW w:w="1276" w:type="dxa"/>
          </w:tcPr>
          <w:p w:rsidR="008D332F" w:rsidRPr="00B40308" w:rsidRDefault="008D332F"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Expenditure</w:t>
            </w:r>
          </w:p>
          <w:p w:rsidR="008D332F" w:rsidRPr="00B40308" w:rsidRDefault="008D332F"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c>
          <w:tcPr>
            <w:tcW w:w="851" w:type="dxa"/>
          </w:tcPr>
          <w:p w:rsidR="008D332F" w:rsidRPr="00B40308" w:rsidRDefault="008D332F"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Spent %</w:t>
            </w:r>
          </w:p>
        </w:tc>
        <w:tc>
          <w:tcPr>
            <w:tcW w:w="1134" w:type="dxa"/>
          </w:tcPr>
          <w:p w:rsidR="008D332F" w:rsidRPr="00B40308" w:rsidRDefault="008D332F"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Available</w:t>
            </w:r>
          </w:p>
          <w:p w:rsidR="008D332F" w:rsidRPr="00B40308" w:rsidRDefault="008D332F"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c>
          <w:tcPr>
            <w:tcW w:w="953" w:type="dxa"/>
          </w:tcPr>
          <w:p w:rsidR="000D093B" w:rsidRPr="00B40308" w:rsidRDefault="000D093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Budget</w:t>
            </w:r>
          </w:p>
          <w:p w:rsidR="008D332F" w:rsidRPr="00B40308" w:rsidRDefault="000D093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c>
          <w:tcPr>
            <w:tcW w:w="1088" w:type="dxa"/>
          </w:tcPr>
          <w:p w:rsidR="008D332F" w:rsidRPr="00B40308" w:rsidRDefault="000D093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Projections</w:t>
            </w:r>
          </w:p>
          <w:p w:rsidR="000D093B" w:rsidRPr="00B40308" w:rsidRDefault="000D093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c>
          <w:tcPr>
            <w:tcW w:w="884" w:type="dxa"/>
          </w:tcPr>
          <w:p w:rsidR="008D332F" w:rsidRPr="00B40308" w:rsidRDefault="000D093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Variance</w:t>
            </w:r>
          </w:p>
          <w:p w:rsidR="000D093B" w:rsidRPr="00B40308" w:rsidRDefault="000D093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r>
      <w:tr w:rsidR="000D093B" w:rsidRPr="00B40308" w:rsidTr="000D093B">
        <w:tc>
          <w:tcPr>
            <w:tcW w:w="1985" w:type="dxa"/>
          </w:tcPr>
          <w:p w:rsidR="008D332F" w:rsidRPr="00B40308" w:rsidRDefault="008D332F" w:rsidP="00B40308">
            <w:pPr>
              <w:spacing w:before="120" w:after="1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Strategic Leadership and Governance</w:t>
            </w:r>
          </w:p>
        </w:tc>
        <w:tc>
          <w:tcPr>
            <w:tcW w:w="992"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54 660</w:t>
            </w:r>
          </w:p>
        </w:tc>
        <w:tc>
          <w:tcPr>
            <w:tcW w:w="1276"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49 775</w:t>
            </w:r>
          </w:p>
        </w:tc>
        <w:tc>
          <w:tcPr>
            <w:tcW w:w="851"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91%</w:t>
            </w:r>
          </w:p>
        </w:tc>
        <w:tc>
          <w:tcPr>
            <w:tcW w:w="113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4 885</w:t>
            </w:r>
          </w:p>
        </w:tc>
        <w:tc>
          <w:tcPr>
            <w:tcW w:w="953"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109 320</w:t>
            </w:r>
          </w:p>
        </w:tc>
        <w:tc>
          <w:tcPr>
            <w:tcW w:w="1088"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109 320</w:t>
            </w:r>
          </w:p>
        </w:tc>
        <w:tc>
          <w:tcPr>
            <w:tcW w:w="88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0</w:t>
            </w:r>
          </w:p>
        </w:tc>
      </w:tr>
      <w:tr w:rsidR="000D093B" w:rsidRPr="00B40308" w:rsidTr="000D093B">
        <w:tc>
          <w:tcPr>
            <w:tcW w:w="1985" w:type="dxa"/>
          </w:tcPr>
          <w:p w:rsidR="008D332F" w:rsidRPr="00B40308" w:rsidRDefault="008D332F" w:rsidP="00B40308">
            <w:pPr>
              <w:spacing w:before="120" w:after="1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Administration</w:t>
            </w:r>
          </w:p>
        </w:tc>
        <w:tc>
          <w:tcPr>
            <w:tcW w:w="992" w:type="dxa"/>
          </w:tcPr>
          <w:p w:rsidR="000D093B"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95 947</w:t>
            </w:r>
          </w:p>
        </w:tc>
        <w:tc>
          <w:tcPr>
            <w:tcW w:w="1276"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76 554</w:t>
            </w:r>
          </w:p>
        </w:tc>
        <w:tc>
          <w:tcPr>
            <w:tcW w:w="851"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80%</w:t>
            </w:r>
          </w:p>
        </w:tc>
        <w:tc>
          <w:tcPr>
            <w:tcW w:w="113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19 393</w:t>
            </w:r>
          </w:p>
        </w:tc>
        <w:tc>
          <w:tcPr>
            <w:tcW w:w="953"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191 894</w:t>
            </w:r>
          </w:p>
        </w:tc>
        <w:tc>
          <w:tcPr>
            <w:tcW w:w="1088"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191 894</w:t>
            </w:r>
          </w:p>
        </w:tc>
        <w:tc>
          <w:tcPr>
            <w:tcW w:w="88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0</w:t>
            </w:r>
          </w:p>
        </w:tc>
      </w:tr>
      <w:tr w:rsidR="000D093B" w:rsidRPr="00B40308" w:rsidTr="000D093B">
        <w:tc>
          <w:tcPr>
            <w:tcW w:w="1985" w:type="dxa"/>
          </w:tcPr>
          <w:p w:rsidR="008D332F" w:rsidRPr="00B40308" w:rsidRDefault="008D332F" w:rsidP="00B40308">
            <w:pPr>
              <w:spacing w:before="120" w:after="1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Core Business</w:t>
            </w:r>
          </w:p>
        </w:tc>
        <w:tc>
          <w:tcPr>
            <w:tcW w:w="992"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285 794</w:t>
            </w:r>
          </w:p>
        </w:tc>
        <w:tc>
          <w:tcPr>
            <w:tcW w:w="1276"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246 405</w:t>
            </w:r>
          </w:p>
        </w:tc>
        <w:tc>
          <w:tcPr>
            <w:tcW w:w="851"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86%</w:t>
            </w:r>
          </w:p>
        </w:tc>
        <w:tc>
          <w:tcPr>
            <w:tcW w:w="113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39 389</w:t>
            </w:r>
          </w:p>
        </w:tc>
        <w:tc>
          <w:tcPr>
            <w:tcW w:w="953"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571 587</w:t>
            </w:r>
          </w:p>
        </w:tc>
        <w:tc>
          <w:tcPr>
            <w:tcW w:w="1088"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571 587</w:t>
            </w:r>
          </w:p>
        </w:tc>
        <w:tc>
          <w:tcPr>
            <w:tcW w:w="88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0</w:t>
            </w:r>
          </w:p>
        </w:tc>
      </w:tr>
      <w:tr w:rsidR="000D093B" w:rsidRPr="00B40308" w:rsidTr="000D093B">
        <w:tc>
          <w:tcPr>
            <w:tcW w:w="1985" w:type="dxa"/>
          </w:tcPr>
          <w:p w:rsidR="008D332F" w:rsidRPr="00B40308" w:rsidRDefault="008D332F" w:rsidP="00B40308">
            <w:pPr>
              <w:spacing w:before="120" w:after="1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Support Service</w:t>
            </w:r>
          </w:p>
        </w:tc>
        <w:tc>
          <w:tcPr>
            <w:tcW w:w="992"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184 697</w:t>
            </w:r>
          </w:p>
        </w:tc>
        <w:tc>
          <w:tcPr>
            <w:tcW w:w="1276"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158 498</w:t>
            </w:r>
          </w:p>
        </w:tc>
        <w:tc>
          <w:tcPr>
            <w:tcW w:w="851"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86%</w:t>
            </w:r>
          </w:p>
        </w:tc>
        <w:tc>
          <w:tcPr>
            <w:tcW w:w="113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26 199</w:t>
            </w:r>
          </w:p>
        </w:tc>
        <w:tc>
          <w:tcPr>
            <w:tcW w:w="953"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369 395</w:t>
            </w:r>
          </w:p>
        </w:tc>
        <w:tc>
          <w:tcPr>
            <w:tcW w:w="1088"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369 395</w:t>
            </w:r>
          </w:p>
        </w:tc>
        <w:tc>
          <w:tcPr>
            <w:tcW w:w="88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0</w:t>
            </w:r>
          </w:p>
        </w:tc>
      </w:tr>
      <w:tr w:rsidR="000D093B" w:rsidRPr="00B40308" w:rsidTr="000D093B">
        <w:tc>
          <w:tcPr>
            <w:tcW w:w="1985" w:type="dxa"/>
          </w:tcPr>
          <w:p w:rsidR="008D332F" w:rsidRPr="00B40308" w:rsidRDefault="008D332F" w:rsidP="00B40308">
            <w:pPr>
              <w:spacing w:before="120" w:after="1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Associated Service</w:t>
            </w:r>
          </w:p>
        </w:tc>
        <w:tc>
          <w:tcPr>
            <w:tcW w:w="992"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305 224</w:t>
            </w:r>
          </w:p>
        </w:tc>
        <w:tc>
          <w:tcPr>
            <w:tcW w:w="1276"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303 740</w:t>
            </w:r>
          </w:p>
        </w:tc>
        <w:tc>
          <w:tcPr>
            <w:tcW w:w="851"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100%</w:t>
            </w:r>
          </w:p>
        </w:tc>
        <w:tc>
          <w:tcPr>
            <w:tcW w:w="113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1 484</w:t>
            </w:r>
          </w:p>
        </w:tc>
        <w:tc>
          <w:tcPr>
            <w:tcW w:w="953"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610 448</w:t>
            </w:r>
          </w:p>
        </w:tc>
        <w:tc>
          <w:tcPr>
            <w:tcW w:w="1088"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620 974</w:t>
            </w:r>
          </w:p>
        </w:tc>
        <w:tc>
          <w:tcPr>
            <w:tcW w:w="88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(10 526)</w:t>
            </w:r>
          </w:p>
        </w:tc>
      </w:tr>
      <w:tr w:rsidR="000D093B" w:rsidRPr="00B40308" w:rsidTr="000D093B">
        <w:tc>
          <w:tcPr>
            <w:tcW w:w="1985" w:type="dxa"/>
          </w:tcPr>
          <w:p w:rsidR="008D332F" w:rsidRPr="00B40308" w:rsidRDefault="008D332F"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Total</w:t>
            </w:r>
          </w:p>
        </w:tc>
        <w:tc>
          <w:tcPr>
            <w:tcW w:w="992"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926 322</w:t>
            </w:r>
          </w:p>
        </w:tc>
        <w:tc>
          <w:tcPr>
            <w:tcW w:w="1276"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834 972</w:t>
            </w:r>
          </w:p>
        </w:tc>
        <w:tc>
          <w:tcPr>
            <w:tcW w:w="851"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90%</w:t>
            </w:r>
          </w:p>
        </w:tc>
        <w:tc>
          <w:tcPr>
            <w:tcW w:w="1134"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91 350</w:t>
            </w:r>
          </w:p>
        </w:tc>
        <w:tc>
          <w:tcPr>
            <w:tcW w:w="953"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1 852 644</w:t>
            </w:r>
          </w:p>
        </w:tc>
        <w:tc>
          <w:tcPr>
            <w:tcW w:w="1088"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1 863 170</w:t>
            </w:r>
          </w:p>
        </w:tc>
        <w:tc>
          <w:tcPr>
            <w:tcW w:w="884"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(10 526)</w:t>
            </w:r>
          </w:p>
        </w:tc>
      </w:tr>
      <w:tr w:rsidR="000D093B" w:rsidRPr="00B40308" w:rsidTr="000D093B">
        <w:tc>
          <w:tcPr>
            <w:tcW w:w="1985" w:type="dxa"/>
          </w:tcPr>
          <w:p w:rsidR="008D332F" w:rsidRPr="00B40308" w:rsidRDefault="008D332F" w:rsidP="00B40308">
            <w:pPr>
              <w:spacing w:before="120" w:after="1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Direct Charges</w:t>
            </w:r>
          </w:p>
        </w:tc>
        <w:tc>
          <w:tcPr>
            <w:tcW w:w="992"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264 899</w:t>
            </w:r>
          </w:p>
        </w:tc>
        <w:tc>
          <w:tcPr>
            <w:tcW w:w="1276"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214 901</w:t>
            </w:r>
          </w:p>
        </w:tc>
        <w:tc>
          <w:tcPr>
            <w:tcW w:w="851"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81%</w:t>
            </w:r>
          </w:p>
        </w:tc>
        <w:tc>
          <w:tcPr>
            <w:tcW w:w="113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49 998</w:t>
            </w:r>
          </w:p>
        </w:tc>
        <w:tc>
          <w:tcPr>
            <w:tcW w:w="953"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529 798</w:t>
            </w:r>
          </w:p>
        </w:tc>
        <w:tc>
          <w:tcPr>
            <w:tcW w:w="1088"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456 948</w:t>
            </w:r>
          </w:p>
        </w:tc>
        <w:tc>
          <w:tcPr>
            <w:tcW w:w="884" w:type="dxa"/>
          </w:tcPr>
          <w:p w:rsidR="008D332F" w:rsidRPr="00B40308" w:rsidRDefault="000D093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72 850</w:t>
            </w:r>
          </w:p>
        </w:tc>
      </w:tr>
      <w:tr w:rsidR="000D093B" w:rsidRPr="00B40308" w:rsidTr="000D093B">
        <w:tc>
          <w:tcPr>
            <w:tcW w:w="1985" w:type="dxa"/>
          </w:tcPr>
          <w:p w:rsidR="008D332F" w:rsidRPr="00B40308" w:rsidRDefault="008D332F"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Total</w:t>
            </w:r>
          </w:p>
        </w:tc>
        <w:tc>
          <w:tcPr>
            <w:tcW w:w="992"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1 191 221</w:t>
            </w:r>
          </w:p>
        </w:tc>
        <w:tc>
          <w:tcPr>
            <w:tcW w:w="1276"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1 049 873</w:t>
            </w:r>
          </w:p>
        </w:tc>
        <w:tc>
          <w:tcPr>
            <w:tcW w:w="851"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88%</w:t>
            </w:r>
          </w:p>
        </w:tc>
        <w:tc>
          <w:tcPr>
            <w:tcW w:w="1134"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141 347</w:t>
            </w:r>
          </w:p>
        </w:tc>
        <w:tc>
          <w:tcPr>
            <w:tcW w:w="953"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2 382 442</w:t>
            </w:r>
          </w:p>
        </w:tc>
        <w:tc>
          <w:tcPr>
            <w:tcW w:w="1088"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2 320 118</w:t>
            </w:r>
          </w:p>
        </w:tc>
        <w:tc>
          <w:tcPr>
            <w:tcW w:w="884" w:type="dxa"/>
          </w:tcPr>
          <w:p w:rsidR="008D332F" w:rsidRPr="00B40308" w:rsidRDefault="000D093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62 324</w:t>
            </w:r>
          </w:p>
        </w:tc>
      </w:tr>
    </w:tbl>
    <w:p w:rsidR="00821866" w:rsidRPr="00B40308" w:rsidRDefault="00821866" w:rsidP="00B40308">
      <w:pPr>
        <w:spacing w:before="120" w:after="120" w:line="240" w:lineRule="auto"/>
        <w:ind w:hanging="284"/>
        <w:jc w:val="both"/>
        <w:rPr>
          <w:rFonts w:ascii="Times New Roman" w:eastAsia="Calibri" w:hAnsi="Times New Roman" w:cs="Times New Roman"/>
          <w:i/>
          <w:sz w:val="24"/>
          <w:szCs w:val="24"/>
        </w:rPr>
      </w:pPr>
      <w:r w:rsidRPr="00B40308">
        <w:rPr>
          <w:rFonts w:ascii="Times New Roman" w:eastAsia="Calibri" w:hAnsi="Times New Roman" w:cs="Times New Roman"/>
          <w:i/>
          <w:sz w:val="24"/>
          <w:szCs w:val="24"/>
        </w:rPr>
        <w:t xml:space="preserve">Source: Parliament </w:t>
      </w:r>
      <w:r w:rsidR="00CB1400" w:rsidRPr="00B40308">
        <w:rPr>
          <w:rFonts w:ascii="Times New Roman" w:eastAsia="Calibri" w:hAnsi="Times New Roman" w:cs="Times New Roman"/>
          <w:i/>
          <w:sz w:val="24"/>
          <w:szCs w:val="24"/>
        </w:rPr>
        <w:t>of the Republic of South Africa</w:t>
      </w:r>
      <w:r w:rsidRPr="00B40308">
        <w:rPr>
          <w:rFonts w:ascii="Times New Roman" w:eastAsia="Calibri" w:hAnsi="Times New Roman" w:cs="Times New Roman"/>
          <w:i/>
          <w:sz w:val="24"/>
          <w:szCs w:val="24"/>
        </w:rPr>
        <w:t xml:space="preserve"> </w:t>
      </w:r>
      <w:r w:rsidR="00CB1400" w:rsidRPr="00B40308">
        <w:rPr>
          <w:rFonts w:ascii="Times New Roman" w:eastAsia="Calibri" w:hAnsi="Times New Roman" w:cs="Times New Roman"/>
          <w:i/>
          <w:sz w:val="24"/>
          <w:szCs w:val="24"/>
        </w:rPr>
        <w:t>(</w:t>
      </w:r>
      <w:r w:rsidRPr="00B40308">
        <w:rPr>
          <w:rFonts w:ascii="Times New Roman" w:eastAsia="Calibri" w:hAnsi="Times New Roman" w:cs="Times New Roman"/>
          <w:i/>
          <w:sz w:val="24"/>
          <w:szCs w:val="24"/>
        </w:rPr>
        <w:t>2016)</w:t>
      </w:r>
    </w:p>
    <w:p w:rsidR="00821866" w:rsidRPr="00B40308" w:rsidRDefault="00821866" w:rsidP="00B40308">
      <w:pPr>
        <w:spacing w:before="120" w:after="120" w:line="240" w:lineRule="auto"/>
        <w:jc w:val="both"/>
        <w:rPr>
          <w:rFonts w:ascii="Times New Roman" w:eastAsia="Calibri" w:hAnsi="Times New Roman" w:cs="Times New Roman"/>
          <w:i/>
          <w:sz w:val="24"/>
          <w:szCs w:val="24"/>
        </w:rPr>
      </w:pPr>
    </w:p>
    <w:p w:rsidR="00821866" w:rsidRPr="00B40308" w:rsidRDefault="00AD292E"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3.1</w:t>
      </w:r>
      <w:r w:rsidRPr="00B40308">
        <w:rPr>
          <w:rFonts w:ascii="Times New Roman" w:eastAsia="Calibri" w:hAnsi="Times New Roman" w:cs="Times New Roman"/>
          <w:b/>
          <w:sz w:val="24"/>
          <w:szCs w:val="24"/>
        </w:rPr>
        <w:tab/>
        <w:t xml:space="preserve">Details </w:t>
      </w:r>
      <w:r w:rsidR="004420D5" w:rsidRPr="00B40308">
        <w:rPr>
          <w:rFonts w:ascii="Times New Roman" w:eastAsia="Calibri" w:hAnsi="Times New Roman" w:cs="Times New Roman"/>
          <w:b/>
          <w:sz w:val="24"/>
          <w:szCs w:val="24"/>
        </w:rPr>
        <w:t>on</w:t>
      </w:r>
      <w:r w:rsidRPr="00B40308">
        <w:rPr>
          <w:rFonts w:ascii="Times New Roman" w:eastAsia="Calibri" w:hAnsi="Times New Roman" w:cs="Times New Roman"/>
          <w:b/>
          <w:sz w:val="24"/>
          <w:szCs w:val="24"/>
        </w:rPr>
        <w:t xml:space="preserve"> expenditure performance</w:t>
      </w:r>
    </w:p>
    <w:p w:rsidR="00821866" w:rsidRPr="00B40308" w:rsidRDefault="00821866" w:rsidP="00B40308">
      <w:pPr>
        <w:spacing w:before="120" w:after="120" w:line="240" w:lineRule="auto"/>
        <w:ind w:left="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 xml:space="preserve">The </w:t>
      </w:r>
      <w:r w:rsidR="00AD292E" w:rsidRPr="00B40308">
        <w:rPr>
          <w:rFonts w:ascii="Times New Roman" w:eastAsia="Calibri" w:hAnsi="Times New Roman" w:cs="Times New Roman"/>
          <w:sz w:val="24"/>
          <w:szCs w:val="24"/>
        </w:rPr>
        <w:t xml:space="preserve">details in terms of the expenditure performance of Parliament per programme </w:t>
      </w:r>
      <w:r w:rsidR="003A3D48" w:rsidRPr="00B40308">
        <w:rPr>
          <w:rFonts w:ascii="Times New Roman" w:eastAsia="Calibri" w:hAnsi="Times New Roman" w:cs="Times New Roman"/>
          <w:sz w:val="24"/>
          <w:szCs w:val="24"/>
        </w:rPr>
        <w:t xml:space="preserve">as </w:t>
      </w:r>
      <w:r w:rsidR="00AD292E" w:rsidRPr="00B40308">
        <w:rPr>
          <w:rFonts w:ascii="Times New Roman" w:eastAsia="Calibri" w:hAnsi="Times New Roman" w:cs="Times New Roman"/>
          <w:sz w:val="24"/>
          <w:szCs w:val="24"/>
        </w:rPr>
        <w:t xml:space="preserve">at the end of the </w:t>
      </w:r>
      <w:r w:rsidR="004420D5" w:rsidRPr="00B40308">
        <w:rPr>
          <w:rFonts w:ascii="Times New Roman" w:eastAsia="Calibri" w:hAnsi="Times New Roman" w:cs="Times New Roman"/>
          <w:sz w:val="24"/>
          <w:szCs w:val="24"/>
        </w:rPr>
        <w:t>s</w:t>
      </w:r>
      <w:r w:rsidR="00AD292E" w:rsidRPr="00B40308">
        <w:rPr>
          <w:rFonts w:ascii="Times New Roman" w:eastAsia="Calibri" w:hAnsi="Times New Roman" w:cs="Times New Roman"/>
          <w:sz w:val="24"/>
          <w:szCs w:val="24"/>
        </w:rPr>
        <w:t xml:space="preserve">econd </w:t>
      </w:r>
      <w:r w:rsidR="004420D5" w:rsidRPr="00B40308">
        <w:rPr>
          <w:rFonts w:ascii="Times New Roman" w:eastAsia="Calibri" w:hAnsi="Times New Roman" w:cs="Times New Roman"/>
          <w:sz w:val="24"/>
          <w:szCs w:val="24"/>
        </w:rPr>
        <w:t>q</w:t>
      </w:r>
      <w:r w:rsidR="00AD292E" w:rsidRPr="00B40308">
        <w:rPr>
          <w:rFonts w:ascii="Times New Roman" w:eastAsia="Calibri" w:hAnsi="Times New Roman" w:cs="Times New Roman"/>
          <w:sz w:val="24"/>
          <w:szCs w:val="24"/>
        </w:rPr>
        <w:t xml:space="preserve">uarter of the 2016/17 financial </w:t>
      </w:r>
      <w:r w:rsidR="003A3D48" w:rsidRPr="00B40308">
        <w:rPr>
          <w:rFonts w:ascii="Times New Roman" w:eastAsia="Calibri" w:hAnsi="Times New Roman" w:cs="Times New Roman"/>
          <w:sz w:val="24"/>
          <w:szCs w:val="24"/>
        </w:rPr>
        <w:t xml:space="preserve">year </w:t>
      </w:r>
      <w:r w:rsidR="00AD292E" w:rsidRPr="00B40308">
        <w:rPr>
          <w:rFonts w:ascii="Times New Roman" w:eastAsia="Calibri" w:hAnsi="Times New Roman" w:cs="Times New Roman"/>
          <w:sz w:val="24"/>
          <w:szCs w:val="24"/>
        </w:rPr>
        <w:t>follows hereunder. Parliament did not report on the reasons for the variances in it</w:t>
      </w:r>
      <w:r w:rsidR="003A3D48" w:rsidRPr="00B40308">
        <w:rPr>
          <w:rFonts w:ascii="Times New Roman" w:eastAsia="Calibri" w:hAnsi="Times New Roman" w:cs="Times New Roman"/>
          <w:sz w:val="24"/>
          <w:szCs w:val="24"/>
        </w:rPr>
        <w:t>s</w:t>
      </w:r>
      <w:r w:rsidR="00AD292E" w:rsidRPr="00B40308">
        <w:rPr>
          <w:rFonts w:ascii="Times New Roman" w:eastAsia="Calibri" w:hAnsi="Times New Roman" w:cs="Times New Roman"/>
          <w:sz w:val="24"/>
          <w:szCs w:val="24"/>
        </w:rPr>
        <w:t xml:space="preserve"> submission to the Committee. </w:t>
      </w:r>
    </w:p>
    <w:p w:rsidR="00810D6B" w:rsidRPr="00B40308" w:rsidRDefault="00DF0015"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3.1.1</w:t>
      </w:r>
      <w:r w:rsidRPr="00B40308">
        <w:rPr>
          <w:rFonts w:ascii="Times New Roman" w:eastAsia="Calibri" w:hAnsi="Times New Roman" w:cs="Times New Roman"/>
          <w:sz w:val="24"/>
          <w:szCs w:val="24"/>
        </w:rPr>
        <w:tab/>
      </w:r>
      <w:r w:rsidRPr="00B40308">
        <w:rPr>
          <w:rFonts w:ascii="Times New Roman" w:eastAsia="Calibri" w:hAnsi="Times New Roman" w:cs="Times New Roman"/>
          <w:b/>
          <w:sz w:val="24"/>
          <w:szCs w:val="24"/>
        </w:rPr>
        <w:t>Strategic Leadership and Governance:</w:t>
      </w:r>
      <w:r w:rsidRPr="00B40308">
        <w:rPr>
          <w:rFonts w:ascii="Times New Roman" w:eastAsia="Calibri" w:hAnsi="Times New Roman" w:cs="Times New Roman"/>
          <w:sz w:val="24"/>
          <w:szCs w:val="24"/>
        </w:rPr>
        <w:t xml:space="preserve"> An</w:t>
      </w:r>
      <w:r w:rsidRPr="00B40308">
        <w:rPr>
          <w:rFonts w:ascii="Times New Roman" w:eastAsia="Calibri" w:hAnsi="Times New Roman" w:cs="Times New Roman"/>
          <w:b/>
          <w:sz w:val="24"/>
          <w:szCs w:val="24"/>
        </w:rPr>
        <w:t xml:space="preserve"> </w:t>
      </w:r>
      <w:r w:rsidRPr="00B40308">
        <w:rPr>
          <w:rFonts w:ascii="Times New Roman" w:eastAsia="Calibri" w:hAnsi="Times New Roman" w:cs="Times New Roman"/>
          <w:sz w:val="24"/>
          <w:szCs w:val="24"/>
        </w:rPr>
        <w:t>expenditure of R4</w:t>
      </w:r>
      <w:r w:rsidR="00375E3A" w:rsidRPr="00B40308">
        <w:rPr>
          <w:rFonts w:ascii="Times New Roman" w:eastAsia="Calibri" w:hAnsi="Times New Roman" w:cs="Times New Roman"/>
          <w:sz w:val="24"/>
          <w:szCs w:val="24"/>
        </w:rPr>
        <w:t xml:space="preserve">9.775 million or 91 per cent of the projected R54.660 million </w:t>
      </w:r>
      <w:r w:rsidRPr="00B40308">
        <w:rPr>
          <w:rFonts w:ascii="Times New Roman" w:eastAsia="Calibri" w:hAnsi="Times New Roman" w:cs="Times New Roman"/>
          <w:sz w:val="24"/>
          <w:szCs w:val="24"/>
        </w:rPr>
        <w:t xml:space="preserve">was recorded at the end of the period under review resulting in an under expenditure of R4.885 million. </w:t>
      </w:r>
    </w:p>
    <w:p w:rsidR="00DF0015" w:rsidRPr="00B40308" w:rsidRDefault="00375E3A" w:rsidP="00B40308">
      <w:pPr>
        <w:spacing w:before="120" w:after="120" w:line="240" w:lineRule="auto"/>
        <w:ind w:left="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In terms of the annual budget allocation of R109.320 million for the programme, Parliament ha</w:t>
      </w:r>
      <w:r w:rsidR="001A4B5E" w:rsidRPr="00B40308">
        <w:rPr>
          <w:rFonts w:ascii="Times New Roman" w:eastAsia="Calibri" w:hAnsi="Times New Roman" w:cs="Times New Roman"/>
          <w:sz w:val="24"/>
          <w:szCs w:val="24"/>
        </w:rPr>
        <w:t>d</w:t>
      </w:r>
      <w:r w:rsidRPr="00B40308">
        <w:rPr>
          <w:rFonts w:ascii="Times New Roman" w:eastAsia="Calibri" w:hAnsi="Times New Roman" w:cs="Times New Roman"/>
          <w:sz w:val="24"/>
          <w:szCs w:val="24"/>
        </w:rPr>
        <w:t xml:space="preserve"> spent 46 per cent </w:t>
      </w:r>
      <w:r w:rsidR="001A4B5E" w:rsidRPr="00B40308">
        <w:rPr>
          <w:rFonts w:ascii="Times New Roman" w:eastAsia="Calibri" w:hAnsi="Times New Roman" w:cs="Times New Roman"/>
          <w:sz w:val="24"/>
          <w:szCs w:val="24"/>
        </w:rPr>
        <w:t xml:space="preserve">of the Programme’s allocations </w:t>
      </w:r>
      <w:r w:rsidR="003A3D48" w:rsidRPr="00B40308">
        <w:rPr>
          <w:rFonts w:ascii="Times New Roman" w:eastAsia="Calibri" w:hAnsi="Times New Roman" w:cs="Times New Roman"/>
          <w:sz w:val="24"/>
          <w:szCs w:val="24"/>
        </w:rPr>
        <w:t xml:space="preserve">as </w:t>
      </w:r>
      <w:r w:rsidRPr="00B40308">
        <w:rPr>
          <w:rFonts w:ascii="Times New Roman" w:eastAsia="Calibri" w:hAnsi="Times New Roman" w:cs="Times New Roman"/>
          <w:sz w:val="24"/>
          <w:szCs w:val="24"/>
        </w:rPr>
        <w:t xml:space="preserve">at the end of </w:t>
      </w:r>
      <w:r w:rsidRPr="00B40308">
        <w:rPr>
          <w:rFonts w:ascii="Times New Roman" w:eastAsia="Calibri" w:hAnsi="Times New Roman" w:cs="Times New Roman"/>
          <w:sz w:val="24"/>
          <w:szCs w:val="24"/>
        </w:rPr>
        <w:lastRenderedPageBreak/>
        <w:t xml:space="preserve">September 2016. </w:t>
      </w:r>
      <w:r w:rsidR="00DF0015" w:rsidRPr="00B40308">
        <w:rPr>
          <w:rFonts w:ascii="Times New Roman" w:eastAsia="Calibri" w:hAnsi="Times New Roman" w:cs="Times New Roman"/>
          <w:sz w:val="24"/>
          <w:szCs w:val="24"/>
        </w:rPr>
        <w:t xml:space="preserve">Expenditure at the end of the </w:t>
      </w:r>
      <w:r w:rsidR="004420D5" w:rsidRPr="00B40308">
        <w:rPr>
          <w:rFonts w:ascii="Times New Roman" w:eastAsia="Calibri" w:hAnsi="Times New Roman" w:cs="Times New Roman"/>
          <w:sz w:val="24"/>
          <w:szCs w:val="24"/>
        </w:rPr>
        <w:t>f</w:t>
      </w:r>
      <w:r w:rsidR="00DF0015" w:rsidRPr="00B40308">
        <w:rPr>
          <w:rFonts w:ascii="Times New Roman" w:eastAsia="Calibri" w:hAnsi="Times New Roman" w:cs="Times New Roman"/>
          <w:sz w:val="24"/>
          <w:szCs w:val="24"/>
        </w:rPr>
        <w:t xml:space="preserve">irst </w:t>
      </w:r>
      <w:r w:rsidR="004420D5" w:rsidRPr="00B40308">
        <w:rPr>
          <w:rFonts w:ascii="Times New Roman" w:eastAsia="Calibri" w:hAnsi="Times New Roman" w:cs="Times New Roman"/>
          <w:sz w:val="24"/>
          <w:szCs w:val="24"/>
        </w:rPr>
        <w:t>q</w:t>
      </w:r>
      <w:r w:rsidR="00DF0015" w:rsidRPr="00B40308">
        <w:rPr>
          <w:rFonts w:ascii="Times New Roman" w:eastAsia="Calibri" w:hAnsi="Times New Roman" w:cs="Times New Roman"/>
          <w:sz w:val="24"/>
          <w:szCs w:val="24"/>
        </w:rPr>
        <w:t>uarter was R23.9 million or 21 per cent</w:t>
      </w:r>
      <w:r w:rsidRPr="00B40308">
        <w:rPr>
          <w:rFonts w:ascii="Times New Roman" w:eastAsia="Calibri" w:hAnsi="Times New Roman" w:cs="Times New Roman"/>
          <w:sz w:val="24"/>
          <w:szCs w:val="24"/>
        </w:rPr>
        <w:t>.</w:t>
      </w:r>
      <w:r w:rsidR="00DF0015" w:rsidRPr="00B40308">
        <w:rPr>
          <w:rFonts w:ascii="Times New Roman" w:eastAsia="Calibri" w:hAnsi="Times New Roman" w:cs="Times New Roman"/>
          <w:sz w:val="24"/>
          <w:szCs w:val="24"/>
        </w:rPr>
        <w:t xml:space="preserve"> </w:t>
      </w:r>
      <w:r w:rsidR="000100F1" w:rsidRPr="00B40308">
        <w:rPr>
          <w:rFonts w:ascii="Times New Roman" w:eastAsia="Calibri" w:hAnsi="Times New Roman" w:cs="Times New Roman"/>
          <w:sz w:val="24"/>
          <w:szCs w:val="24"/>
        </w:rPr>
        <w:t xml:space="preserve">Parliament reported that no variances were expected in terms of the Programme’s budget allocation at the end of the financial year. </w:t>
      </w:r>
    </w:p>
    <w:p w:rsidR="00DF0015" w:rsidRPr="00B40308" w:rsidRDefault="00DF0015"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3.1.2</w:t>
      </w:r>
      <w:r w:rsidRPr="00B40308">
        <w:rPr>
          <w:rFonts w:ascii="Times New Roman" w:eastAsia="Calibri" w:hAnsi="Times New Roman" w:cs="Times New Roman"/>
          <w:sz w:val="24"/>
          <w:szCs w:val="24"/>
        </w:rPr>
        <w:tab/>
      </w:r>
      <w:r w:rsidRPr="00B40308">
        <w:rPr>
          <w:rFonts w:ascii="Times New Roman" w:eastAsia="Calibri" w:hAnsi="Times New Roman" w:cs="Times New Roman"/>
          <w:b/>
          <w:sz w:val="24"/>
          <w:szCs w:val="24"/>
        </w:rPr>
        <w:t>Administration:</w:t>
      </w:r>
      <w:r w:rsidRPr="00B40308">
        <w:rPr>
          <w:rFonts w:ascii="Times New Roman" w:eastAsia="Calibri" w:hAnsi="Times New Roman" w:cs="Times New Roman"/>
          <w:sz w:val="24"/>
          <w:szCs w:val="24"/>
        </w:rPr>
        <w:t xml:space="preserve"> An expenditure of R76</w:t>
      </w:r>
      <w:r w:rsidR="003A3D48"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554</w:t>
      </w:r>
      <w:r w:rsidR="003A3D48" w:rsidRPr="00B40308">
        <w:rPr>
          <w:rFonts w:ascii="Times New Roman" w:eastAsia="Calibri" w:hAnsi="Times New Roman" w:cs="Times New Roman"/>
          <w:sz w:val="24"/>
          <w:szCs w:val="24"/>
        </w:rPr>
        <w:t xml:space="preserve"> million</w:t>
      </w:r>
      <w:r w:rsidRPr="00B40308">
        <w:rPr>
          <w:rFonts w:ascii="Times New Roman" w:eastAsia="Calibri" w:hAnsi="Times New Roman" w:cs="Times New Roman"/>
          <w:sz w:val="24"/>
          <w:szCs w:val="24"/>
        </w:rPr>
        <w:t xml:space="preserve"> or 80 per cent of the projected R95</w:t>
      </w:r>
      <w:r w:rsidR="003A3D48"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947</w:t>
      </w:r>
      <w:r w:rsidR="003A3D48" w:rsidRPr="00B40308">
        <w:rPr>
          <w:rFonts w:ascii="Times New Roman" w:eastAsia="Calibri" w:hAnsi="Times New Roman" w:cs="Times New Roman"/>
          <w:sz w:val="24"/>
          <w:szCs w:val="24"/>
        </w:rPr>
        <w:t xml:space="preserve"> million</w:t>
      </w:r>
      <w:r w:rsidRPr="00B40308">
        <w:rPr>
          <w:rFonts w:ascii="Times New Roman" w:eastAsia="Calibri" w:hAnsi="Times New Roman" w:cs="Times New Roman"/>
          <w:sz w:val="24"/>
          <w:szCs w:val="24"/>
        </w:rPr>
        <w:t xml:space="preserve"> was recorded at the end of the period under review. Expenditure at the end of the First Quarter for the 2016/17 financial year was R35.7 million or 19 per cent of the annual budget allocation of R190.</w:t>
      </w:r>
      <w:r w:rsidR="003A3D48" w:rsidRPr="00B40308">
        <w:rPr>
          <w:rFonts w:ascii="Times New Roman" w:eastAsia="Calibri" w:hAnsi="Times New Roman" w:cs="Times New Roman"/>
          <w:sz w:val="24"/>
          <w:szCs w:val="24"/>
        </w:rPr>
        <w:t>668</w:t>
      </w:r>
      <w:r w:rsidRPr="00B40308">
        <w:rPr>
          <w:rFonts w:ascii="Times New Roman" w:eastAsia="Calibri" w:hAnsi="Times New Roman" w:cs="Times New Roman"/>
          <w:sz w:val="24"/>
          <w:szCs w:val="24"/>
        </w:rPr>
        <w:t xml:space="preserve"> million. </w:t>
      </w:r>
      <w:r w:rsidR="000100F1" w:rsidRPr="00B40308">
        <w:rPr>
          <w:rFonts w:ascii="Times New Roman" w:eastAsia="Calibri" w:hAnsi="Times New Roman" w:cs="Times New Roman"/>
          <w:sz w:val="24"/>
          <w:szCs w:val="24"/>
        </w:rPr>
        <w:t xml:space="preserve">Parliament reported that no variances were expected in terms of the Programme’s budget allocation at the end of the financial year. </w:t>
      </w:r>
    </w:p>
    <w:p w:rsidR="0091311C" w:rsidRPr="00B40308" w:rsidRDefault="00DF0015"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3.1.3</w:t>
      </w:r>
      <w:r w:rsidRPr="00B40308">
        <w:rPr>
          <w:rFonts w:ascii="Times New Roman" w:eastAsia="Calibri" w:hAnsi="Times New Roman" w:cs="Times New Roman"/>
          <w:sz w:val="24"/>
          <w:szCs w:val="24"/>
        </w:rPr>
        <w:tab/>
      </w:r>
      <w:r w:rsidRPr="00B40308">
        <w:rPr>
          <w:rFonts w:ascii="Times New Roman" w:eastAsia="Calibri" w:hAnsi="Times New Roman" w:cs="Times New Roman"/>
          <w:b/>
          <w:sz w:val="24"/>
          <w:szCs w:val="24"/>
        </w:rPr>
        <w:t>Core Business:</w:t>
      </w:r>
      <w:r w:rsidRPr="00B40308">
        <w:rPr>
          <w:rFonts w:ascii="Times New Roman" w:eastAsia="Calibri" w:hAnsi="Times New Roman" w:cs="Times New Roman"/>
          <w:sz w:val="24"/>
          <w:szCs w:val="24"/>
        </w:rPr>
        <w:t xml:space="preserve"> </w:t>
      </w:r>
      <w:r w:rsidR="0091311C" w:rsidRPr="00B40308">
        <w:rPr>
          <w:rFonts w:ascii="Times New Roman" w:eastAsia="Calibri" w:hAnsi="Times New Roman" w:cs="Times New Roman"/>
          <w:sz w:val="24"/>
          <w:szCs w:val="24"/>
        </w:rPr>
        <w:t>An expenditure of R246</w:t>
      </w:r>
      <w:r w:rsidR="001A4B5E" w:rsidRPr="00B40308">
        <w:rPr>
          <w:rFonts w:ascii="Times New Roman" w:eastAsia="Calibri" w:hAnsi="Times New Roman" w:cs="Times New Roman"/>
          <w:sz w:val="24"/>
          <w:szCs w:val="24"/>
        </w:rPr>
        <w:t>.</w:t>
      </w:r>
      <w:r w:rsidR="0091311C" w:rsidRPr="00B40308">
        <w:rPr>
          <w:rFonts w:ascii="Times New Roman" w:eastAsia="Calibri" w:hAnsi="Times New Roman" w:cs="Times New Roman"/>
          <w:sz w:val="24"/>
          <w:szCs w:val="24"/>
        </w:rPr>
        <w:t>405</w:t>
      </w:r>
      <w:r w:rsidR="001A4B5E" w:rsidRPr="00B40308">
        <w:rPr>
          <w:rFonts w:ascii="Times New Roman" w:eastAsia="Calibri" w:hAnsi="Times New Roman" w:cs="Times New Roman"/>
          <w:sz w:val="24"/>
          <w:szCs w:val="24"/>
        </w:rPr>
        <w:t xml:space="preserve"> million</w:t>
      </w:r>
      <w:r w:rsidR="000100F1" w:rsidRPr="00B40308">
        <w:rPr>
          <w:rFonts w:ascii="Times New Roman" w:eastAsia="Calibri" w:hAnsi="Times New Roman" w:cs="Times New Roman"/>
          <w:sz w:val="24"/>
          <w:szCs w:val="24"/>
        </w:rPr>
        <w:t xml:space="preserve"> </w:t>
      </w:r>
      <w:r w:rsidR="0091311C" w:rsidRPr="00B40308">
        <w:rPr>
          <w:rFonts w:ascii="Times New Roman" w:eastAsia="Calibri" w:hAnsi="Times New Roman" w:cs="Times New Roman"/>
          <w:sz w:val="24"/>
          <w:szCs w:val="24"/>
        </w:rPr>
        <w:t>or 86 per cent of the projected R285</w:t>
      </w:r>
      <w:r w:rsidR="001A4B5E" w:rsidRPr="00B40308">
        <w:rPr>
          <w:rFonts w:ascii="Times New Roman" w:eastAsia="Calibri" w:hAnsi="Times New Roman" w:cs="Times New Roman"/>
          <w:sz w:val="24"/>
          <w:szCs w:val="24"/>
        </w:rPr>
        <w:t>.</w:t>
      </w:r>
      <w:r w:rsidR="0091311C" w:rsidRPr="00B40308">
        <w:rPr>
          <w:rFonts w:ascii="Times New Roman" w:eastAsia="Calibri" w:hAnsi="Times New Roman" w:cs="Times New Roman"/>
          <w:sz w:val="24"/>
          <w:szCs w:val="24"/>
        </w:rPr>
        <w:t>794</w:t>
      </w:r>
      <w:r w:rsidR="001A4B5E" w:rsidRPr="00B40308">
        <w:rPr>
          <w:rFonts w:ascii="Times New Roman" w:eastAsia="Calibri" w:hAnsi="Times New Roman" w:cs="Times New Roman"/>
          <w:sz w:val="24"/>
          <w:szCs w:val="24"/>
        </w:rPr>
        <w:t xml:space="preserve"> million</w:t>
      </w:r>
      <w:r w:rsidR="0091311C" w:rsidRPr="00B40308">
        <w:rPr>
          <w:rFonts w:ascii="Times New Roman" w:eastAsia="Calibri" w:hAnsi="Times New Roman" w:cs="Times New Roman"/>
          <w:sz w:val="24"/>
          <w:szCs w:val="24"/>
        </w:rPr>
        <w:t xml:space="preserve"> was recorded at the end of the period under review. </w:t>
      </w:r>
      <w:r w:rsidR="0092029F" w:rsidRPr="00B40308">
        <w:rPr>
          <w:rFonts w:ascii="Times New Roman" w:eastAsia="Calibri" w:hAnsi="Times New Roman" w:cs="Times New Roman"/>
          <w:sz w:val="24"/>
          <w:szCs w:val="24"/>
        </w:rPr>
        <w:t>In terms of the annual budget allocation of R571.587 million for the programme, Parliament ha</w:t>
      </w:r>
      <w:r w:rsidR="001A4B5E" w:rsidRPr="00B40308">
        <w:rPr>
          <w:rFonts w:ascii="Times New Roman" w:eastAsia="Calibri" w:hAnsi="Times New Roman" w:cs="Times New Roman"/>
          <w:sz w:val="24"/>
          <w:szCs w:val="24"/>
        </w:rPr>
        <w:t>d</w:t>
      </w:r>
      <w:r w:rsidR="0092029F" w:rsidRPr="00B40308">
        <w:rPr>
          <w:rFonts w:ascii="Times New Roman" w:eastAsia="Calibri" w:hAnsi="Times New Roman" w:cs="Times New Roman"/>
          <w:sz w:val="24"/>
          <w:szCs w:val="24"/>
        </w:rPr>
        <w:t xml:space="preserve"> spent 43 per cent </w:t>
      </w:r>
      <w:r w:rsidR="001A4B5E" w:rsidRPr="00B40308">
        <w:rPr>
          <w:rFonts w:ascii="Times New Roman" w:eastAsia="Calibri" w:hAnsi="Times New Roman" w:cs="Times New Roman"/>
          <w:sz w:val="24"/>
          <w:szCs w:val="24"/>
        </w:rPr>
        <w:t xml:space="preserve">of the Programme’s allocations as </w:t>
      </w:r>
      <w:r w:rsidR="0092029F" w:rsidRPr="00B40308">
        <w:rPr>
          <w:rFonts w:ascii="Times New Roman" w:eastAsia="Calibri" w:hAnsi="Times New Roman" w:cs="Times New Roman"/>
          <w:sz w:val="24"/>
          <w:szCs w:val="24"/>
        </w:rPr>
        <w:t xml:space="preserve">at the end of the second quarter of 2016. </w:t>
      </w:r>
      <w:r w:rsidR="0091311C" w:rsidRPr="00B40308">
        <w:rPr>
          <w:rFonts w:ascii="Times New Roman" w:eastAsia="Calibri" w:hAnsi="Times New Roman" w:cs="Times New Roman"/>
          <w:sz w:val="24"/>
          <w:szCs w:val="24"/>
        </w:rPr>
        <w:t xml:space="preserve">Expenditure at the end of the </w:t>
      </w:r>
      <w:r w:rsidR="004420D5" w:rsidRPr="00B40308">
        <w:rPr>
          <w:rFonts w:ascii="Times New Roman" w:eastAsia="Calibri" w:hAnsi="Times New Roman" w:cs="Times New Roman"/>
          <w:sz w:val="24"/>
          <w:szCs w:val="24"/>
        </w:rPr>
        <w:t>f</w:t>
      </w:r>
      <w:r w:rsidR="0091311C" w:rsidRPr="00B40308">
        <w:rPr>
          <w:rFonts w:ascii="Times New Roman" w:eastAsia="Calibri" w:hAnsi="Times New Roman" w:cs="Times New Roman"/>
          <w:sz w:val="24"/>
          <w:szCs w:val="24"/>
        </w:rPr>
        <w:t xml:space="preserve">irst </w:t>
      </w:r>
      <w:r w:rsidR="004420D5" w:rsidRPr="00B40308">
        <w:rPr>
          <w:rFonts w:ascii="Times New Roman" w:eastAsia="Calibri" w:hAnsi="Times New Roman" w:cs="Times New Roman"/>
          <w:sz w:val="24"/>
          <w:szCs w:val="24"/>
        </w:rPr>
        <w:t>q</w:t>
      </w:r>
      <w:r w:rsidR="0091311C" w:rsidRPr="00B40308">
        <w:rPr>
          <w:rFonts w:ascii="Times New Roman" w:eastAsia="Calibri" w:hAnsi="Times New Roman" w:cs="Times New Roman"/>
          <w:sz w:val="24"/>
          <w:szCs w:val="24"/>
        </w:rPr>
        <w:t>uarter for t</w:t>
      </w:r>
      <w:r w:rsidR="000100F1" w:rsidRPr="00B40308">
        <w:rPr>
          <w:rFonts w:ascii="Times New Roman" w:eastAsia="Calibri" w:hAnsi="Times New Roman" w:cs="Times New Roman"/>
          <w:sz w:val="24"/>
          <w:szCs w:val="24"/>
        </w:rPr>
        <w:t xml:space="preserve">he </w:t>
      </w:r>
      <w:r w:rsidR="0092029F" w:rsidRPr="00B40308">
        <w:rPr>
          <w:rFonts w:ascii="Times New Roman" w:eastAsia="Calibri" w:hAnsi="Times New Roman" w:cs="Times New Roman"/>
          <w:sz w:val="24"/>
          <w:szCs w:val="24"/>
        </w:rPr>
        <w:t>2016/17 financial year was R124.873</w:t>
      </w:r>
      <w:r w:rsidR="0091311C" w:rsidRPr="00B40308">
        <w:rPr>
          <w:rFonts w:ascii="Times New Roman" w:eastAsia="Calibri" w:hAnsi="Times New Roman" w:cs="Times New Roman"/>
          <w:sz w:val="24"/>
          <w:szCs w:val="24"/>
        </w:rPr>
        <w:t xml:space="preserve"> million or </w:t>
      </w:r>
      <w:r w:rsidR="0092029F" w:rsidRPr="00B40308">
        <w:rPr>
          <w:rFonts w:ascii="Times New Roman" w:eastAsia="Calibri" w:hAnsi="Times New Roman" w:cs="Times New Roman"/>
          <w:sz w:val="24"/>
          <w:szCs w:val="24"/>
        </w:rPr>
        <w:t>22</w:t>
      </w:r>
      <w:r w:rsidR="00F57ED5" w:rsidRPr="00B40308">
        <w:rPr>
          <w:rFonts w:ascii="Times New Roman" w:eastAsia="Calibri" w:hAnsi="Times New Roman" w:cs="Times New Roman"/>
          <w:sz w:val="24"/>
          <w:szCs w:val="24"/>
        </w:rPr>
        <w:t xml:space="preserve"> </w:t>
      </w:r>
      <w:r w:rsidR="0091311C" w:rsidRPr="00B40308">
        <w:rPr>
          <w:rFonts w:ascii="Times New Roman" w:eastAsia="Calibri" w:hAnsi="Times New Roman" w:cs="Times New Roman"/>
          <w:sz w:val="24"/>
          <w:szCs w:val="24"/>
        </w:rPr>
        <w:t>per cent</w:t>
      </w:r>
      <w:r w:rsidR="0092029F" w:rsidRPr="00B40308">
        <w:rPr>
          <w:rFonts w:ascii="Times New Roman" w:eastAsia="Calibri" w:hAnsi="Times New Roman" w:cs="Times New Roman"/>
          <w:sz w:val="24"/>
          <w:szCs w:val="24"/>
        </w:rPr>
        <w:t>.</w:t>
      </w:r>
      <w:r w:rsidR="0091311C" w:rsidRPr="00B40308">
        <w:rPr>
          <w:rFonts w:ascii="Times New Roman" w:eastAsia="Calibri" w:hAnsi="Times New Roman" w:cs="Times New Roman"/>
          <w:sz w:val="24"/>
          <w:szCs w:val="24"/>
        </w:rPr>
        <w:t xml:space="preserve"> </w:t>
      </w:r>
      <w:r w:rsidR="000100F1" w:rsidRPr="00B40308">
        <w:rPr>
          <w:rFonts w:ascii="Times New Roman" w:eastAsia="Calibri" w:hAnsi="Times New Roman" w:cs="Times New Roman"/>
          <w:sz w:val="24"/>
          <w:szCs w:val="24"/>
        </w:rPr>
        <w:t xml:space="preserve">Parliament reported that no variances were expected in terms of the Programme’s budget allocation at the end of the financial year. </w:t>
      </w:r>
    </w:p>
    <w:p w:rsidR="00F57ED5" w:rsidRPr="00B40308" w:rsidRDefault="000100F1"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3.1.4</w:t>
      </w:r>
      <w:r w:rsidRPr="00B40308">
        <w:rPr>
          <w:rFonts w:ascii="Times New Roman" w:eastAsia="Calibri" w:hAnsi="Times New Roman" w:cs="Times New Roman"/>
          <w:sz w:val="24"/>
          <w:szCs w:val="24"/>
        </w:rPr>
        <w:tab/>
      </w:r>
      <w:r w:rsidR="00F57ED5" w:rsidRPr="00B40308">
        <w:rPr>
          <w:rFonts w:ascii="Times New Roman" w:eastAsia="Calibri" w:hAnsi="Times New Roman" w:cs="Times New Roman"/>
          <w:b/>
          <w:sz w:val="24"/>
          <w:szCs w:val="24"/>
        </w:rPr>
        <w:t>Support Services:</w:t>
      </w:r>
      <w:r w:rsidR="00F57ED5" w:rsidRPr="00B40308">
        <w:rPr>
          <w:rFonts w:ascii="Times New Roman" w:eastAsia="Calibri" w:hAnsi="Times New Roman" w:cs="Times New Roman"/>
          <w:sz w:val="24"/>
          <w:szCs w:val="24"/>
        </w:rPr>
        <w:t xml:space="preserve"> An expenditure of R158.499</w:t>
      </w:r>
      <w:r w:rsidR="001A4B5E" w:rsidRPr="00B40308">
        <w:rPr>
          <w:rFonts w:ascii="Times New Roman" w:eastAsia="Calibri" w:hAnsi="Times New Roman" w:cs="Times New Roman"/>
          <w:sz w:val="24"/>
          <w:szCs w:val="24"/>
        </w:rPr>
        <w:t xml:space="preserve"> million</w:t>
      </w:r>
      <w:r w:rsidR="00F57ED5" w:rsidRPr="00B40308">
        <w:rPr>
          <w:rFonts w:ascii="Times New Roman" w:eastAsia="Calibri" w:hAnsi="Times New Roman" w:cs="Times New Roman"/>
          <w:sz w:val="24"/>
          <w:szCs w:val="24"/>
        </w:rPr>
        <w:t xml:space="preserve"> or 86 per cent of the projected R184.697 </w:t>
      </w:r>
      <w:r w:rsidR="001A4B5E" w:rsidRPr="00B40308">
        <w:rPr>
          <w:rFonts w:ascii="Times New Roman" w:eastAsia="Calibri" w:hAnsi="Times New Roman" w:cs="Times New Roman"/>
          <w:sz w:val="24"/>
          <w:szCs w:val="24"/>
        </w:rPr>
        <w:t xml:space="preserve">million </w:t>
      </w:r>
      <w:r w:rsidR="00F57ED5" w:rsidRPr="00B40308">
        <w:rPr>
          <w:rFonts w:ascii="Times New Roman" w:eastAsia="Calibri" w:hAnsi="Times New Roman" w:cs="Times New Roman"/>
          <w:sz w:val="24"/>
          <w:szCs w:val="24"/>
        </w:rPr>
        <w:t>was recorded at the end of the period under review. In terms of the annual budget allocation of R370.621 million for the programme, Parliament ha</w:t>
      </w:r>
      <w:r w:rsidR="001A4B5E" w:rsidRPr="00B40308">
        <w:rPr>
          <w:rFonts w:ascii="Times New Roman" w:eastAsia="Calibri" w:hAnsi="Times New Roman" w:cs="Times New Roman"/>
          <w:sz w:val="24"/>
          <w:szCs w:val="24"/>
        </w:rPr>
        <w:t>d</w:t>
      </w:r>
      <w:r w:rsidR="00F57ED5" w:rsidRPr="00B40308">
        <w:rPr>
          <w:rFonts w:ascii="Times New Roman" w:eastAsia="Calibri" w:hAnsi="Times New Roman" w:cs="Times New Roman"/>
          <w:sz w:val="24"/>
          <w:szCs w:val="24"/>
        </w:rPr>
        <w:t xml:space="preserve"> spent 42 per cent </w:t>
      </w:r>
      <w:r w:rsidR="001A4B5E" w:rsidRPr="00B40308">
        <w:rPr>
          <w:rFonts w:ascii="Times New Roman" w:eastAsia="Calibri" w:hAnsi="Times New Roman" w:cs="Times New Roman"/>
          <w:sz w:val="24"/>
          <w:szCs w:val="24"/>
        </w:rPr>
        <w:t xml:space="preserve">of the Programme’s allocations as </w:t>
      </w:r>
      <w:r w:rsidR="00F57ED5" w:rsidRPr="00B40308">
        <w:rPr>
          <w:rFonts w:ascii="Times New Roman" w:eastAsia="Calibri" w:hAnsi="Times New Roman" w:cs="Times New Roman"/>
          <w:sz w:val="24"/>
          <w:szCs w:val="24"/>
        </w:rPr>
        <w:t xml:space="preserve">at the end of the second quarter of 2016. Expenditure at the end of the </w:t>
      </w:r>
      <w:r w:rsidR="004420D5" w:rsidRPr="00B40308">
        <w:rPr>
          <w:rFonts w:ascii="Times New Roman" w:eastAsia="Calibri" w:hAnsi="Times New Roman" w:cs="Times New Roman"/>
          <w:sz w:val="24"/>
          <w:szCs w:val="24"/>
        </w:rPr>
        <w:t>f</w:t>
      </w:r>
      <w:r w:rsidR="00F57ED5" w:rsidRPr="00B40308">
        <w:rPr>
          <w:rFonts w:ascii="Times New Roman" w:eastAsia="Calibri" w:hAnsi="Times New Roman" w:cs="Times New Roman"/>
          <w:sz w:val="24"/>
          <w:szCs w:val="24"/>
        </w:rPr>
        <w:t xml:space="preserve">irst </w:t>
      </w:r>
      <w:r w:rsidR="004420D5" w:rsidRPr="00B40308">
        <w:rPr>
          <w:rFonts w:ascii="Times New Roman" w:eastAsia="Calibri" w:hAnsi="Times New Roman" w:cs="Times New Roman"/>
          <w:sz w:val="24"/>
          <w:szCs w:val="24"/>
        </w:rPr>
        <w:t>q</w:t>
      </w:r>
      <w:r w:rsidR="00F57ED5" w:rsidRPr="00B40308">
        <w:rPr>
          <w:rFonts w:ascii="Times New Roman" w:eastAsia="Calibri" w:hAnsi="Times New Roman" w:cs="Times New Roman"/>
          <w:sz w:val="24"/>
          <w:szCs w:val="24"/>
        </w:rPr>
        <w:t xml:space="preserve">uarter for the 2016/17 financial year was R77.014 million or 21 per cent. Parliament reported that no variances were expected in terms of the Programme’s budget allocation at the end of the financial year. </w:t>
      </w:r>
    </w:p>
    <w:p w:rsidR="00297A32" w:rsidRPr="00B40308" w:rsidRDefault="00375E3A"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3.1.5</w:t>
      </w:r>
      <w:r w:rsidRPr="00B40308">
        <w:rPr>
          <w:rFonts w:ascii="Times New Roman" w:eastAsia="Calibri" w:hAnsi="Times New Roman" w:cs="Times New Roman"/>
          <w:sz w:val="24"/>
          <w:szCs w:val="24"/>
        </w:rPr>
        <w:tab/>
      </w:r>
      <w:r w:rsidRPr="00B40308">
        <w:rPr>
          <w:rFonts w:ascii="Times New Roman" w:eastAsia="Calibri" w:hAnsi="Times New Roman" w:cs="Times New Roman"/>
          <w:b/>
          <w:sz w:val="24"/>
          <w:szCs w:val="24"/>
        </w:rPr>
        <w:t>Associated Services:</w:t>
      </w:r>
      <w:r w:rsidRPr="00B40308">
        <w:rPr>
          <w:rFonts w:ascii="Times New Roman" w:eastAsia="Calibri" w:hAnsi="Times New Roman" w:cs="Times New Roman"/>
          <w:sz w:val="24"/>
          <w:szCs w:val="24"/>
        </w:rPr>
        <w:t xml:space="preserve"> An expenditure of R303.7</w:t>
      </w:r>
      <w:r w:rsidR="001A4B5E" w:rsidRPr="00B40308">
        <w:rPr>
          <w:rFonts w:ascii="Times New Roman" w:eastAsia="Calibri" w:hAnsi="Times New Roman" w:cs="Times New Roman"/>
          <w:sz w:val="24"/>
          <w:szCs w:val="24"/>
        </w:rPr>
        <w:t>51</w:t>
      </w:r>
      <w:r w:rsidRPr="00B40308">
        <w:rPr>
          <w:rFonts w:ascii="Times New Roman" w:eastAsia="Calibri" w:hAnsi="Times New Roman" w:cs="Times New Roman"/>
          <w:sz w:val="24"/>
          <w:szCs w:val="24"/>
        </w:rPr>
        <w:t xml:space="preserve"> or 100 per cent of the projected </w:t>
      </w:r>
      <w:r w:rsidR="001A4B5E" w:rsidRPr="00B40308">
        <w:rPr>
          <w:rFonts w:ascii="Times New Roman" w:eastAsia="Calibri" w:hAnsi="Times New Roman" w:cs="Times New Roman"/>
          <w:sz w:val="24"/>
          <w:szCs w:val="24"/>
        </w:rPr>
        <w:t>budget</w:t>
      </w:r>
      <w:r w:rsidRPr="00B40308">
        <w:rPr>
          <w:rFonts w:ascii="Times New Roman" w:eastAsia="Calibri" w:hAnsi="Times New Roman" w:cs="Times New Roman"/>
          <w:sz w:val="24"/>
          <w:szCs w:val="24"/>
        </w:rPr>
        <w:t xml:space="preserve"> was recorded at the end of the period under review. In terms of the annual budget allocation of R610.448 million for the programme, Parliament ha</w:t>
      </w:r>
      <w:r w:rsidR="001A4B5E" w:rsidRPr="00B40308">
        <w:rPr>
          <w:rFonts w:ascii="Times New Roman" w:eastAsia="Calibri" w:hAnsi="Times New Roman" w:cs="Times New Roman"/>
          <w:sz w:val="24"/>
          <w:szCs w:val="24"/>
        </w:rPr>
        <w:t>d</w:t>
      </w:r>
      <w:r w:rsidRPr="00B40308">
        <w:rPr>
          <w:rFonts w:ascii="Times New Roman" w:eastAsia="Calibri" w:hAnsi="Times New Roman" w:cs="Times New Roman"/>
          <w:sz w:val="24"/>
          <w:szCs w:val="24"/>
        </w:rPr>
        <w:t xml:space="preserve"> spent 50 per cent </w:t>
      </w:r>
      <w:r w:rsidR="001A4B5E" w:rsidRPr="00B40308">
        <w:rPr>
          <w:rFonts w:ascii="Times New Roman" w:eastAsia="Calibri" w:hAnsi="Times New Roman" w:cs="Times New Roman"/>
          <w:sz w:val="24"/>
          <w:szCs w:val="24"/>
        </w:rPr>
        <w:t xml:space="preserve">of the Programme’s allocations as </w:t>
      </w:r>
      <w:r w:rsidRPr="00B40308">
        <w:rPr>
          <w:rFonts w:ascii="Times New Roman" w:eastAsia="Calibri" w:hAnsi="Times New Roman" w:cs="Times New Roman"/>
          <w:sz w:val="24"/>
          <w:szCs w:val="24"/>
        </w:rPr>
        <w:t xml:space="preserve">at the end of the second quarter of 2016. Expenditure at the end of the </w:t>
      </w:r>
      <w:r w:rsidR="004420D5" w:rsidRPr="00B40308">
        <w:rPr>
          <w:rFonts w:ascii="Times New Roman" w:eastAsia="Calibri" w:hAnsi="Times New Roman" w:cs="Times New Roman"/>
          <w:sz w:val="24"/>
          <w:szCs w:val="24"/>
        </w:rPr>
        <w:t>f</w:t>
      </w:r>
      <w:r w:rsidRPr="00B40308">
        <w:rPr>
          <w:rFonts w:ascii="Times New Roman" w:eastAsia="Calibri" w:hAnsi="Times New Roman" w:cs="Times New Roman"/>
          <w:sz w:val="24"/>
          <w:szCs w:val="24"/>
        </w:rPr>
        <w:t xml:space="preserve">irst </w:t>
      </w:r>
      <w:r w:rsidR="004420D5" w:rsidRPr="00B40308">
        <w:rPr>
          <w:rFonts w:ascii="Times New Roman" w:eastAsia="Calibri" w:hAnsi="Times New Roman" w:cs="Times New Roman"/>
          <w:sz w:val="24"/>
          <w:szCs w:val="24"/>
        </w:rPr>
        <w:t>q</w:t>
      </w:r>
      <w:r w:rsidRPr="00B40308">
        <w:rPr>
          <w:rFonts w:ascii="Times New Roman" w:eastAsia="Calibri" w:hAnsi="Times New Roman" w:cs="Times New Roman"/>
          <w:sz w:val="24"/>
          <w:szCs w:val="24"/>
        </w:rPr>
        <w:t xml:space="preserve">uarter for the 2016/17 financial year was </w:t>
      </w:r>
      <w:r w:rsidR="00AD292E" w:rsidRPr="00B40308">
        <w:rPr>
          <w:rFonts w:ascii="Times New Roman" w:eastAsia="Calibri" w:hAnsi="Times New Roman" w:cs="Times New Roman"/>
          <w:sz w:val="24"/>
          <w:szCs w:val="24"/>
        </w:rPr>
        <w:t>R156.158</w:t>
      </w:r>
      <w:r w:rsidRPr="00B40308">
        <w:rPr>
          <w:rFonts w:ascii="Times New Roman" w:eastAsia="Calibri" w:hAnsi="Times New Roman" w:cs="Times New Roman"/>
          <w:sz w:val="24"/>
          <w:szCs w:val="24"/>
        </w:rPr>
        <w:t xml:space="preserve"> million or </w:t>
      </w:r>
      <w:r w:rsidR="0058269F" w:rsidRPr="00B40308">
        <w:rPr>
          <w:rFonts w:ascii="Times New Roman" w:eastAsia="Calibri" w:hAnsi="Times New Roman" w:cs="Times New Roman"/>
          <w:sz w:val="24"/>
          <w:szCs w:val="24"/>
        </w:rPr>
        <w:t>26</w:t>
      </w:r>
      <w:r w:rsidRPr="00B40308">
        <w:rPr>
          <w:rFonts w:ascii="Times New Roman" w:eastAsia="Calibri" w:hAnsi="Times New Roman" w:cs="Times New Roman"/>
          <w:sz w:val="24"/>
          <w:szCs w:val="24"/>
        </w:rPr>
        <w:t xml:space="preserve"> per cent. Parliament reported that</w:t>
      </w:r>
      <w:r w:rsidR="00AD292E" w:rsidRPr="00B40308">
        <w:rPr>
          <w:rFonts w:ascii="Times New Roman" w:eastAsia="Calibri" w:hAnsi="Times New Roman" w:cs="Times New Roman"/>
          <w:sz w:val="24"/>
          <w:szCs w:val="24"/>
        </w:rPr>
        <w:t xml:space="preserve"> indications were that this allocation would be over spent by about R10.5 million at the end of the 2016/17 financial year.</w:t>
      </w:r>
    </w:p>
    <w:p w:rsidR="00AD292E" w:rsidRPr="00B40308" w:rsidRDefault="00AD292E"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3.1.6</w:t>
      </w:r>
      <w:r w:rsidRPr="00B40308">
        <w:rPr>
          <w:rFonts w:ascii="Times New Roman" w:eastAsia="Calibri" w:hAnsi="Times New Roman" w:cs="Times New Roman"/>
          <w:sz w:val="24"/>
          <w:szCs w:val="24"/>
        </w:rPr>
        <w:tab/>
        <w:t xml:space="preserve">With regard to the under expenditure on </w:t>
      </w:r>
      <w:r w:rsidRPr="00B40308">
        <w:rPr>
          <w:rFonts w:ascii="Times New Roman" w:eastAsia="Calibri" w:hAnsi="Times New Roman" w:cs="Times New Roman"/>
          <w:b/>
          <w:sz w:val="24"/>
          <w:szCs w:val="24"/>
        </w:rPr>
        <w:t>Direct Charges</w:t>
      </w:r>
      <w:r w:rsidRPr="00B40308">
        <w:rPr>
          <w:rFonts w:ascii="Times New Roman" w:eastAsia="Calibri" w:hAnsi="Times New Roman" w:cs="Times New Roman"/>
          <w:sz w:val="24"/>
          <w:szCs w:val="24"/>
        </w:rPr>
        <w:t xml:space="preserve">, Parliament reported that there were indications that R72.8 million will be surrendered to the </w:t>
      </w:r>
      <w:r w:rsidR="00D25083" w:rsidRPr="00B40308">
        <w:rPr>
          <w:rFonts w:ascii="Times New Roman" w:eastAsia="Calibri" w:hAnsi="Times New Roman" w:cs="Times New Roman"/>
          <w:sz w:val="24"/>
          <w:szCs w:val="24"/>
        </w:rPr>
        <w:t>National Revenue</w:t>
      </w:r>
      <w:r w:rsidRPr="00B40308">
        <w:rPr>
          <w:rFonts w:ascii="Times New Roman" w:eastAsia="Calibri" w:hAnsi="Times New Roman" w:cs="Times New Roman"/>
          <w:sz w:val="24"/>
          <w:szCs w:val="24"/>
        </w:rPr>
        <w:t xml:space="preserve"> Fund at the end of the 2016/17 financial year. A higher budget </w:t>
      </w:r>
      <w:r w:rsidR="00D25083" w:rsidRPr="00B40308">
        <w:rPr>
          <w:rFonts w:ascii="Times New Roman" w:eastAsia="Calibri" w:hAnsi="Times New Roman" w:cs="Times New Roman"/>
          <w:sz w:val="24"/>
          <w:szCs w:val="24"/>
        </w:rPr>
        <w:t>has been</w:t>
      </w:r>
      <w:r w:rsidRPr="00B40308">
        <w:rPr>
          <w:rFonts w:ascii="Times New Roman" w:eastAsia="Calibri" w:hAnsi="Times New Roman" w:cs="Times New Roman"/>
          <w:sz w:val="24"/>
          <w:szCs w:val="24"/>
        </w:rPr>
        <w:t xml:space="preserve"> allocated on an incremental basis since 2009. </w:t>
      </w:r>
    </w:p>
    <w:p w:rsidR="00AD292E" w:rsidRPr="00B40308" w:rsidRDefault="00AD292E" w:rsidP="00B40308">
      <w:pPr>
        <w:spacing w:before="120" w:after="120" w:line="240" w:lineRule="auto"/>
        <w:ind w:left="720" w:hanging="720"/>
        <w:jc w:val="both"/>
        <w:rPr>
          <w:rFonts w:ascii="Times New Roman" w:eastAsia="Calibri" w:hAnsi="Times New Roman" w:cs="Times New Roman"/>
          <w:sz w:val="24"/>
          <w:szCs w:val="24"/>
        </w:rPr>
      </w:pPr>
    </w:p>
    <w:p w:rsidR="00B40308" w:rsidRDefault="00B4030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821866" w:rsidRPr="00B40308" w:rsidRDefault="00510BE5"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lastRenderedPageBreak/>
        <w:t>3.2</w:t>
      </w:r>
      <w:r w:rsidRPr="00B40308">
        <w:rPr>
          <w:rFonts w:ascii="Times New Roman" w:eastAsia="Calibri" w:hAnsi="Times New Roman" w:cs="Times New Roman"/>
          <w:b/>
          <w:sz w:val="24"/>
          <w:szCs w:val="24"/>
        </w:rPr>
        <w:tab/>
        <w:t xml:space="preserve">Expenditure </w:t>
      </w:r>
      <w:r w:rsidR="004420D5" w:rsidRPr="00B40308">
        <w:rPr>
          <w:rFonts w:ascii="Times New Roman" w:eastAsia="Calibri" w:hAnsi="Times New Roman" w:cs="Times New Roman"/>
          <w:b/>
          <w:sz w:val="24"/>
          <w:szCs w:val="24"/>
        </w:rPr>
        <w:t>by</w:t>
      </w:r>
      <w:r w:rsidRPr="00B40308">
        <w:rPr>
          <w:rFonts w:ascii="Times New Roman" w:eastAsia="Calibri" w:hAnsi="Times New Roman" w:cs="Times New Roman"/>
          <w:b/>
          <w:sz w:val="24"/>
          <w:szCs w:val="24"/>
        </w:rPr>
        <w:t xml:space="preserve"> Economic Classification</w:t>
      </w:r>
    </w:p>
    <w:p w:rsidR="004420D5" w:rsidRPr="00B40308" w:rsidRDefault="004420D5"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b/>
          <w:sz w:val="24"/>
          <w:szCs w:val="24"/>
        </w:rPr>
        <w:t>Table 2:</w:t>
      </w:r>
      <w:r w:rsidRPr="00B40308">
        <w:rPr>
          <w:rFonts w:ascii="Times New Roman" w:eastAsia="Calibri" w:hAnsi="Times New Roman" w:cs="Times New Roman"/>
          <w:sz w:val="24"/>
          <w:szCs w:val="24"/>
        </w:rPr>
        <w:t xml:space="preserve"> Expenditure performance by economic classification as at 30 September 2016</w:t>
      </w:r>
    </w:p>
    <w:tbl>
      <w:tblPr>
        <w:tblStyle w:val="TableGrid"/>
        <w:tblW w:w="0" w:type="auto"/>
        <w:tblInd w:w="108" w:type="dxa"/>
        <w:tblLayout w:type="fixed"/>
        <w:tblLook w:val="04A0" w:firstRow="1" w:lastRow="0" w:firstColumn="1" w:lastColumn="0" w:noHBand="0" w:noVBand="1"/>
      </w:tblPr>
      <w:tblGrid>
        <w:gridCol w:w="1730"/>
        <w:gridCol w:w="992"/>
        <w:gridCol w:w="1276"/>
        <w:gridCol w:w="851"/>
        <w:gridCol w:w="1134"/>
        <w:gridCol w:w="953"/>
        <w:gridCol w:w="1088"/>
        <w:gridCol w:w="884"/>
      </w:tblGrid>
      <w:tr w:rsidR="00EC4E6B" w:rsidRPr="00B40308" w:rsidTr="00324DBA">
        <w:tc>
          <w:tcPr>
            <w:tcW w:w="1730" w:type="dxa"/>
          </w:tcPr>
          <w:p w:rsidR="00EC4E6B" w:rsidRPr="00B40308" w:rsidRDefault="00EC4E6B" w:rsidP="00B40308">
            <w:pPr>
              <w:spacing w:before="120" w:after="120"/>
              <w:jc w:val="center"/>
              <w:rPr>
                <w:rFonts w:ascii="Times New Roman" w:eastAsia="Calibri" w:hAnsi="Times New Roman" w:cs="Times New Roman"/>
                <w:b/>
                <w:sz w:val="24"/>
                <w:szCs w:val="24"/>
              </w:rPr>
            </w:pPr>
          </w:p>
        </w:tc>
        <w:tc>
          <w:tcPr>
            <w:tcW w:w="4253" w:type="dxa"/>
            <w:gridSpan w:val="4"/>
          </w:tcPr>
          <w:p w:rsidR="00EC4E6B" w:rsidRPr="00B40308" w:rsidRDefault="00EC4E6B" w:rsidP="00B40308">
            <w:pPr>
              <w:spacing w:before="120" w:after="120"/>
              <w:jc w:val="center"/>
              <w:rPr>
                <w:rFonts w:ascii="Times New Roman" w:eastAsia="Calibri" w:hAnsi="Times New Roman" w:cs="Times New Roman"/>
                <w:b/>
                <w:sz w:val="24"/>
                <w:szCs w:val="24"/>
              </w:rPr>
            </w:pPr>
            <w:r w:rsidRPr="00B40308">
              <w:rPr>
                <w:rFonts w:ascii="Times New Roman" w:eastAsia="Calibri" w:hAnsi="Times New Roman" w:cs="Times New Roman"/>
                <w:b/>
                <w:sz w:val="24"/>
                <w:szCs w:val="24"/>
              </w:rPr>
              <w:t>April to September 2016</w:t>
            </w:r>
          </w:p>
        </w:tc>
        <w:tc>
          <w:tcPr>
            <w:tcW w:w="2925" w:type="dxa"/>
            <w:gridSpan w:val="3"/>
          </w:tcPr>
          <w:p w:rsidR="00EC4E6B" w:rsidRPr="00B40308" w:rsidRDefault="00EC4E6B" w:rsidP="00B40308">
            <w:pPr>
              <w:spacing w:before="120" w:after="120"/>
              <w:jc w:val="center"/>
              <w:rPr>
                <w:rFonts w:ascii="Times New Roman" w:eastAsia="Calibri" w:hAnsi="Times New Roman" w:cs="Times New Roman"/>
                <w:b/>
                <w:sz w:val="24"/>
                <w:szCs w:val="24"/>
              </w:rPr>
            </w:pPr>
            <w:r w:rsidRPr="00B40308">
              <w:rPr>
                <w:rFonts w:ascii="Times New Roman" w:eastAsia="Calibri" w:hAnsi="Times New Roman" w:cs="Times New Roman"/>
                <w:b/>
                <w:sz w:val="24"/>
                <w:szCs w:val="24"/>
              </w:rPr>
              <w:t>Annual</w:t>
            </w:r>
          </w:p>
        </w:tc>
      </w:tr>
      <w:tr w:rsidR="00EC4E6B" w:rsidRPr="00B40308" w:rsidTr="00324DBA">
        <w:tc>
          <w:tcPr>
            <w:tcW w:w="1730" w:type="dxa"/>
          </w:tcPr>
          <w:p w:rsidR="00EC4E6B" w:rsidRPr="00B40308" w:rsidRDefault="00EC4E6B" w:rsidP="00B40308">
            <w:pPr>
              <w:spacing w:before="120" w:after="120"/>
              <w:jc w:val="both"/>
              <w:rPr>
                <w:rFonts w:ascii="Times New Roman" w:eastAsia="Calibri" w:hAnsi="Times New Roman" w:cs="Times New Roman"/>
                <w:b/>
                <w:sz w:val="24"/>
                <w:szCs w:val="24"/>
              </w:rPr>
            </w:pPr>
          </w:p>
        </w:tc>
        <w:tc>
          <w:tcPr>
            <w:tcW w:w="992" w:type="dxa"/>
          </w:tcPr>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Budget</w:t>
            </w:r>
          </w:p>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c>
          <w:tcPr>
            <w:tcW w:w="1276" w:type="dxa"/>
          </w:tcPr>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Expenditure</w:t>
            </w:r>
          </w:p>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c>
          <w:tcPr>
            <w:tcW w:w="851" w:type="dxa"/>
          </w:tcPr>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Spent %</w:t>
            </w:r>
          </w:p>
        </w:tc>
        <w:tc>
          <w:tcPr>
            <w:tcW w:w="1134" w:type="dxa"/>
          </w:tcPr>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Available</w:t>
            </w:r>
          </w:p>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c>
          <w:tcPr>
            <w:tcW w:w="953" w:type="dxa"/>
          </w:tcPr>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Budget</w:t>
            </w:r>
          </w:p>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c>
          <w:tcPr>
            <w:tcW w:w="1088" w:type="dxa"/>
          </w:tcPr>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Projections</w:t>
            </w:r>
          </w:p>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c>
          <w:tcPr>
            <w:tcW w:w="884" w:type="dxa"/>
          </w:tcPr>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Variance</w:t>
            </w:r>
          </w:p>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R’000</w:t>
            </w:r>
          </w:p>
        </w:tc>
      </w:tr>
      <w:tr w:rsidR="00EC4E6B" w:rsidRPr="00B40308" w:rsidTr="00324DBA">
        <w:tc>
          <w:tcPr>
            <w:tcW w:w="1730" w:type="dxa"/>
          </w:tcPr>
          <w:p w:rsidR="00EC4E6B" w:rsidRPr="00B40308" w:rsidRDefault="00EC4E6B" w:rsidP="00B40308">
            <w:pPr>
              <w:spacing w:before="120" w:after="1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Compensation of Members</w:t>
            </w:r>
          </w:p>
        </w:tc>
        <w:tc>
          <w:tcPr>
            <w:tcW w:w="992"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264 899</w:t>
            </w:r>
          </w:p>
        </w:tc>
        <w:tc>
          <w:tcPr>
            <w:tcW w:w="1276"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214 901</w:t>
            </w:r>
          </w:p>
        </w:tc>
        <w:tc>
          <w:tcPr>
            <w:tcW w:w="851"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81%</w:t>
            </w:r>
          </w:p>
        </w:tc>
        <w:tc>
          <w:tcPr>
            <w:tcW w:w="1134"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49 998</w:t>
            </w:r>
          </w:p>
        </w:tc>
        <w:tc>
          <w:tcPr>
            <w:tcW w:w="953"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529 798</w:t>
            </w:r>
          </w:p>
        </w:tc>
        <w:tc>
          <w:tcPr>
            <w:tcW w:w="1088"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456 948</w:t>
            </w:r>
          </w:p>
        </w:tc>
        <w:tc>
          <w:tcPr>
            <w:tcW w:w="884"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72 850</w:t>
            </w:r>
          </w:p>
        </w:tc>
      </w:tr>
      <w:tr w:rsidR="00EC4E6B" w:rsidRPr="00B40308" w:rsidTr="00324DBA">
        <w:tc>
          <w:tcPr>
            <w:tcW w:w="1730" w:type="dxa"/>
          </w:tcPr>
          <w:p w:rsidR="00EC4E6B" w:rsidRPr="00B40308" w:rsidRDefault="00EC4E6B" w:rsidP="00B40308">
            <w:pPr>
              <w:spacing w:before="120" w:after="1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Compensation of Employees</w:t>
            </w:r>
          </w:p>
        </w:tc>
        <w:tc>
          <w:tcPr>
            <w:tcW w:w="992" w:type="dxa"/>
          </w:tcPr>
          <w:p w:rsidR="00EC4E6B" w:rsidRPr="00B40308" w:rsidRDefault="00EC4E6B" w:rsidP="00B40308">
            <w:pPr>
              <w:spacing w:before="120" w:after="120"/>
              <w:jc w:val="center"/>
              <w:rPr>
                <w:rFonts w:ascii="Times New Roman" w:eastAsia="Calibri" w:hAnsi="Times New Roman" w:cs="Times New Roman"/>
                <w:sz w:val="24"/>
                <w:szCs w:val="24"/>
              </w:rPr>
            </w:pPr>
            <w:r w:rsidRPr="00B40308">
              <w:rPr>
                <w:rFonts w:ascii="Times New Roman" w:eastAsia="Calibri" w:hAnsi="Times New Roman" w:cs="Times New Roman"/>
                <w:sz w:val="24"/>
                <w:szCs w:val="24"/>
              </w:rPr>
              <w:t>460 731</w:t>
            </w:r>
          </w:p>
        </w:tc>
        <w:tc>
          <w:tcPr>
            <w:tcW w:w="1276"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433 205</w:t>
            </w:r>
          </w:p>
        </w:tc>
        <w:tc>
          <w:tcPr>
            <w:tcW w:w="851"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94%</w:t>
            </w:r>
          </w:p>
        </w:tc>
        <w:tc>
          <w:tcPr>
            <w:tcW w:w="1134"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27 526</w:t>
            </w:r>
          </w:p>
        </w:tc>
        <w:tc>
          <w:tcPr>
            <w:tcW w:w="953"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921 462</w:t>
            </w:r>
          </w:p>
        </w:tc>
        <w:tc>
          <w:tcPr>
            <w:tcW w:w="1088"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921 462</w:t>
            </w:r>
          </w:p>
        </w:tc>
        <w:tc>
          <w:tcPr>
            <w:tcW w:w="884"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0</w:t>
            </w:r>
          </w:p>
        </w:tc>
      </w:tr>
      <w:tr w:rsidR="00EC4E6B" w:rsidRPr="00B40308" w:rsidTr="00324DBA">
        <w:tc>
          <w:tcPr>
            <w:tcW w:w="1730" w:type="dxa"/>
          </w:tcPr>
          <w:p w:rsidR="00EC4E6B" w:rsidRPr="00B40308" w:rsidRDefault="00EC4E6B" w:rsidP="00B40308">
            <w:pPr>
              <w:spacing w:before="120" w:after="1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Goods and Services</w:t>
            </w:r>
          </w:p>
        </w:tc>
        <w:tc>
          <w:tcPr>
            <w:tcW w:w="992"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258 350</w:t>
            </w:r>
          </w:p>
        </w:tc>
        <w:tc>
          <w:tcPr>
            <w:tcW w:w="1276"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193 853</w:t>
            </w:r>
          </w:p>
        </w:tc>
        <w:tc>
          <w:tcPr>
            <w:tcW w:w="851"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75%</w:t>
            </w:r>
          </w:p>
        </w:tc>
        <w:tc>
          <w:tcPr>
            <w:tcW w:w="1134"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64 497</w:t>
            </w:r>
          </w:p>
        </w:tc>
        <w:tc>
          <w:tcPr>
            <w:tcW w:w="953"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516 700</w:t>
            </w:r>
          </w:p>
        </w:tc>
        <w:tc>
          <w:tcPr>
            <w:tcW w:w="1088"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516 700</w:t>
            </w:r>
          </w:p>
        </w:tc>
        <w:tc>
          <w:tcPr>
            <w:tcW w:w="884"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0</w:t>
            </w:r>
          </w:p>
        </w:tc>
      </w:tr>
      <w:tr w:rsidR="00EC4E6B" w:rsidRPr="00B40308" w:rsidTr="00324DBA">
        <w:tc>
          <w:tcPr>
            <w:tcW w:w="1730" w:type="dxa"/>
          </w:tcPr>
          <w:p w:rsidR="00EC4E6B" w:rsidRPr="00B40308" w:rsidRDefault="00EC4E6B" w:rsidP="00B40308">
            <w:pPr>
              <w:spacing w:before="120" w:after="1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Capital</w:t>
            </w:r>
          </w:p>
        </w:tc>
        <w:tc>
          <w:tcPr>
            <w:tcW w:w="992"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14 502</w:t>
            </w:r>
          </w:p>
        </w:tc>
        <w:tc>
          <w:tcPr>
            <w:tcW w:w="1276"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11 866</w:t>
            </w:r>
          </w:p>
        </w:tc>
        <w:tc>
          <w:tcPr>
            <w:tcW w:w="851"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82%</w:t>
            </w:r>
          </w:p>
        </w:tc>
        <w:tc>
          <w:tcPr>
            <w:tcW w:w="1134"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2 636</w:t>
            </w:r>
          </w:p>
        </w:tc>
        <w:tc>
          <w:tcPr>
            <w:tcW w:w="953"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29 004</w:t>
            </w:r>
          </w:p>
        </w:tc>
        <w:tc>
          <w:tcPr>
            <w:tcW w:w="1088"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29 004</w:t>
            </w:r>
          </w:p>
        </w:tc>
        <w:tc>
          <w:tcPr>
            <w:tcW w:w="884"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0</w:t>
            </w:r>
          </w:p>
        </w:tc>
      </w:tr>
      <w:tr w:rsidR="00EC4E6B" w:rsidRPr="00B40308" w:rsidTr="00324DBA">
        <w:tc>
          <w:tcPr>
            <w:tcW w:w="1730" w:type="dxa"/>
          </w:tcPr>
          <w:p w:rsidR="00EC4E6B" w:rsidRPr="00B40308" w:rsidRDefault="00EC4E6B" w:rsidP="00B40308">
            <w:pPr>
              <w:spacing w:before="120" w:after="1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Transfers</w:t>
            </w:r>
          </w:p>
        </w:tc>
        <w:tc>
          <w:tcPr>
            <w:tcW w:w="992"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192 739</w:t>
            </w:r>
          </w:p>
        </w:tc>
        <w:tc>
          <w:tcPr>
            <w:tcW w:w="1276"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196 049</w:t>
            </w:r>
          </w:p>
        </w:tc>
        <w:tc>
          <w:tcPr>
            <w:tcW w:w="851"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102%</w:t>
            </w:r>
          </w:p>
        </w:tc>
        <w:tc>
          <w:tcPr>
            <w:tcW w:w="1134"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(3 310)</w:t>
            </w:r>
          </w:p>
        </w:tc>
        <w:tc>
          <w:tcPr>
            <w:tcW w:w="953"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385 478</w:t>
            </w:r>
          </w:p>
        </w:tc>
        <w:tc>
          <w:tcPr>
            <w:tcW w:w="1088"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396 004</w:t>
            </w:r>
          </w:p>
        </w:tc>
        <w:tc>
          <w:tcPr>
            <w:tcW w:w="884" w:type="dxa"/>
          </w:tcPr>
          <w:p w:rsidR="00EC4E6B" w:rsidRPr="00B40308" w:rsidRDefault="00EC4E6B" w:rsidP="00B40308">
            <w:pPr>
              <w:spacing w:before="120" w:after="120"/>
              <w:jc w:val="right"/>
              <w:rPr>
                <w:rFonts w:ascii="Times New Roman" w:eastAsia="Calibri" w:hAnsi="Times New Roman" w:cs="Times New Roman"/>
                <w:sz w:val="24"/>
                <w:szCs w:val="24"/>
              </w:rPr>
            </w:pPr>
            <w:r w:rsidRPr="00B40308">
              <w:rPr>
                <w:rFonts w:ascii="Times New Roman" w:eastAsia="Calibri" w:hAnsi="Times New Roman" w:cs="Times New Roman"/>
                <w:sz w:val="24"/>
                <w:szCs w:val="24"/>
              </w:rPr>
              <w:t>(10 526)</w:t>
            </w:r>
          </w:p>
        </w:tc>
      </w:tr>
      <w:tr w:rsidR="00EC4E6B" w:rsidRPr="00B40308" w:rsidTr="00324DBA">
        <w:tc>
          <w:tcPr>
            <w:tcW w:w="1730" w:type="dxa"/>
          </w:tcPr>
          <w:p w:rsidR="00EC4E6B" w:rsidRPr="00B40308" w:rsidRDefault="00EC4E6B" w:rsidP="00B40308">
            <w:pPr>
              <w:spacing w:before="120" w:after="1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Total</w:t>
            </w:r>
          </w:p>
        </w:tc>
        <w:tc>
          <w:tcPr>
            <w:tcW w:w="992" w:type="dxa"/>
          </w:tcPr>
          <w:p w:rsidR="00EC4E6B" w:rsidRPr="00B40308" w:rsidRDefault="00EC4E6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1 191 221</w:t>
            </w:r>
          </w:p>
        </w:tc>
        <w:tc>
          <w:tcPr>
            <w:tcW w:w="1276" w:type="dxa"/>
          </w:tcPr>
          <w:p w:rsidR="00EC4E6B" w:rsidRPr="00B40308" w:rsidRDefault="00EC4E6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1 049 873</w:t>
            </w:r>
          </w:p>
        </w:tc>
        <w:tc>
          <w:tcPr>
            <w:tcW w:w="851" w:type="dxa"/>
          </w:tcPr>
          <w:p w:rsidR="00EC4E6B" w:rsidRPr="00B40308" w:rsidRDefault="00EC4E6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88%</w:t>
            </w:r>
          </w:p>
        </w:tc>
        <w:tc>
          <w:tcPr>
            <w:tcW w:w="1134" w:type="dxa"/>
          </w:tcPr>
          <w:p w:rsidR="00EC4E6B" w:rsidRPr="00B40308" w:rsidRDefault="00EC4E6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141 347</w:t>
            </w:r>
          </w:p>
        </w:tc>
        <w:tc>
          <w:tcPr>
            <w:tcW w:w="953" w:type="dxa"/>
          </w:tcPr>
          <w:p w:rsidR="00EC4E6B" w:rsidRPr="00B40308" w:rsidRDefault="00EC4E6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2 382 442</w:t>
            </w:r>
          </w:p>
        </w:tc>
        <w:tc>
          <w:tcPr>
            <w:tcW w:w="1088" w:type="dxa"/>
          </w:tcPr>
          <w:p w:rsidR="00EC4E6B" w:rsidRPr="00B40308" w:rsidRDefault="00EC4E6B"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2 320 118</w:t>
            </w:r>
          </w:p>
        </w:tc>
        <w:tc>
          <w:tcPr>
            <w:tcW w:w="884" w:type="dxa"/>
          </w:tcPr>
          <w:p w:rsidR="00EC4E6B" w:rsidRPr="00B40308" w:rsidRDefault="00F03EAD" w:rsidP="00B40308">
            <w:pPr>
              <w:spacing w:before="120" w:after="120"/>
              <w:jc w:val="right"/>
              <w:rPr>
                <w:rFonts w:ascii="Times New Roman" w:eastAsia="Calibri" w:hAnsi="Times New Roman" w:cs="Times New Roman"/>
                <w:b/>
                <w:sz w:val="24"/>
                <w:szCs w:val="24"/>
              </w:rPr>
            </w:pPr>
            <w:r w:rsidRPr="00B40308">
              <w:rPr>
                <w:rFonts w:ascii="Times New Roman" w:eastAsia="Calibri" w:hAnsi="Times New Roman" w:cs="Times New Roman"/>
                <w:b/>
                <w:sz w:val="24"/>
                <w:szCs w:val="24"/>
              </w:rPr>
              <w:t>62 324</w:t>
            </w:r>
          </w:p>
        </w:tc>
      </w:tr>
    </w:tbl>
    <w:p w:rsidR="00EC4E6B" w:rsidRPr="00B40308" w:rsidRDefault="00AD292E" w:rsidP="00B40308">
      <w:pPr>
        <w:spacing w:before="120" w:after="120" w:line="240" w:lineRule="auto"/>
        <w:jc w:val="both"/>
        <w:rPr>
          <w:rFonts w:ascii="Times New Roman" w:eastAsia="Calibri" w:hAnsi="Times New Roman" w:cs="Times New Roman"/>
          <w:i/>
          <w:sz w:val="24"/>
          <w:szCs w:val="24"/>
        </w:rPr>
      </w:pPr>
      <w:r w:rsidRPr="00B40308">
        <w:rPr>
          <w:rFonts w:ascii="Times New Roman" w:eastAsia="Calibri" w:hAnsi="Times New Roman" w:cs="Times New Roman"/>
          <w:i/>
          <w:sz w:val="24"/>
          <w:szCs w:val="24"/>
        </w:rPr>
        <w:t>Source: Parliament of the Republic of South Africa (2016)</w:t>
      </w:r>
    </w:p>
    <w:p w:rsidR="00E3597F" w:rsidRPr="00B40308" w:rsidRDefault="007B68AB" w:rsidP="00B40308">
      <w:pPr>
        <w:spacing w:before="120" w:after="120" w:line="240" w:lineRule="auto"/>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 xml:space="preserve">In terms of the expenditure performance </w:t>
      </w:r>
      <w:r w:rsidR="004420D5" w:rsidRPr="00B40308">
        <w:rPr>
          <w:rFonts w:ascii="Times New Roman" w:eastAsia="Calibri" w:hAnsi="Times New Roman" w:cs="Times New Roman"/>
          <w:sz w:val="24"/>
          <w:szCs w:val="24"/>
        </w:rPr>
        <w:t>by</w:t>
      </w:r>
      <w:r w:rsidRPr="00B40308">
        <w:rPr>
          <w:rFonts w:ascii="Times New Roman" w:eastAsia="Calibri" w:hAnsi="Times New Roman" w:cs="Times New Roman"/>
          <w:sz w:val="24"/>
          <w:szCs w:val="24"/>
        </w:rPr>
        <w:t xml:space="preserve"> economic classification, it was reported that the total appropriated allocation of R778.816 million for 2016/17 </w:t>
      </w:r>
      <w:r w:rsidR="008909A8" w:rsidRPr="00B40308">
        <w:rPr>
          <w:rFonts w:ascii="Times New Roman" w:eastAsia="Calibri" w:hAnsi="Times New Roman" w:cs="Times New Roman"/>
          <w:sz w:val="24"/>
          <w:szCs w:val="24"/>
        </w:rPr>
        <w:t xml:space="preserve">for Compensation of Employees </w:t>
      </w:r>
      <w:r w:rsidRPr="00B40308">
        <w:rPr>
          <w:rFonts w:ascii="Times New Roman" w:eastAsia="Calibri" w:hAnsi="Times New Roman" w:cs="Times New Roman"/>
          <w:sz w:val="24"/>
          <w:szCs w:val="24"/>
        </w:rPr>
        <w:t>had to be augmented by R142.646 million from retained earnings, which has become depleted. It was reported that no additional allocations ha</w:t>
      </w:r>
      <w:r w:rsidR="00D25083" w:rsidRPr="00B40308">
        <w:rPr>
          <w:rFonts w:ascii="Times New Roman" w:eastAsia="Calibri" w:hAnsi="Times New Roman" w:cs="Times New Roman"/>
          <w:sz w:val="24"/>
          <w:szCs w:val="24"/>
        </w:rPr>
        <w:t>ve</w:t>
      </w:r>
      <w:r w:rsidRPr="00B40308">
        <w:rPr>
          <w:rFonts w:ascii="Times New Roman" w:eastAsia="Calibri" w:hAnsi="Times New Roman" w:cs="Times New Roman"/>
          <w:sz w:val="24"/>
          <w:szCs w:val="24"/>
        </w:rPr>
        <w:t xml:space="preserve"> been made to Parliament for vacant positions</w:t>
      </w:r>
      <w:r w:rsidR="008909A8" w:rsidRPr="00B40308">
        <w:rPr>
          <w:rFonts w:ascii="Times New Roman" w:eastAsia="Calibri" w:hAnsi="Times New Roman" w:cs="Times New Roman"/>
          <w:sz w:val="24"/>
          <w:szCs w:val="24"/>
        </w:rPr>
        <w:t xml:space="preserve"> and that the </w:t>
      </w:r>
      <w:r w:rsidR="00BA63AF" w:rsidRPr="00B40308">
        <w:rPr>
          <w:rFonts w:ascii="Times New Roman" w:eastAsia="Calibri" w:hAnsi="Times New Roman" w:cs="Times New Roman"/>
          <w:sz w:val="24"/>
          <w:szCs w:val="24"/>
        </w:rPr>
        <w:t xml:space="preserve">2016/17 budget </w:t>
      </w:r>
      <w:r w:rsidR="008909A8" w:rsidRPr="00B40308">
        <w:rPr>
          <w:rFonts w:ascii="Times New Roman" w:eastAsia="Calibri" w:hAnsi="Times New Roman" w:cs="Times New Roman"/>
          <w:sz w:val="24"/>
          <w:szCs w:val="24"/>
        </w:rPr>
        <w:t xml:space="preserve">allocation </w:t>
      </w:r>
      <w:r w:rsidR="00BA63AF" w:rsidRPr="00B40308">
        <w:rPr>
          <w:rFonts w:ascii="Times New Roman" w:eastAsia="Calibri" w:hAnsi="Times New Roman" w:cs="Times New Roman"/>
          <w:sz w:val="24"/>
          <w:szCs w:val="24"/>
        </w:rPr>
        <w:t xml:space="preserve">for compensation of </w:t>
      </w:r>
      <w:r w:rsidR="004420D5" w:rsidRPr="00B40308">
        <w:rPr>
          <w:rFonts w:ascii="Times New Roman" w:eastAsia="Calibri" w:hAnsi="Times New Roman" w:cs="Times New Roman"/>
          <w:sz w:val="24"/>
          <w:szCs w:val="24"/>
        </w:rPr>
        <w:t>employees</w:t>
      </w:r>
      <w:r w:rsidR="00BA63AF" w:rsidRPr="00B40308">
        <w:rPr>
          <w:rFonts w:ascii="Times New Roman" w:eastAsia="Calibri" w:hAnsi="Times New Roman" w:cs="Times New Roman"/>
          <w:sz w:val="24"/>
          <w:szCs w:val="24"/>
        </w:rPr>
        <w:t xml:space="preserve"> </w:t>
      </w:r>
      <w:r w:rsidR="008909A8" w:rsidRPr="00B40308">
        <w:rPr>
          <w:rFonts w:ascii="Times New Roman" w:eastAsia="Calibri" w:hAnsi="Times New Roman" w:cs="Times New Roman"/>
          <w:sz w:val="24"/>
          <w:szCs w:val="24"/>
        </w:rPr>
        <w:t xml:space="preserve">was based on filled positions </w:t>
      </w:r>
      <w:r w:rsidR="00D25083" w:rsidRPr="00B40308">
        <w:rPr>
          <w:rFonts w:ascii="Times New Roman" w:eastAsia="Calibri" w:hAnsi="Times New Roman" w:cs="Times New Roman"/>
          <w:sz w:val="24"/>
          <w:szCs w:val="24"/>
        </w:rPr>
        <w:t xml:space="preserve">as </w:t>
      </w:r>
      <w:r w:rsidR="008909A8" w:rsidRPr="00B40308">
        <w:rPr>
          <w:rFonts w:ascii="Times New Roman" w:eastAsia="Calibri" w:hAnsi="Times New Roman" w:cs="Times New Roman"/>
          <w:sz w:val="24"/>
          <w:szCs w:val="24"/>
        </w:rPr>
        <w:t>at the end of February 2016</w:t>
      </w:r>
      <w:r w:rsidRPr="00B40308">
        <w:rPr>
          <w:rFonts w:ascii="Times New Roman" w:eastAsia="Calibri" w:hAnsi="Times New Roman" w:cs="Times New Roman"/>
          <w:sz w:val="24"/>
          <w:szCs w:val="24"/>
        </w:rPr>
        <w:t xml:space="preserve">. </w:t>
      </w:r>
    </w:p>
    <w:p w:rsidR="00821866" w:rsidRPr="00B40308" w:rsidRDefault="00821866" w:rsidP="00B40308">
      <w:pPr>
        <w:numPr>
          <w:ilvl w:val="0"/>
          <w:numId w:val="1"/>
        </w:numPr>
        <w:spacing w:before="120" w:after="120" w:line="240" w:lineRule="auto"/>
        <w:ind w:hanging="720"/>
        <w:contextualSpacing/>
        <w:jc w:val="both"/>
        <w:rPr>
          <w:rFonts w:ascii="Times New Roman" w:eastAsia="Times New Roman" w:hAnsi="Times New Roman" w:cs="Times New Roman"/>
          <w:b/>
          <w:spacing w:val="6"/>
          <w:sz w:val="24"/>
          <w:szCs w:val="24"/>
          <w:lang w:val="en-GB" w:eastAsia="en-GB"/>
        </w:rPr>
      </w:pPr>
      <w:r w:rsidRPr="00B40308">
        <w:rPr>
          <w:rFonts w:ascii="Times New Roman" w:eastAsia="Times New Roman" w:hAnsi="Times New Roman" w:cs="Times New Roman"/>
          <w:b/>
          <w:spacing w:val="6"/>
          <w:sz w:val="24"/>
          <w:szCs w:val="24"/>
          <w:lang w:val="en-GB" w:eastAsia="en-GB"/>
        </w:rPr>
        <w:t>Performance across programmes</w:t>
      </w:r>
    </w:p>
    <w:p w:rsidR="00821866" w:rsidRPr="00B40308" w:rsidRDefault="00821866" w:rsidP="00B40308">
      <w:pPr>
        <w:spacing w:before="120" w:after="120" w:line="240" w:lineRule="auto"/>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The institut</w:t>
      </w:r>
      <w:r w:rsidR="00CF0AEA" w:rsidRPr="00B40308">
        <w:rPr>
          <w:rFonts w:ascii="Times New Roman" w:eastAsia="Calibri" w:hAnsi="Times New Roman" w:cs="Times New Roman"/>
          <w:sz w:val="24"/>
          <w:szCs w:val="24"/>
        </w:rPr>
        <w:t xml:space="preserve">ion succeeded in meeting </w:t>
      </w:r>
      <w:r w:rsidR="00BA63AF" w:rsidRPr="00B40308">
        <w:rPr>
          <w:rFonts w:ascii="Times New Roman" w:eastAsia="Calibri" w:hAnsi="Times New Roman" w:cs="Times New Roman"/>
          <w:sz w:val="24"/>
          <w:szCs w:val="24"/>
        </w:rPr>
        <w:t xml:space="preserve">only </w:t>
      </w:r>
      <w:r w:rsidR="00CF0AEA" w:rsidRPr="00B40308">
        <w:rPr>
          <w:rFonts w:ascii="Times New Roman" w:eastAsia="Calibri" w:hAnsi="Times New Roman" w:cs="Times New Roman"/>
          <w:sz w:val="24"/>
          <w:szCs w:val="24"/>
        </w:rPr>
        <w:t>13</w:t>
      </w:r>
      <w:r w:rsidRPr="00B40308">
        <w:rPr>
          <w:rFonts w:ascii="Times New Roman" w:eastAsia="Calibri" w:hAnsi="Times New Roman" w:cs="Times New Roman"/>
          <w:sz w:val="24"/>
          <w:szCs w:val="24"/>
        </w:rPr>
        <w:t xml:space="preserve"> </w:t>
      </w:r>
      <w:r w:rsidR="008207BD" w:rsidRPr="00B40308">
        <w:rPr>
          <w:rFonts w:ascii="Times New Roman" w:eastAsia="Calibri" w:hAnsi="Times New Roman" w:cs="Times New Roman"/>
          <w:sz w:val="24"/>
          <w:szCs w:val="24"/>
        </w:rPr>
        <w:t xml:space="preserve">or 52 per cent </w:t>
      </w:r>
      <w:r w:rsidRPr="00B40308">
        <w:rPr>
          <w:rFonts w:ascii="Times New Roman" w:eastAsia="Calibri" w:hAnsi="Times New Roman" w:cs="Times New Roman"/>
          <w:sz w:val="24"/>
          <w:szCs w:val="24"/>
        </w:rPr>
        <w:t xml:space="preserve">of the </w:t>
      </w:r>
      <w:r w:rsidR="00CF0AEA" w:rsidRPr="00B40308">
        <w:rPr>
          <w:rFonts w:ascii="Times New Roman" w:eastAsia="Calibri" w:hAnsi="Times New Roman" w:cs="Times New Roman"/>
          <w:sz w:val="24"/>
          <w:szCs w:val="24"/>
        </w:rPr>
        <w:t>planned 25</w:t>
      </w:r>
      <w:r w:rsidRPr="00B40308">
        <w:rPr>
          <w:rFonts w:ascii="Times New Roman" w:eastAsia="Calibri" w:hAnsi="Times New Roman" w:cs="Times New Roman"/>
          <w:sz w:val="24"/>
          <w:szCs w:val="24"/>
        </w:rPr>
        <w:t xml:space="preserve"> targets it had set for the period under review. </w:t>
      </w:r>
      <w:r w:rsidR="00CF0AEA" w:rsidRPr="00B40308">
        <w:rPr>
          <w:rFonts w:ascii="Times New Roman" w:eastAsia="Calibri" w:hAnsi="Times New Roman" w:cs="Times New Roman"/>
          <w:sz w:val="24"/>
          <w:szCs w:val="24"/>
        </w:rPr>
        <w:t>It should be noted Parliament also has 16 annual targets which will only be reported on upon the completion of the 2016/17 financial year</w:t>
      </w:r>
      <w:r w:rsidR="008207BD" w:rsidRPr="00B40308">
        <w:rPr>
          <w:rFonts w:ascii="Times New Roman" w:eastAsia="Calibri" w:hAnsi="Times New Roman" w:cs="Times New Roman"/>
          <w:sz w:val="24"/>
          <w:szCs w:val="24"/>
        </w:rPr>
        <w:t xml:space="preserve"> thus amounting to a </w:t>
      </w:r>
      <w:r w:rsidR="00BA63AF" w:rsidRPr="00B40308">
        <w:rPr>
          <w:rFonts w:ascii="Times New Roman" w:eastAsia="Calibri" w:hAnsi="Times New Roman" w:cs="Times New Roman"/>
          <w:sz w:val="24"/>
          <w:szCs w:val="24"/>
        </w:rPr>
        <w:t xml:space="preserve">total of </w:t>
      </w:r>
      <w:r w:rsidR="008207BD" w:rsidRPr="00B40308">
        <w:rPr>
          <w:rFonts w:ascii="Times New Roman" w:eastAsia="Calibri" w:hAnsi="Times New Roman" w:cs="Times New Roman"/>
          <w:sz w:val="24"/>
          <w:szCs w:val="24"/>
        </w:rPr>
        <w:t>41 targets for the financial year</w:t>
      </w:r>
      <w:r w:rsidR="00CF0AEA" w:rsidRPr="00B40308">
        <w:rPr>
          <w:rFonts w:ascii="Times New Roman" w:eastAsia="Calibri" w:hAnsi="Times New Roman" w:cs="Times New Roman"/>
          <w:sz w:val="24"/>
          <w:szCs w:val="24"/>
        </w:rPr>
        <w:t xml:space="preserve">. </w:t>
      </w:r>
    </w:p>
    <w:p w:rsidR="00821866" w:rsidRPr="00B40308" w:rsidRDefault="00821866" w:rsidP="00B40308">
      <w:pPr>
        <w:spacing w:before="120" w:after="120" w:line="240" w:lineRule="auto"/>
        <w:contextualSpacing/>
        <w:jc w:val="both"/>
        <w:rPr>
          <w:rFonts w:ascii="Times New Roman" w:eastAsia="Times New Roman" w:hAnsi="Times New Roman" w:cs="Times New Roman"/>
          <w:b/>
          <w:spacing w:val="6"/>
          <w:sz w:val="24"/>
          <w:szCs w:val="24"/>
          <w:lang w:val="en-GB" w:eastAsia="en-GB"/>
        </w:rPr>
      </w:pPr>
    </w:p>
    <w:p w:rsidR="00821866" w:rsidRPr="00B40308" w:rsidRDefault="00CF0AEA" w:rsidP="00B40308">
      <w:pPr>
        <w:spacing w:before="120" w:after="120" w:line="240" w:lineRule="auto"/>
        <w:contextualSpacing/>
        <w:jc w:val="both"/>
        <w:rPr>
          <w:rFonts w:ascii="Times New Roman" w:eastAsia="Times New Roman" w:hAnsi="Times New Roman" w:cs="Times New Roman"/>
          <w:b/>
          <w:spacing w:val="6"/>
          <w:sz w:val="24"/>
          <w:szCs w:val="24"/>
          <w:lang w:val="en-GB" w:eastAsia="en-GB"/>
        </w:rPr>
      </w:pPr>
      <w:r w:rsidRPr="00B40308">
        <w:rPr>
          <w:rFonts w:ascii="Times New Roman" w:eastAsia="Times New Roman" w:hAnsi="Times New Roman" w:cs="Times New Roman"/>
          <w:b/>
          <w:spacing w:val="6"/>
          <w:sz w:val="24"/>
          <w:szCs w:val="24"/>
          <w:lang w:val="en-GB" w:eastAsia="en-GB"/>
        </w:rPr>
        <w:t>4.1</w:t>
      </w:r>
      <w:r w:rsidRPr="00B40308">
        <w:rPr>
          <w:rFonts w:ascii="Times New Roman" w:eastAsia="Times New Roman" w:hAnsi="Times New Roman" w:cs="Times New Roman"/>
          <w:b/>
          <w:spacing w:val="6"/>
          <w:sz w:val="24"/>
          <w:szCs w:val="24"/>
          <w:lang w:val="en-GB" w:eastAsia="en-GB"/>
        </w:rPr>
        <w:tab/>
        <w:t>Programme 1: Strategic Leadership and Governance</w:t>
      </w:r>
    </w:p>
    <w:p w:rsidR="00EE1F80" w:rsidRPr="00B40308" w:rsidRDefault="00EE1F80" w:rsidP="00B40308">
      <w:pPr>
        <w:spacing w:before="120" w:after="120" w:line="240" w:lineRule="auto"/>
        <w:contextualSpacing/>
        <w:jc w:val="both"/>
        <w:rPr>
          <w:rFonts w:ascii="Times New Roman" w:eastAsia="Times New Roman" w:hAnsi="Times New Roman" w:cs="Times New Roman"/>
          <w:b/>
          <w:spacing w:val="6"/>
          <w:sz w:val="24"/>
          <w:szCs w:val="24"/>
          <w:lang w:val="en-GB" w:eastAsia="en-GB"/>
        </w:rPr>
      </w:pPr>
    </w:p>
    <w:p w:rsidR="00324DBA" w:rsidRPr="00B40308" w:rsidRDefault="00821866"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4.1.1</w:t>
      </w:r>
      <w:r w:rsidRPr="00B40308">
        <w:rPr>
          <w:rFonts w:ascii="Times New Roman" w:eastAsia="Calibri" w:hAnsi="Times New Roman" w:cs="Times New Roman"/>
          <w:sz w:val="24"/>
          <w:szCs w:val="24"/>
        </w:rPr>
        <w:tab/>
        <w:t>This programme</w:t>
      </w:r>
      <w:r w:rsidR="00CF0AEA" w:rsidRPr="00B40308">
        <w:rPr>
          <w:rFonts w:ascii="Times New Roman" w:eastAsia="Calibri" w:hAnsi="Times New Roman" w:cs="Times New Roman"/>
          <w:sz w:val="24"/>
          <w:szCs w:val="24"/>
        </w:rPr>
        <w:t xml:space="preserve"> is aimed at providing political</w:t>
      </w:r>
      <w:r w:rsidRPr="00B40308">
        <w:rPr>
          <w:rFonts w:ascii="Times New Roman" w:eastAsia="Calibri" w:hAnsi="Times New Roman" w:cs="Times New Roman"/>
          <w:sz w:val="24"/>
          <w:szCs w:val="24"/>
        </w:rPr>
        <w:t xml:space="preserve"> </w:t>
      </w:r>
      <w:r w:rsidR="0058269F" w:rsidRPr="00B40308">
        <w:rPr>
          <w:rFonts w:ascii="Times New Roman" w:eastAsia="Calibri" w:hAnsi="Times New Roman" w:cs="Times New Roman"/>
          <w:sz w:val="24"/>
          <w:szCs w:val="24"/>
        </w:rPr>
        <w:t xml:space="preserve">and strategic </w:t>
      </w:r>
      <w:r w:rsidRPr="00B40308">
        <w:rPr>
          <w:rFonts w:ascii="Times New Roman" w:eastAsia="Calibri" w:hAnsi="Times New Roman" w:cs="Times New Roman"/>
          <w:sz w:val="24"/>
          <w:szCs w:val="24"/>
        </w:rPr>
        <w:t xml:space="preserve">leadership; </w:t>
      </w:r>
      <w:r w:rsidR="00CF0AEA" w:rsidRPr="00B40308">
        <w:rPr>
          <w:rFonts w:ascii="Times New Roman" w:eastAsia="Calibri" w:hAnsi="Times New Roman" w:cs="Times New Roman"/>
          <w:sz w:val="24"/>
          <w:szCs w:val="24"/>
        </w:rPr>
        <w:t xml:space="preserve">governance and institutional policy, </w:t>
      </w:r>
      <w:r w:rsidR="0058269F" w:rsidRPr="00B40308">
        <w:rPr>
          <w:rFonts w:ascii="Times New Roman" w:eastAsia="Calibri" w:hAnsi="Times New Roman" w:cs="Times New Roman"/>
          <w:sz w:val="24"/>
          <w:szCs w:val="24"/>
        </w:rPr>
        <w:t xml:space="preserve">executive </w:t>
      </w:r>
      <w:r w:rsidR="00CF0AEA" w:rsidRPr="00B40308">
        <w:rPr>
          <w:rFonts w:ascii="Times New Roman" w:eastAsia="Calibri" w:hAnsi="Times New Roman" w:cs="Times New Roman"/>
          <w:sz w:val="24"/>
          <w:szCs w:val="24"/>
        </w:rPr>
        <w:t>communication and co-ordination; overseeing development and implementation of the strategic plan, annual performance plan, and budget as well as the Parliamentary Bu</w:t>
      </w:r>
      <w:r w:rsidR="0058269F" w:rsidRPr="00B40308">
        <w:rPr>
          <w:rFonts w:ascii="Times New Roman" w:eastAsia="Calibri" w:hAnsi="Times New Roman" w:cs="Times New Roman"/>
          <w:sz w:val="24"/>
          <w:szCs w:val="24"/>
        </w:rPr>
        <w:t>dget Office and</w:t>
      </w:r>
      <w:r w:rsidR="00CF0AEA" w:rsidRPr="00B40308">
        <w:rPr>
          <w:rFonts w:ascii="Times New Roman" w:eastAsia="Calibri" w:hAnsi="Times New Roman" w:cs="Times New Roman"/>
          <w:sz w:val="24"/>
          <w:szCs w:val="24"/>
        </w:rPr>
        <w:t xml:space="preserve"> the Office Supporting Institutions Supporting Democracy. </w:t>
      </w:r>
    </w:p>
    <w:p w:rsidR="00F56269" w:rsidRPr="00B40308" w:rsidRDefault="00B63E47"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4.1.2</w:t>
      </w:r>
      <w:r w:rsidRPr="00B40308">
        <w:rPr>
          <w:rFonts w:ascii="Times New Roman" w:eastAsia="Calibri" w:hAnsi="Times New Roman" w:cs="Times New Roman"/>
          <w:sz w:val="24"/>
          <w:szCs w:val="24"/>
        </w:rPr>
        <w:tab/>
        <w:t>Three of the four</w:t>
      </w:r>
      <w:r w:rsidR="00821866" w:rsidRPr="00B40308">
        <w:rPr>
          <w:rFonts w:ascii="Times New Roman" w:eastAsia="Calibri" w:hAnsi="Times New Roman" w:cs="Times New Roman"/>
          <w:sz w:val="24"/>
          <w:szCs w:val="24"/>
        </w:rPr>
        <w:t xml:space="preserve"> targets under this programme were achieved. </w:t>
      </w:r>
      <w:r w:rsidR="00F56269" w:rsidRPr="00B40308">
        <w:rPr>
          <w:rFonts w:ascii="Times New Roman" w:eastAsia="Calibri" w:hAnsi="Times New Roman" w:cs="Times New Roman"/>
          <w:sz w:val="24"/>
          <w:szCs w:val="24"/>
        </w:rPr>
        <w:t xml:space="preserve">The </w:t>
      </w:r>
      <w:r w:rsidR="00BA63AF" w:rsidRPr="00B40308">
        <w:rPr>
          <w:rFonts w:ascii="Times New Roman" w:eastAsia="Calibri" w:hAnsi="Times New Roman" w:cs="Times New Roman"/>
          <w:sz w:val="24"/>
          <w:szCs w:val="24"/>
        </w:rPr>
        <w:t xml:space="preserve">achieved </w:t>
      </w:r>
      <w:r w:rsidR="00F56269" w:rsidRPr="00B40308">
        <w:rPr>
          <w:rFonts w:ascii="Times New Roman" w:eastAsia="Calibri" w:hAnsi="Times New Roman" w:cs="Times New Roman"/>
          <w:sz w:val="24"/>
          <w:szCs w:val="24"/>
        </w:rPr>
        <w:t>target</w:t>
      </w:r>
      <w:r w:rsidR="00BA63AF" w:rsidRPr="00B40308">
        <w:rPr>
          <w:rFonts w:ascii="Times New Roman" w:eastAsia="Calibri" w:hAnsi="Times New Roman" w:cs="Times New Roman"/>
          <w:sz w:val="24"/>
          <w:szCs w:val="24"/>
        </w:rPr>
        <w:t>s</w:t>
      </w:r>
      <w:r w:rsidR="00F56269" w:rsidRPr="00B40308">
        <w:rPr>
          <w:rFonts w:ascii="Times New Roman" w:eastAsia="Calibri" w:hAnsi="Times New Roman" w:cs="Times New Roman"/>
          <w:sz w:val="24"/>
          <w:szCs w:val="24"/>
        </w:rPr>
        <w:t xml:space="preserve"> relate to the number of analysis reports presented to the Finance and Appropriations </w:t>
      </w:r>
      <w:r w:rsidR="00F56269" w:rsidRPr="00B40308">
        <w:rPr>
          <w:rFonts w:ascii="Times New Roman" w:eastAsia="Calibri" w:hAnsi="Times New Roman" w:cs="Times New Roman"/>
          <w:sz w:val="24"/>
          <w:szCs w:val="24"/>
        </w:rPr>
        <w:lastRenderedPageBreak/>
        <w:t>Committees in both Houses</w:t>
      </w:r>
      <w:r w:rsidR="00BA63AF" w:rsidRPr="00B40308">
        <w:rPr>
          <w:rFonts w:ascii="Times New Roman" w:eastAsia="Calibri" w:hAnsi="Times New Roman" w:cs="Times New Roman"/>
          <w:sz w:val="24"/>
          <w:szCs w:val="24"/>
        </w:rPr>
        <w:t xml:space="preserve">, the implementation of the governance schedule and </w:t>
      </w:r>
      <w:r w:rsidR="00F56269" w:rsidRPr="00B40308">
        <w:rPr>
          <w:rFonts w:ascii="Times New Roman" w:eastAsia="Calibri" w:hAnsi="Times New Roman" w:cs="Times New Roman"/>
          <w:sz w:val="24"/>
          <w:szCs w:val="24"/>
        </w:rPr>
        <w:t xml:space="preserve"> </w:t>
      </w:r>
      <w:r w:rsidR="00B67110" w:rsidRPr="00B40308">
        <w:rPr>
          <w:rFonts w:ascii="Times New Roman" w:eastAsia="Calibri" w:hAnsi="Times New Roman" w:cs="Times New Roman"/>
          <w:sz w:val="24"/>
          <w:szCs w:val="24"/>
        </w:rPr>
        <w:t xml:space="preserve">the tabling of </w:t>
      </w:r>
      <w:r w:rsidR="00BA63AF" w:rsidRPr="00B40308">
        <w:rPr>
          <w:rFonts w:ascii="Times New Roman" w:eastAsia="Calibri" w:hAnsi="Times New Roman" w:cs="Times New Roman"/>
          <w:sz w:val="24"/>
          <w:szCs w:val="24"/>
        </w:rPr>
        <w:t xml:space="preserve">governance documents. </w:t>
      </w:r>
    </w:p>
    <w:p w:rsidR="00F56269" w:rsidRPr="00B40308" w:rsidRDefault="00F56269"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4.1.3</w:t>
      </w:r>
      <w:r w:rsidRPr="00B40308">
        <w:rPr>
          <w:rFonts w:ascii="Times New Roman" w:eastAsia="Calibri" w:hAnsi="Times New Roman" w:cs="Times New Roman"/>
          <w:sz w:val="24"/>
          <w:szCs w:val="24"/>
        </w:rPr>
        <w:tab/>
      </w:r>
      <w:r w:rsidR="00821866" w:rsidRPr="00B40308">
        <w:rPr>
          <w:rFonts w:ascii="Times New Roman" w:eastAsia="Calibri" w:hAnsi="Times New Roman" w:cs="Times New Roman"/>
          <w:sz w:val="24"/>
          <w:szCs w:val="24"/>
        </w:rPr>
        <w:t xml:space="preserve">The </w:t>
      </w:r>
      <w:r w:rsidR="00B63E47" w:rsidRPr="00B40308">
        <w:rPr>
          <w:rFonts w:ascii="Times New Roman" w:eastAsia="Calibri" w:hAnsi="Times New Roman" w:cs="Times New Roman"/>
          <w:sz w:val="24"/>
          <w:szCs w:val="24"/>
        </w:rPr>
        <w:t xml:space="preserve">target not met related to the implementation of the capacitation plan for the Parliamentary Budget Office. The budget cuts initiated by National Treasury were cited as the reasons for the underperformance. </w:t>
      </w:r>
    </w:p>
    <w:p w:rsidR="00EE1F80" w:rsidRPr="00B40308" w:rsidRDefault="00F24400"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 xml:space="preserve"> </w:t>
      </w:r>
    </w:p>
    <w:p w:rsidR="00642725" w:rsidRPr="00B40308" w:rsidRDefault="00821866"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4.2</w:t>
      </w:r>
      <w:r w:rsidRPr="00B40308">
        <w:rPr>
          <w:rFonts w:ascii="Times New Roman" w:eastAsia="Calibri" w:hAnsi="Times New Roman" w:cs="Times New Roman"/>
          <w:b/>
          <w:sz w:val="24"/>
          <w:szCs w:val="24"/>
        </w:rPr>
        <w:tab/>
        <w:t xml:space="preserve">Programme 2: </w:t>
      </w:r>
      <w:r w:rsidR="00642725" w:rsidRPr="00B40308">
        <w:rPr>
          <w:rFonts w:ascii="Times New Roman" w:eastAsia="Calibri" w:hAnsi="Times New Roman" w:cs="Times New Roman"/>
          <w:b/>
          <w:sz w:val="24"/>
          <w:szCs w:val="24"/>
        </w:rPr>
        <w:t>Administration</w:t>
      </w:r>
    </w:p>
    <w:p w:rsidR="00642725" w:rsidRPr="00B40308" w:rsidRDefault="00642725" w:rsidP="00B40308">
      <w:pPr>
        <w:spacing w:before="120" w:after="120" w:line="240" w:lineRule="auto"/>
        <w:ind w:left="720" w:hanging="720"/>
        <w:jc w:val="both"/>
        <w:rPr>
          <w:rFonts w:ascii="Times New Roman" w:eastAsia="Calibri" w:hAnsi="Times New Roman" w:cs="Times New Roman"/>
          <w:color w:val="C00000"/>
          <w:sz w:val="24"/>
          <w:szCs w:val="24"/>
        </w:rPr>
      </w:pPr>
      <w:r w:rsidRPr="00B40308">
        <w:rPr>
          <w:rFonts w:ascii="Times New Roman" w:eastAsia="Calibri" w:hAnsi="Times New Roman" w:cs="Times New Roman"/>
          <w:sz w:val="24"/>
          <w:szCs w:val="24"/>
        </w:rPr>
        <w:t>4.2.1</w:t>
      </w:r>
      <w:r w:rsidRPr="00B40308">
        <w:rPr>
          <w:rFonts w:ascii="Times New Roman" w:eastAsia="Calibri" w:hAnsi="Times New Roman" w:cs="Times New Roman"/>
          <w:sz w:val="24"/>
          <w:szCs w:val="24"/>
        </w:rPr>
        <w:tab/>
        <w:t xml:space="preserve">The purpose of this programme is to provide strategic leadership support and management, support institutional policy and governance, provide development programme for Members of Parliament, overall management and administration, internal audit and financial management, and Register of Members’ Interest. </w:t>
      </w:r>
    </w:p>
    <w:p w:rsidR="00C03216" w:rsidRPr="00B40308" w:rsidRDefault="00C03216"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4.2.2</w:t>
      </w:r>
      <w:r w:rsidRPr="00B40308">
        <w:rPr>
          <w:rFonts w:ascii="Times New Roman" w:eastAsia="Calibri" w:hAnsi="Times New Roman" w:cs="Times New Roman"/>
          <w:sz w:val="24"/>
          <w:szCs w:val="24"/>
        </w:rPr>
        <w:tab/>
      </w:r>
      <w:r w:rsidR="00BC315F" w:rsidRPr="00B40308">
        <w:rPr>
          <w:rFonts w:ascii="Times New Roman" w:eastAsia="Calibri" w:hAnsi="Times New Roman" w:cs="Times New Roman"/>
          <w:sz w:val="24"/>
          <w:szCs w:val="24"/>
        </w:rPr>
        <w:t>Three</w:t>
      </w:r>
      <w:r w:rsidR="00B67110" w:rsidRPr="00B40308">
        <w:rPr>
          <w:rFonts w:ascii="Times New Roman" w:eastAsia="Calibri" w:hAnsi="Times New Roman" w:cs="Times New Roman"/>
          <w:sz w:val="24"/>
          <w:szCs w:val="24"/>
        </w:rPr>
        <w:t xml:space="preserve"> out of four</w:t>
      </w:r>
      <w:r w:rsidR="00DE445D" w:rsidRPr="00B40308">
        <w:rPr>
          <w:rFonts w:ascii="Times New Roman" w:eastAsia="Calibri" w:hAnsi="Times New Roman" w:cs="Times New Roman"/>
          <w:sz w:val="24"/>
          <w:szCs w:val="24"/>
        </w:rPr>
        <w:t xml:space="preserve"> </w:t>
      </w:r>
      <w:r w:rsidR="005B1691" w:rsidRPr="00B40308">
        <w:rPr>
          <w:rFonts w:ascii="Times New Roman" w:eastAsia="Calibri" w:hAnsi="Times New Roman" w:cs="Times New Roman"/>
          <w:sz w:val="24"/>
          <w:szCs w:val="24"/>
        </w:rPr>
        <w:t xml:space="preserve">targets under this programme were achieved. </w:t>
      </w:r>
      <w:r w:rsidR="009B149C" w:rsidRPr="00B40308">
        <w:rPr>
          <w:rFonts w:ascii="Times New Roman" w:eastAsia="Calibri" w:hAnsi="Times New Roman" w:cs="Times New Roman"/>
          <w:sz w:val="24"/>
          <w:szCs w:val="24"/>
        </w:rPr>
        <w:t xml:space="preserve">The target not achieved relates to the percentage compliance with prescripts and regulations, in particular, the payment of suppliers </w:t>
      </w:r>
      <w:r w:rsidR="00BC315F" w:rsidRPr="00B40308">
        <w:rPr>
          <w:rFonts w:ascii="Times New Roman" w:eastAsia="Calibri" w:hAnsi="Times New Roman" w:cs="Times New Roman"/>
          <w:sz w:val="24"/>
          <w:szCs w:val="24"/>
        </w:rPr>
        <w:t>within</w:t>
      </w:r>
      <w:r w:rsidR="009B149C" w:rsidRPr="00B40308">
        <w:rPr>
          <w:rFonts w:ascii="Times New Roman" w:eastAsia="Calibri" w:hAnsi="Times New Roman" w:cs="Times New Roman"/>
          <w:sz w:val="24"/>
          <w:szCs w:val="24"/>
        </w:rPr>
        <w:t xml:space="preserve"> 30 days and the awarding of tenders within 90 days. </w:t>
      </w:r>
    </w:p>
    <w:p w:rsidR="009B3041" w:rsidRPr="00B40308" w:rsidRDefault="009B3041"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4.2.3</w:t>
      </w:r>
      <w:r w:rsidRPr="00B40308">
        <w:rPr>
          <w:rFonts w:ascii="Times New Roman" w:eastAsia="Calibri" w:hAnsi="Times New Roman" w:cs="Times New Roman"/>
          <w:sz w:val="24"/>
          <w:szCs w:val="24"/>
        </w:rPr>
        <w:tab/>
      </w:r>
      <w:r w:rsidR="0017772C" w:rsidRPr="00B40308">
        <w:rPr>
          <w:rFonts w:ascii="Times New Roman" w:eastAsia="Calibri" w:hAnsi="Times New Roman" w:cs="Times New Roman"/>
          <w:sz w:val="24"/>
          <w:szCs w:val="24"/>
        </w:rPr>
        <w:t xml:space="preserve">In response to enquiries regarding the </w:t>
      </w:r>
      <w:r w:rsidRPr="00B40308">
        <w:rPr>
          <w:rFonts w:ascii="Times New Roman" w:eastAsia="Calibri" w:hAnsi="Times New Roman" w:cs="Times New Roman"/>
          <w:sz w:val="24"/>
          <w:szCs w:val="24"/>
        </w:rPr>
        <w:t xml:space="preserve">variance </w:t>
      </w:r>
      <w:r w:rsidR="0017772C" w:rsidRPr="00B40308">
        <w:rPr>
          <w:rFonts w:ascii="Times New Roman" w:eastAsia="Calibri" w:hAnsi="Times New Roman" w:cs="Times New Roman"/>
          <w:sz w:val="24"/>
          <w:szCs w:val="24"/>
        </w:rPr>
        <w:t xml:space="preserve">on the 30 day payment of invoices </w:t>
      </w:r>
      <w:r w:rsidRPr="00B40308">
        <w:rPr>
          <w:rFonts w:ascii="Times New Roman" w:eastAsia="Calibri" w:hAnsi="Times New Roman" w:cs="Times New Roman"/>
          <w:sz w:val="24"/>
          <w:szCs w:val="24"/>
        </w:rPr>
        <w:t>in 4.2.2 above, Parliament reported that it has paid 24,926 invoices during the period 1 April to 30 September 2016, and only 985 invoices or 3.95% were not paid within 30 days. The delay</w:t>
      </w:r>
      <w:r w:rsidR="008C2E72" w:rsidRPr="00B40308">
        <w:rPr>
          <w:rFonts w:ascii="Times New Roman" w:eastAsia="Calibri" w:hAnsi="Times New Roman" w:cs="Times New Roman"/>
          <w:sz w:val="24"/>
          <w:szCs w:val="24"/>
        </w:rPr>
        <w:t>s</w:t>
      </w:r>
      <w:r w:rsidRPr="00B40308">
        <w:rPr>
          <w:rFonts w:ascii="Times New Roman" w:eastAsia="Calibri" w:hAnsi="Times New Roman" w:cs="Times New Roman"/>
          <w:sz w:val="24"/>
          <w:szCs w:val="24"/>
        </w:rPr>
        <w:t xml:space="preserve"> </w:t>
      </w:r>
      <w:r w:rsidR="008C2E72" w:rsidRPr="00B40308">
        <w:rPr>
          <w:rFonts w:ascii="Times New Roman" w:eastAsia="Calibri" w:hAnsi="Times New Roman" w:cs="Times New Roman"/>
          <w:sz w:val="24"/>
          <w:szCs w:val="24"/>
        </w:rPr>
        <w:t>are largely due to</w:t>
      </w:r>
      <w:r w:rsidRPr="00B40308">
        <w:rPr>
          <w:rFonts w:ascii="Times New Roman" w:eastAsia="Calibri" w:hAnsi="Times New Roman" w:cs="Times New Roman"/>
          <w:sz w:val="24"/>
          <w:szCs w:val="24"/>
        </w:rPr>
        <w:t xml:space="preserve"> queries with invoices mainly for travelling where travel agents will submit invoices without travel warrants or the information on the travel warrant and the invoice are not the same. </w:t>
      </w:r>
    </w:p>
    <w:p w:rsidR="009B3041" w:rsidRPr="00B40308" w:rsidRDefault="009B3041" w:rsidP="00B40308">
      <w:pPr>
        <w:spacing w:before="120" w:after="120" w:line="240" w:lineRule="auto"/>
        <w:ind w:left="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 xml:space="preserve">Where there are no reasons for the delay the Accounting Officer writes letters to relevant managers for explanations. The payment of invoices within 30 days is also included in performance contracts of all managers. Parliament will ensure that the situation is improved and </w:t>
      </w:r>
      <w:r w:rsidR="008C2E72" w:rsidRPr="00B40308">
        <w:rPr>
          <w:rFonts w:ascii="Times New Roman" w:eastAsia="Calibri" w:hAnsi="Times New Roman" w:cs="Times New Roman"/>
          <w:sz w:val="24"/>
          <w:szCs w:val="24"/>
        </w:rPr>
        <w:t xml:space="preserve">that </w:t>
      </w:r>
      <w:r w:rsidRPr="00B40308">
        <w:rPr>
          <w:rFonts w:ascii="Times New Roman" w:eastAsia="Calibri" w:hAnsi="Times New Roman" w:cs="Times New Roman"/>
          <w:sz w:val="24"/>
          <w:szCs w:val="24"/>
        </w:rPr>
        <w:t>the</w:t>
      </w:r>
      <w:r w:rsidR="00E43A34" w:rsidRPr="00B40308">
        <w:rPr>
          <w:rFonts w:ascii="Times New Roman" w:eastAsia="Calibri" w:hAnsi="Times New Roman" w:cs="Times New Roman"/>
          <w:sz w:val="24"/>
          <w:szCs w:val="24"/>
        </w:rPr>
        <w:t xml:space="preserve"> number of suppliers</w:t>
      </w:r>
      <w:r w:rsidR="008C2E72" w:rsidRPr="00B40308">
        <w:rPr>
          <w:rFonts w:ascii="Times New Roman" w:eastAsia="Calibri" w:hAnsi="Times New Roman" w:cs="Times New Roman"/>
          <w:sz w:val="24"/>
          <w:szCs w:val="24"/>
        </w:rPr>
        <w:t xml:space="preserve"> not paid</w:t>
      </w:r>
      <w:r w:rsidRPr="00B40308">
        <w:rPr>
          <w:rFonts w:ascii="Times New Roman" w:eastAsia="Calibri" w:hAnsi="Times New Roman" w:cs="Times New Roman"/>
          <w:sz w:val="24"/>
          <w:szCs w:val="24"/>
        </w:rPr>
        <w:t xml:space="preserve"> </w:t>
      </w:r>
      <w:r w:rsidR="008C2E72" w:rsidRPr="00B40308">
        <w:rPr>
          <w:rFonts w:ascii="Times New Roman" w:eastAsia="Calibri" w:hAnsi="Times New Roman" w:cs="Times New Roman"/>
          <w:sz w:val="24"/>
          <w:szCs w:val="24"/>
        </w:rPr>
        <w:t xml:space="preserve">within 30 days </w:t>
      </w:r>
      <w:r w:rsidRPr="00B40308">
        <w:rPr>
          <w:rFonts w:ascii="Times New Roman" w:eastAsia="Calibri" w:hAnsi="Times New Roman" w:cs="Times New Roman"/>
          <w:sz w:val="24"/>
          <w:szCs w:val="24"/>
        </w:rPr>
        <w:t>will be reduced to only where there are queries.</w:t>
      </w:r>
    </w:p>
    <w:p w:rsidR="009B3041" w:rsidRPr="00B40308" w:rsidRDefault="0017772C"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4.2.4</w:t>
      </w:r>
      <w:r w:rsidRPr="00B40308">
        <w:rPr>
          <w:rFonts w:ascii="Times New Roman" w:eastAsia="Calibri" w:hAnsi="Times New Roman" w:cs="Times New Roman"/>
          <w:sz w:val="24"/>
          <w:szCs w:val="24"/>
        </w:rPr>
        <w:tab/>
        <w:t>In respect of the variance on the award</w:t>
      </w:r>
      <w:r w:rsidR="00B67110" w:rsidRPr="00B40308">
        <w:rPr>
          <w:rFonts w:ascii="Times New Roman" w:eastAsia="Calibri" w:hAnsi="Times New Roman" w:cs="Times New Roman"/>
          <w:sz w:val="24"/>
          <w:szCs w:val="24"/>
        </w:rPr>
        <w:t>ing</w:t>
      </w:r>
      <w:r w:rsidRPr="00B40308">
        <w:rPr>
          <w:rFonts w:ascii="Times New Roman" w:eastAsia="Calibri" w:hAnsi="Times New Roman" w:cs="Times New Roman"/>
          <w:sz w:val="24"/>
          <w:szCs w:val="24"/>
        </w:rPr>
        <w:t xml:space="preserve"> of tenders</w:t>
      </w:r>
      <w:r w:rsidR="00B67110" w:rsidRPr="00B40308">
        <w:rPr>
          <w:rFonts w:ascii="Times New Roman" w:eastAsia="Calibri" w:hAnsi="Times New Roman" w:cs="Times New Roman"/>
          <w:sz w:val="24"/>
          <w:szCs w:val="24"/>
        </w:rPr>
        <w:t xml:space="preserve"> within 90 days</w:t>
      </w:r>
      <w:r w:rsidRPr="00B40308">
        <w:rPr>
          <w:rFonts w:ascii="Times New Roman" w:eastAsia="Calibri" w:hAnsi="Times New Roman" w:cs="Times New Roman"/>
          <w:sz w:val="24"/>
          <w:szCs w:val="24"/>
        </w:rPr>
        <w:t>, Parliament reported that when bids are advertised, a validity period of 90 days is stipulated to bidders in the terms of reference. Should the bid not be finalised within this period, the consent of the bidders is obtained to extend such validity period at no additional cost to Parliament.  Other reasons</w:t>
      </w:r>
      <w:r w:rsidR="00F71B1C" w:rsidRPr="00B40308">
        <w:rPr>
          <w:rFonts w:ascii="Times New Roman" w:eastAsia="Calibri" w:hAnsi="Times New Roman" w:cs="Times New Roman"/>
          <w:sz w:val="24"/>
          <w:szCs w:val="24"/>
        </w:rPr>
        <w:t xml:space="preserve"> provided</w:t>
      </w:r>
      <w:r w:rsidRPr="00B40308">
        <w:rPr>
          <w:rFonts w:ascii="Times New Roman" w:eastAsia="Calibri" w:hAnsi="Times New Roman" w:cs="Times New Roman"/>
          <w:sz w:val="24"/>
          <w:szCs w:val="24"/>
        </w:rPr>
        <w:t xml:space="preserve"> include</w:t>
      </w:r>
      <w:r w:rsidR="00F71B1C" w:rsidRPr="00B40308">
        <w:rPr>
          <w:rFonts w:ascii="Times New Roman" w:eastAsia="Calibri" w:hAnsi="Times New Roman" w:cs="Times New Roman"/>
          <w:sz w:val="24"/>
          <w:szCs w:val="24"/>
        </w:rPr>
        <w:t>s</w:t>
      </w:r>
      <w:r w:rsidRPr="00B40308">
        <w:rPr>
          <w:rFonts w:ascii="Times New Roman" w:eastAsia="Calibri" w:hAnsi="Times New Roman" w:cs="Times New Roman"/>
          <w:sz w:val="24"/>
          <w:szCs w:val="24"/>
        </w:rPr>
        <w:t xml:space="preserve"> </w:t>
      </w:r>
      <w:r w:rsidR="00F71B1C" w:rsidRPr="00B40308">
        <w:rPr>
          <w:rFonts w:ascii="Times New Roman" w:eastAsia="Calibri" w:hAnsi="Times New Roman" w:cs="Times New Roman"/>
          <w:sz w:val="24"/>
          <w:szCs w:val="24"/>
        </w:rPr>
        <w:t xml:space="preserve">cases wherein Parliament identified </w:t>
      </w:r>
      <w:r w:rsidRPr="00B40308">
        <w:rPr>
          <w:rFonts w:ascii="Times New Roman" w:eastAsia="Calibri" w:hAnsi="Times New Roman" w:cs="Times New Roman"/>
          <w:sz w:val="24"/>
          <w:szCs w:val="24"/>
        </w:rPr>
        <w:t>potential collusion</w:t>
      </w:r>
      <w:r w:rsidR="00F71B1C" w:rsidRPr="00B40308">
        <w:rPr>
          <w:rFonts w:ascii="Times New Roman" w:eastAsia="Calibri" w:hAnsi="Times New Roman" w:cs="Times New Roman"/>
          <w:sz w:val="24"/>
          <w:szCs w:val="24"/>
        </w:rPr>
        <w:t xml:space="preserve">. </w:t>
      </w:r>
      <w:r w:rsidRPr="00B40308">
        <w:rPr>
          <w:rFonts w:ascii="Times New Roman" w:eastAsia="Calibri" w:hAnsi="Times New Roman" w:cs="Times New Roman"/>
          <w:sz w:val="24"/>
          <w:szCs w:val="24"/>
        </w:rPr>
        <w:t xml:space="preserve"> </w:t>
      </w:r>
    </w:p>
    <w:p w:rsidR="00821866" w:rsidRPr="00B40308" w:rsidRDefault="00510BE5"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4.3</w:t>
      </w:r>
      <w:r w:rsidRPr="00B40308">
        <w:rPr>
          <w:rFonts w:ascii="Times New Roman" w:eastAsia="Calibri" w:hAnsi="Times New Roman" w:cs="Times New Roman"/>
          <w:b/>
          <w:sz w:val="24"/>
          <w:szCs w:val="24"/>
        </w:rPr>
        <w:tab/>
      </w:r>
      <w:r w:rsidR="00F24400" w:rsidRPr="00B40308">
        <w:rPr>
          <w:rFonts w:ascii="Times New Roman" w:eastAsia="Calibri" w:hAnsi="Times New Roman" w:cs="Times New Roman"/>
          <w:b/>
          <w:sz w:val="24"/>
          <w:szCs w:val="24"/>
        </w:rPr>
        <w:t xml:space="preserve">Programme 3: </w:t>
      </w:r>
      <w:r w:rsidRPr="00B40308">
        <w:rPr>
          <w:rFonts w:ascii="Times New Roman" w:eastAsia="Calibri" w:hAnsi="Times New Roman" w:cs="Times New Roman"/>
          <w:b/>
          <w:sz w:val="24"/>
          <w:szCs w:val="24"/>
        </w:rPr>
        <w:t>Core Business</w:t>
      </w:r>
    </w:p>
    <w:p w:rsidR="009B149C" w:rsidRPr="00B40308" w:rsidRDefault="00F24400"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4.3</w:t>
      </w:r>
      <w:r w:rsidR="00821866" w:rsidRPr="00B40308">
        <w:rPr>
          <w:rFonts w:ascii="Times New Roman" w:eastAsia="Calibri" w:hAnsi="Times New Roman" w:cs="Times New Roman"/>
          <w:sz w:val="24"/>
          <w:szCs w:val="24"/>
        </w:rPr>
        <w:t>.1</w:t>
      </w:r>
      <w:r w:rsidR="00821866" w:rsidRPr="00B40308">
        <w:rPr>
          <w:rFonts w:ascii="Times New Roman" w:eastAsia="Calibri" w:hAnsi="Times New Roman" w:cs="Times New Roman"/>
          <w:sz w:val="24"/>
          <w:szCs w:val="24"/>
        </w:rPr>
        <w:tab/>
        <w:t>This programme is aimed at procedural and legal advice; information and research; as well as language, content, and secretarial and legislative drafting services for meetings of the National Assembly, Nationa</w:t>
      </w:r>
      <w:r w:rsidR="009B149C" w:rsidRPr="00B40308">
        <w:rPr>
          <w:rFonts w:ascii="Times New Roman" w:eastAsia="Calibri" w:hAnsi="Times New Roman" w:cs="Times New Roman"/>
          <w:sz w:val="24"/>
          <w:szCs w:val="24"/>
        </w:rPr>
        <w:t xml:space="preserve">l Council of Provinces and the Committees; and to provide analysis, advice and content support for parliamentary international engagement. </w:t>
      </w:r>
    </w:p>
    <w:p w:rsidR="00821866" w:rsidRPr="00B40308" w:rsidRDefault="00F24400" w:rsidP="00B40308">
      <w:pPr>
        <w:spacing w:before="120" w:after="120" w:line="240" w:lineRule="auto"/>
        <w:ind w:left="720" w:hanging="720"/>
        <w:jc w:val="both"/>
        <w:rPr>
          <w:rFonts w:ascii="Times New Roman" w:eastAsia="Calibri" w:hAnsi="Times New Roman" w:cs="Times New Roman"/>
          <w:kern w:val="24"/>
          <w:sz w:val="24"/>
          <w:szCs w:val="24"/>
        </w:rPr>
      </w:pPr>
      <w:r w:rsidRPr="00B40308">
        <w:rPr>
          <w:rFonts w:ascii="Times New Roman" w:eastAsia="Calibri" w:hAnsi="Times New Roman" w:cs="Times New Roman"/>
          <w:sz w:val="24"/>
          <w:szCs w:val="24"/>
        </w:rPr>
        <w:t>4.3</w:t>
      </w:r>
      <w:r w:rsidR="00821866" w:rsidRPr="00B40308">
        <w:rPr>
          <w:rFonts w:ascii="Times New Roman" w:eastAsia="Calibri" w:hAnsi="Times New Roman" w:cs="Times New Roman"/>
          <w:sz w:val="24"/>
          <w:szCs w:val="24"/>
        </w:rPr>
        <w:t>.2</w:t>
      </w:r>
      <w:r w:rsidR="00821866" w:rsidRPr="00B40308">
        <w:rPr>
          <w:rFonts w:ascii="Times New Roman" w:eastAsia="Calibri" w:hAnsi="Times New Roman" w:cs="Times New Roman"/>
          <w:sz w:val="24"/>
          <w:szCs w:val="24"/>
        </w:rPr>
        <w:tab/>
      </w:r>
      <w:r w:rsidR="0022443B" w:rsidRPr="00B40308">
        <w:rPr>
          <w:rFonts w:ascii="Times New Roman" w:eastAsia="Calibri" w:hAnsi="Times New Roman" w:cs="Times New Roman"/>
          <w:kern w:val="24"/>
          <w:sz w:val="24"/>
          <w:szCs w:val="24"/>
        </w:rPr>
        <w:t xml:space="preserve">There were </w:t>
      </w:r>
      <w:r w:rsidR="00B439D2" w:rsidRPr="00B40308">
        <w:rPr>
          <w:rFonts w:ascii="Times New Roman" w:eastAsia="Calibri" w:hAnsi="Times New Roman" w:cs="Times New Roman"/>
          <w:kern w:val="24"/>
          <w:sz w:val="24"/>
          <w:szCs w:val="24"/>
        </w:rPr>
        <w:t>eight</w:t>
      </w:r>
      <w:r w:rsidR="00821866" w:rsidRPr="00B40308">
        <w:rPr>
          <w:rFonts w:ascii="Times New Roman" w:eastAsia="Calibri" w:hAnsi="Times New Roman" w:cs="Times New Roman"/>
          <w:kern w:val="24"/>
          <w:sz w:val="24"/>
          <w:szCs w:val="24"/>
        </w:rPr>
        <w:t xml:space="preserve"> targets under this programme</w:t>
      </w:r>
      <w:r w:rsidR="0022443B" w:rsidRPr="00B40308">
        <w:rPr>
          <w:rFonts w:ascii="Times New Roman" w:eastAsia="Calibri" w:hAnsi="Times New Roman" w:cs="Times New Roman"/>
          <w:kern w:val="24"/>
          <w:sz w:val="24"/>
          <w:szCs w:val="24"/>
        </w:rPr>
        <w:t xml:space="preserve"> for the period under revi</w:t>
      </w:r>
      <w:r w:rsidR="00DC7AA2" w:rsidRPr="00B40308">
        <w:rPr>
          <w:rFonts w:ascii="Times New Roman" w:eastAsia="Calibri" w:hAnsi="Times New Roman" w:cs="Times New Roman"/>
          <w:kern w:val="24"/>
          <w:sz w:val="24"/>
          <w:szCs w:val="24"/>
        </w:rPr>
        <w:t>e</w:t>
      </w:r>
      <w:r w:rsidR="0022443B" w:rsidRPr="00B40308">
        <w:rPr>
          <w:rFonts w:ascii="Times New Roman" w:eastAsia="Calibri" w:hAnsi="Times New Roman" w:cs="Times New Roman"/>
          <w:kern w:val="24"/>
          <w:sz w:val="24"/>
          <w:szCs w:val="24"/>
        </w:rPr>
        <w:t>w</w:t>
      </w:r>
      <w:r w:rsidR="00B439D2" w:rsidRPr="00B40308">
        <w:rPr>
          <w:rFonts w:ascii="Times New Roman" w:eastAsia="Calibri" w:hAnsi="Times New Roman" w:cs="Times New Roman"/>
          <w:kern w:val="24"/>
          <w:sz w:val="24"/>
          <w:szCs w:val="24"/>
        </w:rPr>
        <w:t xml:space="preserve"> from which seven were met. </w:t>
      </w:r>
      <w:r w:rsidR="00F34EE5" w:rsidRPr="00B40308">
        <w:rPr>
          <w:rFonts w:ascii="Times New Roman" w:eastAsia="Calibri" w:hAnsi="Times New Roman" w:cs="Times New Roman"/>
          <w:kern w:val="24"/>
          <w:sz w:val="24"/>
          <w:szCs w:val="24"/>
        </w:rPr>
        <w:t>The target which was</w:t>
      </w:r>
      <w:r w:rsidR="00821866" w:rsidRPr="00B40308">
        <w:rPr>
          <w:rFonts w:ascii="Times New Roman" w:eastAsia="Calibri" w:hAnsi="Times New Roman" w:cs="Times New Roman"/>
          <w:kern w:val="24"/>
          <w:sz w:val="24"/>
          <w:szCs w:val="24"/>
        </w:rPr>
        <w:t xml:space="preserve"> not met </w:t>
      </w:r>
      <w:r w:rsidR="00F34EE5" w:rsidRPr="00B40308">
        <w:rPr>
          <w:rFonts w:ascii="Times New Roman" w:eastAsia="Calibri" w:hAnsi="Times New Roman" w:cs="Times New Roman"/>
          <w:kern w:val="24"/>
          <w:sz w:val="24"/>
          <w:szCs w:val="24"/>
        </w:rPr>
        <w:t>relates</w:t>
      </w:r>
      <w:r w:rsidR="00DC7AA2" w:rsidRPr="00B40308">
        <w:rPr>
          <w:rFonts w:ascii="Times New Roman" w:eastAsia="Calibri" w:hAnsi="Times New Roman" w:cs="Times New Roman"/>
          <w:kern w:val="24"/>
          <w:sz w:val="24"/>
          <w:szCs w:val="24"/>
        </w:rPr>
        <w:t xml:space="preserve"> to the </w:t>
      </w:r>
      <w:r w:rsidR="00E43A34" w:rsidRPr="00B40308">
        <w:rPr>
          <w:rFonts w:ascii="Times New Roman" w:eastAsia="Calibri" w:hAnsi="Times New Roman" w:cs="Times New Roman"/>
          <w:kern w:val="24"/>
          <w:sz w:val="24"/>
          <w:szCs w:val="24"/>
        </w:rPr>
        <w:t xml:space="preserve">completion and availability of documents and </w:t>
      </w:r>
      <w:r w:rsidR="00F34EE5" w:rsidRPr="00B40308">
        <w:rPr>
          <w:rFonts w:ascii="Times New Roman" w:eastAsia="Calibri" w:hAnsi="Times New Roman" w:cs="Times New Roman"/>
          <w:kern w:val="24"/>
          <w:sz w:val="24"/>
          <w:szCs w:val="24"/>
        </w:rPr>
        <w:t xml:space="preserve">activities undertaken as per the Service Charter and will </w:t>
      </w:r>
      <w:r w:rsidR="00EE1F80" w:rsidRPr="00B40308">
        <w:rPr>
          <w:rFonts w:ascii="Times New Roman" w:eastAsia="Calibri" w:hAnsi="Times New Roman" w:cs="Times New Roman"/>
          <w:kern w:val="24"/>
          <w:sz w:val="24"/>
          <w:szCs w:val="24"/>
        </w:rPr>
        <w:t xml:space="preserve">be discussed in hereunder. </w:t>
      </w:r>
    </w:p>
    <w:p w:rsidR="00F24400" w:rsidRPr="00B40308" w:rsidRDefault="005E572B" w:rsidP="00B40308">
      <w:pPr>
        <w:pStyle w:val="ListParagraph"/>
        <w:numPr>
          <w:ilvl w:val="2"/>
          <w:numId w:val="16"/>
        </w:numPr>
        <w:spacing w:before="120" w:after="120" w:line="240" w:lineRule="auto"/>
        <w:jc w:val="both"/>
        <w:rPr>
          <w:rFonts w:ascii="Times New Roman" w:eastAsia="Calibri" w:hAnsi="Times New Roman" w:cs="Times New Roman"/>
          <w:kern w:val="24"/>
          <w:sz w:val="24"/>
          <w:szCs w:val="24"/>
        </w:rPr>
      </w:pPr>
      <w:r w:rsidRPr="00B40308">
        <w:rPr>
          <w:rFonts w:ascii="Times New Roman" w:eastAsia="Calibri" w:hAnsi="Times New Roman" w:cs="Times New Roman"/>
          <w:kern w:val="24"/>
          <w:sz w:val="24"/>
          <w:szCs w:val="24"/>
        </w:rPr>
        <w:t xml:space="preserve">In terms of the </w:t>
      </w:r>
      <w:r w:rsidR="009A0BCA" w:rsidRPr="00B40308">
        <w:rPr>
          <w:rFonts w:ascii="Times New Roman" w:eastAsia="Calibri" w:hAnsi="Times New Roman" w:cs="Times New Roman"/>
          <w:kern w:val="24"/>
          <w:sz w:val="24"/>
          <w:szCs w:val="24"/>
        </w:rPr>
        <w:t>required 100 percent target</w:t>
      </w:r>
      <w:r w:rsidRPr="00B40308">
        <w:rPr>
          <w:rFonts w:ascii="Times New Roman" w:eastAsia="Calibri" w:hAnsi="Times New Roman" w:cs="Times New Roman"/>
          <w:kern w:val="24"/>
          <w:sz w:val="24"/>
          <w:szCs w:val="24"/>
        </w:rPr>
        <w:t xml:space="preserve"> of reports </w:t>
      </w:r>
      <w:r w:rsidR="001C101D" w:rsidRPr="00B40308">
        <w:rPr>
          <w:rFonts w:ascii="Times New Roman" w:eastAsia="Calibri" w:hAnsi="Times New Roman" w:cs="Times New Roman"/>
          <w:kern w:val="24"/>
          <w:sz w:val="24"/>
          <w:szCs w:val="24"/>
        </w:rPr>
        <w:t>prepared within eight days</w:t>
      </w:r>
      <w:r w:rsidRPr="00B40308">
        <w:rPr>
          <w:rFonts w:ascii="Times New Roman" w:eastAsia="Calibri" w:hAnsi="Times New Roman" w:cs="Times New Roman"/>
          <w:kern w:val="24"/>
          <w:sz w:val="24"/>
          <w:szCs w:val="24"/>
        </w:rPr>
        <w:t xml:space="preserve">, </w:t>
      </w:r>
      <w:r w:rsidR="009A0BCA" w:rsidRPr="00B40308">
        <w:rPr>
          <w:rFonts w:ascii="Times New Roman" w:eastAsia="Calibri" w:hAnsi="Times New Roman" w:cs="Times New Roman"/>
          <w:kern w:val="24"/>
          <w:sz w:val="24"/>
          <w:szCs w:val="24"/>
        </w:rPr>
        <w:t>Parliament managed to achieve 91</w:t>
      </w:r>
      <w:r w:rsidRPr="00B40308">
        <w:rPr>
          <w:rFonts w:ascii="Times New Roman" w:eastAsia="Calibri" w:hAnsi="Times New Roman" w:cs="Times New Roman"/>
          <w:kern w:val="24"/>
          <w:sz w:val="24"/>
          <w:szCs w:val="24"/>
        </w:rPr>
        <w:t xml:space="preserve"> per cent </w:t>
      </w:r>
      <w:r w:rsidR="001C101D" w:rsidRPr="00B40308">
        <w:rPr>
          <w:rFonts w:ascii="Times New Roman" w:eastAsia="Calibri" w:hAnsi="Times New Roman" w:cs="Times New Roman"/>
          <w:kern w:val="24"/>
          <w:sz w:val="24"/>
          <w:szCs w:val="24"/>
        </w:rPr>
        <w:t xml:space="preserve">due to a lack of a standardised Standard </w:t>
      </w:r>
      <w:r w:rsidR="001C101D" w:rsidRPr="00B40308">
        <w:rPr>
          <w:rFonts w:ascii="Times New Roman" w:eastAsia="Calibri" w:hAnsi="Times New Roman" w:cs="Times New Roman"/>
          <w:kern w:val="24"/>
          <w:sz w:val="24"/>
          <w:szCs w:val="24"/>
        </w:rPr>
        <w:lastRenderedPageBreak/>
        <w:t xml:space="preserve">Operating Procedure. The process of developing a Standard Operating Procedure </w:t>
      </w:r>
      <w:r w:rsidR="00C32A08" w:rsidRPr="00B40308">
        <w:rPr>
          <w:rFonts w:ascii="Times New Roman" w:eastAsia="Calibri" w:hAnsi="Times New Roman" w:cs="Times New Roman"/>
          <w:kern w:val="24"/>
          <w:sz w:val="24"/>
          <w:szCs w:val="24"/>
        </w:rPr>
        <w:t>is underway.</w:t>
      </w:r>
    </w:p>
    <w:p w:rsidR="00F24400" w:rsidRPr="00B40308" w:rsidRDefault="00F24400" w:rsidP="00B40308">
      <w:pPr>
        <w:pStyle w:val="ListParagraph"/>
        <w:spacing w:before="120" w:after="120" w:line="240" w:lineRule="auto"/>
        <w:jc w:val="both"/>
        <w:rPr>
          <w:rFonts w:ascii="Times New Roman" w:eastAsia="Calibri" w:hAnsi="Times New Roman" w:cs="Times New Roman"/>
          <w:kern w:val="24"/>
          <w:sz w:val="24"/>
          <w:szCs w:val="24"/>
        </w:rPr>
      </w:pPr>
    </w:p>
    <w:p w:rsidR="00F24400" w:rsidRPr="00B40308" w:rsidRDefault="00821866" w:rsidP="00B40308">
      <w:pPr>
        <w:pStyle w:val="ListParagraph"/>
        <w:numPr>
          <w:ilvl w:val="2"/>
          <w:numId w:val="16"/>
        </w:numPr>
        <w:spacing w:before="120" w:after="120" w:line="240" w:lineRule="auto"/>
        <w:jc w:val="both"/>
        <w:rPr>
          <w:rFonts w:ascii="Times New Roman" w:eastAsia="Calibri" w:hAnsi="Times New Roman" w:cs="Times New Roman"/>
          <w:kern w:val="24"/>
          <w:sz w:val="24"/>
          <w:szCs w:val="24"/>
        </w:rPr>
      </w:pPr>
      <w:r w:rsidRPr="00B40308">
        <w:rPr>
          <w:rFonts w:ascii="Times New Roman" w:eastAsia="Calibri" w:hAnsi="Times New Roman" w:cs="Times New Roman"/>
          <w:kern w:val="24"/>
          <w:sz w:val="24"/>
          <w:szCs w:val="24"/>
        </w:rPr>
        <w:t>The target in relation to information requests for committee work or members’ individual studies, was not met. The institution only succeeded in responding to such information requests withi</w:t>
      </w:r>
      <w:r w:rsidR="009A0BCA" w:rsidRPr="00B40308">
        <w:rPr>
          <w:rFonts w:ascii="Times New Roman" w:eastAsia="Calibri" w:hAnsi="Times New Roman" w:cs="Times New Roman"/>
          <w:kern w:val="24"/>
          <w:sz w:val="24"/>
          <w:szCs w:val="24"/>
        </w:rPr>
        <w:t>n the required timeframe in 98</w:t>
      </w:r>
      <w:r w:rsidRPr="00B40308">
        <w:rPr>
          <w:rFonts w:ascii="Times New Roman" w:eastAsia="Calibri" w:hAnsi="Times New Roman" w:cs="Times New Roman"/>
          <w:kern w:val="24"/>
          <w:sz w:val="24"/>
          <w:szCs w:val="24"/>
        </w:rPr>
        <w:t xml:space="preserve"> per cent of inst</w:t>
      </w:r>
      <w:r w:rsidR="009A0BCA" w:rsidRPr="00B40308">
        <w:rPr>
          <w:rFonts w:ascii="Times New Roman" w:eastAsia="Calibri" w:hAnsi="Times New Roman" w:cs="Times New Roman"/>
          <w:kern w:val="24"/>
          <w:sz w:val="24"/>
          <w:szCs w:val="24"/>
        </w:rPr>
        <w:t>ances instead of the targeted 100</w:t>
      </w:r>
      <w:r w:rsidRPr="00B40308">
        <w:rPr>
          <w:rFonts w:ascii="Times New Roman" w:eastAsia="Calibri" w:hAnsi="Times New Roman" w:cs="Times New Roman"/>
          <w:kern w:val="24"/>
          <w:sz w:val="24"/>
          <w:szCs w:val="24"/>
        </w:rPr>
        <w:t xml:space="preserve"> per cent. Performance was negatively affected in the </w:t>
      </w:r>
      <w:r w:rsidR="009A0BCA" w:rsidRPr="00B40308">
        <w:rPr>
          <w:rFonts w:ascii="Times New Roman" w:eastAsia="Calibri" w:hAnsi="Times New Roman" w:cs="Times New Roman"/>
          <w:kern w:val="24"/>
          <w:sz w:val="24"/>
          <w:szCs w:val="24"/>
        </w:rPr>
        <w:t>period under review due to the required information not being available in the P</w:t>
      </w:r>
      <w:r w:rsidR="00C32A08" w:rsidRPr="00B40308">
        <w:rPr>
          <w:rFonts w:ascii="Times New Roman" w:eastAsia="Calibri" w:hAnsi="Times New Roman" w:cs="Times New Roman"/>
          <w:kern w:val="24"/>
          <w:sz w:val="24"/>
          <w:szCs w:val="24"/>
        </w:rPr>
        <w:t>arliamentary Information Centre</w:t>
      </w:r>
      <w:r w:rsidR="009A0BCA" w:rsidRPr="00B40308">
        <w:rPr>
          <w:rFonts w:ascii="Times New Roman" w:eastAsia="Calibri" w:hAnsi="Times New Roman" w:cs="Times New Roman"/>
          <w:kern w:val="24"/>
          <w:sz w:val="24"/>
          <w:szCs w:val="24"/>
        </w:rPr>
        <w:t xml:space="preserve"> collection, however, no negative impact on the client was reported. </w:t>
      </w:r>
    </w:p>
    <w:p w:rsidR="00F24400" w:rsidRPr="00B40308" w:rsidRDefault="00F24400" w:rsidP="00B40308">
      <w:pPr>
        <w:pStyle w:val="ListParagraph"/>
        <w:spacing w:before="120" w:after="120" w:line="240" w:lineRule="auto"/>
        <w:rPr>
          <w:rFonts w:ascii="Times New Roman" w:eastAsia="Calibri" w:hAnsi="Times New Roman" w:cs="Times New Roman"/>
          <w:kern w:val="24"/>
          <w:sz w:val="24"/>
          <w:szCs w:val="24"/>
        </w:rPr>
      </w:pPr>
    </w:p>
    <w:p w:rsidR="00F24400" w:rsidRPr="00B40308" w:rsidRDefault="00821866" w:rsidP="00B40308">
      <w:pPr>
        <w:pStyle w:val="ListParagraph"/>
        <w:numPr>
          <w:ilvl w:val="2"/>
          <w:numId w:val="16"/>
        </w:numPr>
        <w:spacing w:before="120" w:after="120" w:line="240" w:lineRule="auto"/>
        <w:jc w:val="both"/>
        <w:rPr>
          <w:rFonts w:ascii="Times New Roman" w:eastAsia="Calibri" w:hAnsi="Times New Roman" w:cs="Times New Roman"/>
          <w:kern w:val="24"/>
          <w:sz w:val="24"/>
          <w:szCs w:val="24"/>
        </w:rPr>
      </w:pPr>
      <w:r w:rsidRPr="00B40308">
        <w:rPr>
          <w:rFonts w:ascii="Times New Roman" w:eastAsia="Calibri" w:hAnsi="Times New Roman" w:cs="Times New Roman"/>
          <w:kern w:val="24"/>
          <w:sz w:val="24"/>
          <w:szCs w:val="24"/>
        </w:rPr>
        <w:t xml:space="preserve">With regard to the production of minutes, the institution had aimed to produce </w:t>
      </w:r>
      <w:r w:rsidR="00757978" w:rsidRPr="00B40308">
        <w:rPr>
          <w:rFonts w:ascii="Times New Roman" w:eastAsia="Calibri" w:hAnsi="Times New Roman" w:cs="Times New Roman"/>
          <w:kern w:val="24"/>
          <w:sz w:val="24"/>
          <w:szCs w:val="24"/>
        </w:rPr>
        <w:t>100</w:t>
      </w:r>
      <w:r w:rsidRPr="00B40308">
        <w:rPr>
          <w:rFonts w:ascii="Times New Roman" w:eastAsia="Calibri" w:hAnsi="Times New Roman" w:cs="Times New Roman"/>
          <w:kern w:val="24"/>
          <w:sz w:val="24"/>
          <w:szCs w:val="24"/>
        </w:rPr>
        <w:t xml:space="preserve"> per cent of its minutes within three days. This target was not met. Although all draft m</w:t>
      </w:r>
      <w:r w:rsidR="00757978" w:rsidRPr="00B40308">
        <w:rPr>
          <w:rFonts w:ascii="Times New Roman" w:eastAsia="Calibri" w:hAnsi="Times New Roman" w:cs="Times New Roman"/>
          <w:kern w:val="24"/>
          <w:sz w:val="24"/>
          <w:szCs w:val="24"/>
        </w:rPr>
        <w:t>inutes were available, only 84</w:t>
      </w:r>
      <w:r w:rsidRPr="00B40308">
        <w:rPr>
          <w:rFonts w:ascii="Times New Roman" w:eastAsia="Calibri" w:hAnsi="Times New Roman" w:cs="Times New Roman"/>
          <w:kern w:val="24"/>
          <w:sz w:val="24"/>
          <w:szCs w:val="24"/>
        </w:rPr>
        <w:t xml:space="preserve"> per cent was produced within the required timeframe</w:t>
      </w:r>
      <w:r w:rsidR="00757978" w:rsidRPr="00B40308">
        <w:rPr>
          <w:rFonts w:ascii="Times New Roman" w:eastAsia="Calibri" w:hAnsi="Times New Roman" w:cs="Times New Roman"/>
          <w:kern w:val="24"/>
          <w:sz w:val="24"/>
          <w:szCs w:val="24"/>
        </w:rPr>
        <w:t xml:space="preserve"> due to consecutive meetings, competing demands</w:t>
      </w:r>
      <w:r w:rsidR="00A35B7B" w:rsidRPr="00B40308">
        <w:rPr>
          <w:rFonts w:ascii="Times New Roman" w:eastAsia="Calibri" w:hAnsi="Times New Roman" w:cs="Times New Roman"/>
          <w:kern w:val="24"/>
          <w:sz w:val="24"/>
          <w:szCs w:val="24"/>
        </w:rPr>
        <w:t xml:space="preserve"> </w:t>
      </w:r>
      <w:r w:rsidR="00757978" w:rsidRPr="00B40308">
        <w:rPr>
          <w:rFonts w:ascii="Times New Roman" w:eastAsia="Calibri" w:hAnsi="Times New Roman" w:cs="Times New Roman"/>
          <w:kern w:val="24"/>
          <w:sz w:val="24"/>
          <w:szCs w:val="24"/>
        </w:rPr>
        <w:t xml:space="preserve">as well as oversight activities. A plan to improve coordination and timely allocation of staff </w:t>
      </w:r>
      <w:r w:rsidR="004A090A" w:rsidRPr="00B40308">
        <w:rPr>
          <w:rFonts w:ascii="Times New Roman" w:eastAsia="Calibri" w:hAnsi="Times New Roman" w:cs="Times New Roman"/>
          <w:kern w:val="24"/>
          <w:sz w:val="24"/>
          <w:szCs w:val="24"/>
        </w:rPr>
        <w:t xml:space="preserve">has been </w:t>
      </w:r>
      <w:r w:rsidR="00757978" w:rsidRPr="00B40308">
        <w:rPr>
          <w:rFonts w:ascii="Times New Roman" w:eastAsia="Calibri" w:hAnsi="Times New Roman" w:cs="Times New Roman"/>
          <w:kern w:val="24"/>
          <w:sz w:val="24"/>
          <w:szCs w:val="24"/>
        </w:rPr>
        <w:t xml:space="preserve">developed. </w:t>
      </w:r>
    </w:p>
    <w:p w:rsidR="00F24400" w:rsidRPr="00B40308" w:rsidRDefault="00F24400" w:rsidP="00B40308">
      <w:pPr>
        <w:pStyle w:val="ListParagraph"/>
        <w:spacing w:before="120" w:after="120" w:line="240" w:lineRule="auto"/>
        <w:rPr>
          <w:rFonts w:ascii="Times New Roman" w:eastAsia="Calibri" w:hAnsi="Times New Roman" w:cs="Times New Roman"/>
          <w:kern w:val="24"/>
          <w:sz w:val="24"/>
          <w:szCs w:val="24"/>
        </w:rPr>
      </w:pPr>
    </w:p>
    <w:p w:rsidR="00F24400" w:rsidRPr="00B40308" w:rsidRDefault="009A0BCA" w:rsidP="00B40308">
      <w:pPr>
        <w:pStyle w:val="ListParagraph"/>
        <w:numPr>
          <w:ilvl w:val="2"/>
          <w:numId w:val="16"/>
        </w:numPr>
        <w:spacing w:before="120" w:after="120" w:line="240" w:lineRule="auto"/>
        <w:jc w:val="both"/>
        <w:rPr>
          <w:rFonts w:ascii="Times New Roman" w:eastAsia="Calibri" w:hAnsi="Times New Roman" w:cs="Times New Roman"/>
          <w:kern w:val="24"/>
          <w:sz w:val="24"/>
          <w:szCs w:val="24"/>
        </w:rPr>
      </w:pPr>
      <w:r w:rsidRPr="00B40308">
        <w:rPr>
          <w:rFonts w:ascii="Times New Roman" w:eastAsia="Calibri" w:hAnsi="Times New Roman" w:cs="Times New Roman"/>
          <w:kern w:val="24"/>
          <w:sz w:val="24"/>
          <w:szCs w:val="24"/>
        </w:rPr>
        <w:t xml:space="preserve">Parliament managed to achieve 94 per cent of the </w:t>
      </w:r>
      <w:r w:rsidR="00757978" w:rsidRPr="00B40308">
        <w:rPr>
          <w:rFonts w:ascii="Times New Roman" w:eastAsia="Calibri" w:hAnsi="Times New Roman" w:cs="Times New Roman"/>
          <w:kern w:val="24"/>
          <w:sz w:val="24"/>
          <w:szCs w:val="24"/>
        </w:rPr>
        <w:t>100</w:t>
      </w:r>
      <w:r w:rsidR="00821866" w:rsidRPr="00B40308">
        <w:rPr>
          <w:rFonts w:ascii="Times New Roman" w:eastAsia="Calibri" w:hAnsi="Times New Roman" w:cs="Times New Roman"/>
          <w:kern w:val="24"/>
          <w:sz w:val="24"/>
          <w:szCs w:val="24"/>
        </w:rPr>
        <w:t xml:space="preserve"> per cent target in relation to the production of the official record of House-proceedings</w:t>
      </w:r>
      <w:r w:rsidRPr="00B40308">
        <w:rPr>
          <w:rFonts w:ascii="Times New Roman" w:eastAsia="Calibri" w:hAnsi="Times New Roman" w:cs="Times New Roman"/>
          <w:kern w:val="24"/>
          <w:sz w:val="24"/>
          <w:szCs w:val="24"/>
        </w:rPr>
        <w:t>. This target</w:t>
      </w:r>
      <w:r w:rsidR="00821866" w:rsidRPr="00B40308">
        <w:rPr>
          <w:rFonts w:ascii="Times New Roman" w:eastAsia="Calibri" w:hAnsi="Times New Roman" w:cs="Times New Roman"/>
          <w:kern w:val="24"/>
          <w:sz w:val="24"/>
          <w:szCs w:val="24"/>
        </w:rPr>
        <w:t xml:space="preserve"> was not met</w:t>
      </w:r>
      <w:r w:rsidR="00757978" w:rsidRPr="00B40308">
        <w:rPr>
          <w:rFonts w:ascii="Times New Roman" w:eastAsia="Calibri" w:hAnsi="Times New Roman" w:cs="Times New Roman"/>
          <w:kern w:val="24"/>
          <w:sz w:val="24"/>
          <w:szCs w:val="24"/>
        </w:rPr>
        <w:t xml:space="preserve"> due to unavailability of staff during the unprotected strike in September 2016 and co-dependency on translation services. The Minimum Service Agreement with organised labour is in the process of being finalised. </w:t>
      </w:r>
    </w:p>
    <w:p w:rsidR="00F24400" w:rsidRPr="00B40308" w:rsidRDefault="00F24400" w:rsidP="00B40308">
      <w:pPr>
        <w:pStyle w:val="ListParagraph"/>
        <w:spacing w:before="120" w:after="120" w:line="240" w:lineRule="auto"/>
        <w:rPr>
          <w:rFonts w:ascii="Times New Roman" w:eastAsia="Calibri" w:hAnsi="Times New Roman" w:cs="Times New Roman"/>
          <w:kern w:val="24"/>
          <w:sz w:val="24"/>
          <w:szCs w:val="24"/>
        </w:rPr>
      </w:pPr>
    </w:p>
    <w:p w:rsidR="00EE1F80" w:rsidRPr="00B40308" w:rsidRDefault="00821866" w:rsidP="00B40308">
      <w:pPr>
        <w:pStyle w:val="ListParagraph"/>
        <w:numPr>
          <w:ilvl w:val="2"/>
          <w:numId w:val="16"/>
        </w:numPr>
        <w:spacing w:before="120" w:after="120" w:line="240" w:lineRule="auto"/>
        <w:jc w:val="both"/>
        <w:rPr>
          <w:rFonts w:ascii="Times New Roman" w:eastAsia="Calibri" w:hAnsi="Times New Roman" w:cs="Times New Roman"/>
          <w:kern w:val="24"/>
          <w:sz w:val="24"/>
          <w:szCs w:val="24"/>
        </w:rPr>
      </w:pPr>
      <w:r w:rsidRPr="00B40308">
        <w:rPr>
          <w:rFonts w:ascii="Times New Roman" w:eastAsia="Calibri" w:hAnsi="Times New Roman" w:cs="Times New Roman"/>
          <w:kern w:val="24"/>
          <w:sz w:val="24"/>
          <w:szCs w:val="24"/>
        </w:rPr>
        <w:t>With regard to language services, targets set in relation to interpretation and translation were not met. Interpr</w:t>
      </w:r>
      <w:r w:rsidR="009A0BCA" w:rsidRPr="00B40308">
        <w:rPr>
          <w:rFonts w:ascii="Times New Roman" w:eastAsia="Calibri" w:hAnsi="Times New Roman" w:cs="Times New Roman"/>
          <w:kern w:val="24"/>
          <w:sz w:val="24"/>
          <w:szCs w:val="24"/>
        </w:rPr>
        <w:t>etation was only available in 88</w:t>
      </w:r>
      <w:r w:rsidRPr="00B40308">
        <w:rPr>
          <w:rFonts w:ascii="Times New Roman" w:eastAsia="Calibri" w:hAnsi="Times New Roman" w:cs="Times New Roman"/>
          <w:kern w:val="24"/>
          <w:sz w:val="24"/>
          <w:szCs w:val="24"/>
        </w:rPr>
        <w:t xml:space="preserve"> per cent of the instances </w:t>
      </w:r>
      <w:r w:rsidR="009A0BCA" w:rsidRPr="00B40308">
        <w:rPr>
          <w:rFonts w:ascii="Times New Roman" w:eastAsia="Calibri" w:hAnsi="Times New Roman" w:cs="Times New Roman"/>
          <w:kern w:val="24"/>
          <w:sz w:val="24"/>
          <w:szCs w:val="24"/>
        </w:rPr>
        <w:t>in which it was required. The 12</w:t>
      </w:r>
      <w:r w:rsidRPr="00B40308">
        <w:rPr>
          <w:rFonts w:ascii="Times New Roman" w:eastAsia="Calibri" w:hAnsi="Times New Roman" w:cs="Times New Roman"/>
          <w:kern w:val="24"/>
          <w:sz w:val="24"/>
          <w:szCs w:val="24"/>
        </w:rPr>
        <w:t xml:space="preserve"> per ce</w:t>
      </w:r>
      <w:r w:rsidR="009A0BCA" w:rsidRPr="00B40308">
        <w:rPr>
          <w:rFonts w:ascii="Times New Roman" w:eastAsia="Calibri" w:hAnsi="Times New Roman" w:cs="Times New Roman"/>
          <w:kern w:val="24"/>
          <w:sz w:val="24"/>
          <w:szCs w:val="24"/>
        </w:rPr>
        <w:t xml:space="preserve">nt under-performance was due to </w:t>
      </w:r>
      <w:r w:rsidR="00404582" w:rsidRPr="00B40308">
        <w:rPr>
          <w:rFonts w:ascii="Times New Roman" w:eastAsia="Calibri" w:hAnsi="Times New Roman" w:cs="Times New Roman"/>
          <w:kern w:val="24"/>
          <w:sz w:val="24"/>
          <w:szCs w:val="24"/>
        </w:rPr>
        <w:t xml:space="preserve">the </w:t>
      </w:r>
      <w:r w:rsidR="009A0BCA" w:rsidRPr="00B40308">
        <w:rPr>
          <w:rFonts w:ascii="Times New Roman" w:eastAsia="Calibri" w:hAnsi="Times New Roman" w:cs="Times New Roman"/>
          <w:kern w:val="24"/>
          <w:sz w:val="24"/>
          <w:szCs w:val="24"/>
        </w:rPr>
        <w:t xml:space="preserve">unavailability of equipment in the Old Assembly Chamber as well as unavailability of staff during the unprotected strike in September 2016. </w:t>
      </w:r>
      <w:r w:rsidR="00404582" w:rsidRPr="00B40308">
        <w:rPr>
          <w:rFonts w:ascii="Times New Roman" w:eastAsia="Calibri" w:hAnsi="Times New Roman" w:cs="Times New Roman"/>
          <w:kern w:val="24"/>
          <w:sz w:val="24"/>
          <w:szCs w:val="24"/>
        </w:rPr>
        <w:t>Parliament indicated that m</w:t>
      </w:r>
      <w:r w:rsidR="009A0BCA" w:rsidRPr="00B40308">
        <w:rPr>
          <w:rFonts w:ascii="Times New Roman" w:eastAsia="Calibri" w:hAnsi="Times New Roman" w:cs="Times New Roman"/>
          <w:kern w:val="24"/>
          <w:sz w:val="24"/>
          <w:szCs w:val="24"/>
        </w:rPr>
        <w:t xml:space="preserve">anagers and </w:t>
      </w:r>
      <w:r w:rsidR="00404582" w:rsidRPr="00B40308">
        <w:rPr>
          <w:rFonts w:ascii="Times New Roman" w:eastAsia="Calibri" w:hAnsi="Times New Roman" w:cs="Times New Roman"/>
          <w:kern w:val="24"/>
          <w:sz w:val="24"/>
          <w:szCs w:val="24"/>
        </w:rPr>
        <w:t>c</w:t>
      </w:r>
      <w:r w:rsidR="009A0BCA" w:rsidRPr="00B40308">
        <w:rPr>
          <w:rFonts w:ascii="Times New Roman" w:eastAsia="Calibri" w:hAnsi="Times New Roman" w:cs="Times New Roman"/>
          <w:kern w:val="24"/>
          <w:sz w:val="24"/>
          <w:szCs w:val="24"/>
        </w:rPr>
        <w:t xml:space="preserve">ontrollers </w:t>
      </w:r>
      <w:r w:rsidR="00404582" w:rsidRPr="00B40308">
        <w:rPr>
          <w:rFonts w:ascii="Times New Roman" w:eastAsia="Calibri" w:hAnsi="Times New Roman" w:cs="Times New Roman"/>
          <w:kern w:val="24"/>
          <w:sz w:val="24"/>
          <w:szCs w:val="24"/>
        </w:rPr>
        <w:t>are to</w:t>
      </w:r>
      <w:r w:rsidR="009A0BCA" w:rsidRPr="00B40308">
        <w:rPr>
          <w:rFonts w:ascii="Times New Roman" w:eastAsia="Calibri" w:hAnsi="Times New Roman" w:cs="Times New Roman"/>
          <w:kern w:val="24"/>
          <w:sz w:val="24"/>
          <w:szCs w:val="24"/>
        </w:rPr>
        <w:t xml:space="preserve"> be adequately skilled and proper management processes </w:t>
      </w:r>
      <w:r w:rsidR="00404582" w:rsidRPr="00B40308">
        <w:rPr>
          <w:rFonts w:ascii="Times New Roman" w:eastAsia="Calibri" w:hAnsi="Times New Roman" w:cs="Times New Roman"/>
          <w:kern w:val="24"/>
          <w:sz w:val="24"/>
          <w:szCs w:val="24"/>
        </w:rPr>
        <w:t>are to</w:t>
      </w:r>
      <w:r w:rsidR="009A0BCA" w:rsidRPr="00B40308">
        <w:rPr>
          <w:rFonts w:ascii="Times New Roman" w:eastAsia="Calibri" w:hAnsi="Times New Roman" w:cs="Times New Roman"/>
          <w:kern w:val="24"/>
          <w:sz w:val="24"/>
          <w:szCs w:val="24"/>
        </w:rPr>
        <w:t xml:space="preserve"> be introduced to ensure business continuity in the absence of staff. </w:t>
      </w:r>
      <w:r w:rsidR="00EE1F80" w:rsidRPr="00B40308">
        <w:rPr>
          <w:rFonts w:ascii="Times New Roman" w:eastAsia="Calibri" w:hAnsi="Times New Roman" w:cs="Times New Roman"/>
          <w:kern w:val="24"/>
          <w:sz w:val="24"/>
          <w:szCs w:val="24"/>
        </w:rPr>
        <w:t xml:space="preserve">Translation services were available 99.6 per cent of the required 100 per cent </w:t>
      </w:r>
      <w:r w:rsidR="00404582" w:rsidRPr="00B40308">
        <w:rPr>
          <w:rFonts w:ascii="Times New Roman" w:eastAsia="Calibri" w:hAnsi="Times New Roman" w:cs="Times New Roman"/>
          <w:kern w:val="24"/>
          <w:sz w:val="24"/>
          <w:szCs w:val="24"/>
        </w:rPr>
        <w:t xml:space="preserve">target </w:t>
      </w:r>
      <w:r w:rsidR="00EE1F80" w:rsidRPr="00B40308">
        <w:rPr>
          <w:rFonts w:ascii="Times New Roman" w:eastAsia="Calibri" w:hAnsi="Times New Roman" w:cs="Times New Roman"/>
          <w:kern w:val="24"/>
          <w:sz w:val="24"/>
          <w:szCs w:val="24"/>
        </w:rPr>
        <w:t>due to the industrial action in 2016. Mechanisms relating to the reallocation of work have been refined and continuous and timeous communication with clients ha</w:t>
      </w:r>
      <w:r w:rsidR="00404582" w:rsidRPr="00B40308">
        <w:rPr>
          <w:rFonts w:ascii="Times New Roman" w:eastAsia="Calibri" w:hAnsi="Times New Roman" w:cs="Times New Roman"/>
          <w:kern w:val="24"/>
          <w:sz w:val="24"/>
          <w:szCs w:val="24"/>
        </w:rPr>
        <w:t>s</w:t>
      </w:r>
      <w:r w:rsidR="00EE1F80" w:rsidRPr="00B40308">
        <w:rPr>
          <w:rFonts w:ascii="Times New Roman" w:eastAsia="Calibri" w:hAnsi="Times New Roman" w:cs="Times New Roman"/>
          <w:kern w:val="24"/>
          <w:sz w:val="24"/>
          <w:szCs w:val="24"/>
        </w:rPr>
        <w:t xml:space="preserve"> been developed to ensure </w:t>
      </w:r>
      <w:r w:rsidR="00404582" w:rsidRPr="00B40308">
        <w:rPr>
          <w:rFonts w:ascii="Times New Roman" w:eastAsia="Calibri" w:hAnsi="Times New Roman" w:cs="Times New Roman"/>
          <w:kern w:val="24"/>
          <w:sz w:val="24"/>
          <w:szCs w:val="24"/>
        </w:rPr>
        <w:t xml:space="preserve">the </w:t>
      </w:r>
      <w:r w:rsidR="00EE1F80" w:rsidRPr="00B40308">
        <w:rPr>
          <w:rFonts w:ascii="Times New Roman" w:eastAsia="Calibri" w:hAnsi="Times New Roman" w:cs="Times New Roman"/>
          <w:kern w:val="24"/>
          <w:sz w:val="24"/>
          <w:szCs w:val="24"/>
        </w:rPr>
        <w:t xml:space="preserve">seamless provision of services. </w:t>
      </w:r>
    </w:p>
    <w:p w:rsidR="00821866" w:rsidRPr="00B40308" w:rsidRDefault="00F24400"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sz w:val="24"/>
          <w:szCs w:val="24"/>
        </w:rPr>
        <w:t>4.4</w:t>
      </w:r>
      <w:r w:rsidR="00821866" w:rsidRPr="00B40308">
        <w:rPr>
          <w:rFonts w:ascii="Times New Roman" w:eastAsia="Calibri" w:hAnsi="Times New Roman" w:cs="Times New Roman"/>
          <w:sz w:val="24"/>
          <w:szCs w:val="24"/>
        </w:rPr>
        <w:tab/>
      </w:r>
      <w:r w:rsidR="00821866" w:rsidRPr="00B40308">
        <w:rPr>
          <w:rFonts w:ascii="Times New Roman" w:eastAsia="Calibri" w:hAnsi="Times New Roman" w:cs="Times New Roman"/>
          <w:b/>
          <w:sz w:val="24"/>
          <w:szCs w:val="24"/>
        </w:rPr>
        <w:t>P</w:t>
      </w:r>
      <w:r w:rsidRPr="00B40308">
        <w:rPr>
          <w:rFonts w:ascii="Times New Roman" w:eastAsia="Calibri" w:hAnsi="Times New Roman" w:cs="Times New Roman"/>
          <w:b/>
          <w:sz w:val="24"/>
          <w:szCs w:val="24"/>
        </w:rPr>
        <w:t>rogramme 4: Support Services</w:t>
      </w:r>
    </w:p>
    <w:p w:rsidR="00F24400" w:rsidRPr="00B40308" w:rsidRDefault="00F24400"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4.4</w:t>
      </w:r>
      <w:r w:rsidR="00821866" w:rsidRPr="00B40308">
        <w:rPr>
          <w:rFonts w:ascii="Times New Roman" w:eastAsia="Calibri" w:hAnsi="Times New Roman" w:cs="Times New Roman"/>
          <w:sz w:val="24"/>
          <w:szCs w:val="24"/>
        </w:rPr>
        <w:t>.1</w:t>
      </w:r>
      <w:r w:rsidR="00821866" w:rsidRPr="00B40308">
        <w:rPr>
          <w:rFonts w:ascii="Times New Roman" w:eastAsia="Calibri" w:hAnsi="Times New Roman" w:cs="Times New Roman"/>
          <w:sz w:val="24"/>
          <w:szCs w:val="24"/>
        </w:rPr>
        <w:tab/>
        <w:t xml:space="preserve">This programme is aimed at providing </w:t>
      </w:r>
      <w:r w:rsidRPr="00B40308">
        <w:rPr>
          <w:rFonts w:ascii="Times New Roman" w:eastAsia="Calibri" w:hAnsi="Times New Roman" w:cs="Times New Roman"/>
          <w:sz w:val="24"/>
          <w:szCs w:val="24"/>
        </w:rPr>
        <w:t xml:space="preserve">institutional communication services, human resource management, information </w:t>
      </w:r>
      <w:r w:rsidR="00F0279C" w:rsidRPr="00B40308">
        <w:rPr>
          <w:rFonts w:ascii="Times New Roman" w:eastAsia="Calibri" w:hAnsi="Times New Roman" w:cs="Times New Roman"/>
          <w:sz w:val="24"/>
          <w:szCs w:val="24"/>
        </w:rPr>
        <w:t>communication</w:t>
      </w:r>
      <w:r w:rsidRPr="00B40308">
        <w:rPr>
          <w:rFonts w:ascii="Times New Roman" w:eastAsia="Calibri" w:hAnsi="Times New Roman" w:cs="Times New Roman"/>
          <w:sz w:val="24"/>
          <w:szCs w:val="24"/>
        </w:rPr>
        <w:t xml:space="preserve"> technology, institutional support services and Members’ support services. </w:t>
      </w:r>
    </w:p>
    <w:p w:rsidR="00D91661" w:rsidRPr="00B40308" w:rsidRDefault="00D91661"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4.4.2</w:t>
      </w:r>
      <w:r w:rsidRPr="00B40308">
        <w:rPr>
          <w:rFonts w:ascii="Times New Roman" w:eastAsia="Calibri" w:hAnsi="Times New Roman" w:cs="Times New Roman"/>
          <w:sz w:val="24"/>
          <w:szCs w:val="24"/>
        </w:rPr>
        <w:tab/>
        <w:t xml:space="preserve">From the eight targets under this programme for the period under review, one target was not met while four were partially achieved and three were achieved. The targets not met will be discussed hereunder. </w:t>
      </w:r>
    </w:p>
    <w:p w:rsidR="00D91661" w:rsidRPr="00B40308" w:rsidRDefault="00D91661"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4.4.3</w:t>
      </w:r>
      <w:r w:rsidRPr="00B40308">
        <w:rPr>
          <w:rFonts w:ascii="Times New Roman" w:eastAsia="Calibri" w:hAnsi="Times New Roman" w:cs="Times New Roman"/>
          <w:sz w:val="24"/>
          <w:szCs w:val="24"/>
        </w:rPr>
        <w:tab/>
        <w:t xml:space="preserve">In terms of the Phase of Strategy implementation indicator, Parliament had intended to approve a Comprehensive Communication Strategy and to conduct </w:t>
      </w:r>
      <w:r w:rsidR="000463A6" w:rsidRPr="00B40308">
        <w:rPr>
          <w:rFonts w:ascii="Times New Roman" w:eastAsia="Calibri" w:hAnsi="Times New Roman" w:cs="Times New Roman"/>
          <w:sz w:val="24"/>
          <w:szCs w:val="24"/>
        </w:rPr>
        <w:t xml:space="preserve">a </w:t>
      </w:r>
      <w:r w:rsidRPr="00B40308">
        <w:rPr>
          <w:rFonts w:ascii="Times New Roman" w:eastAsia="Calibri" w:hAnsi="Times New Roman" w:cs="Times New Roman"/>
          <w:sz w:val="24"/>
          <w:szCs w:val="24"/>
        </w:rPr>
        <w:t>communication training session for managers. Th</w:t>
      </w:r>
      <w:r w:rsidR="000463A6" w:rsidRPr="00B40308">
        <w:rPr>
          <w:rFonts w:ascii="Times New Roman" w:eastAsia="Calibri" w:hAnsi="Times New Roman" w:cs="Times New Roman"/>
          <w:sz w:val="24"/>
          <w:szCs w:val="24"/>
        </w:rPr>
        <w:t>is</w:t>
      </w:r>
      <w:r w:rsidRPr="00B40308">
        <w:rPr>
          <w:rFonts w:ascii="Times New Roman" w:eastAsia="Calibri" w:hAnsi="Times New Roman" w:cs="Times New Roman"/>
          <w:sz w:val="24"/>
          <w:szCs w:val="24"/>
        </w:rPr>
        <w:t xml:space="preserve"> target w</w:t>
      </w:r>
      <w:r w:rsidR="000463A6" w:rsidRPr="00B40308">
        <w:rPr>
          <w:rFonts w:ascii="Times New Roman" w:eastAsia="Calibri" w:hAnsi="Times New Roman" w:cs="Times New Roman"/>
          <w:sz w:val="24"/>
          <w:szCs w:val="24"/>
        </w:rPr>
        <w:t>as</w:t>
      </w:r>
      <w:r w:rsidRPr="00B40308">
        <w:rPr>
          <w:rFonts w:ascii="Times New Roman" w:eastAsia="Calibri" w:hAnsi="Times New Roman" w:cs="Times New Roman"/>
          <w:sz w:val="24"/>
          <w:szCs w:val="24"/>
        </w:rPr>
        <w:t xml:space="preserve"> not met. </w:t>
      </w:r>
    </w:p>
    <w:p w:rsidR="00D91661" w:rsidRPr="00B40308" w:rsidRDefault="00D91661"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4.4.4</w:t>
      </w:r>
      <w:r w:rsidRPr="00B40308">
        <w:rPr>
          <w:rFonts w:ascii="Times New Roman" w:eastAsia="Calibri" w:hAnsi="Times New Roman" w:cs="Times New Roman"/>
          <w:sz w:val="24"/>
          <w:szCs w:val="24"/>
        </w:rPr>
        <w:tab/>
        <w:t xml:space="preserve">The targets which were partially achieved relate to the oversight system, appropriate tools for Members and staff, video-broadcasting infrastructure, and the organisational alignment of </w:t>
      </w:r>
      <w:r w:rsidR="004C1122" w:rsidRPr="00B40308">
        <w:rPr>
          <w:rFonts w:ascii="Times New Roman" w:eastAsia="Calibri" w:hAnsi="Times New Roman" w:cs="Times New Roman"/>
          <w:sz w:val="24"/>
          <w:szCs w:val="24"/>
        </w:rPr>
        <w:t>to the Strategic Plan of the 5</w:t>
      </w:r>
      <w:r w:rsidR="004C1122" w:rsidRPr="00B40308">
        <w:rPr>
          <w:rFonts w:ascii="Times New Roman" w:eastAsia="Calibri" w:hAnsi="Times New Roman" w:cs="Times New Roman"/>
          <w:sz w:val="24"/>
          <w:szCs w:val="24"/>
          <w:vertAlign w:val="superscript"/>
        </w:rPr>
        <w:t>th</w:t>
      </w:r>
      <w:r w:rsidR="004C1122" w:rsidRPr="00B40308">
        <w:rPr>
          <w:rFonts w:ascii="Times New Roman" w:eastAsia="Calibri" w:hAnsi="Times New Roman" w:cs="Times New Roman"/>
          <w:sz w:val="24"/>
          <w:szCs w:val="24"/>
        </w:rPr>
        <w:t xml:space="preserve"> Parliament. </w:t>
      </w:r>
    </w:p>
    <w:p w:rsidR="00DF28D9" w:rsidRPr="00B40308" w:rsidRDefault="00DF28D9" w:rsidP="00B40308">
      <w:pPr>
        <w:spacing w:before="120" w:after="120" w:line="240" w:lineRule="auto"/>
        <w:jc w:val="both"/>
        <w:rPr>
          <w:rFonts w:ascii="Times New Roman" w:eastAsia="Calibri" w:hAnsi="Times New Roman" w:cs="Times New Roman"/>
          <w:sz w:val="24"/>
          <w:szCs w:val="24"/>
        </w:rPr>
      </w:pPr>
    </w:p>
    <w:p w:rsidR="00B40308" w:rsidRDefault="00B4030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C1122" w:rsidRPr="00B40308" w:rsidRDefault="004C1122" w:rsidP="00B40308">
      <w:pPr>
        <w:spacing w:before="120" w:after="120" w:line="240" w:lineRule="auto"/>
        <w:ind w:left="720" w:hanging="720"/>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lastRenderedPageBreak/>
        <w:t>4.5</w:t>
      </w:r>
      <w:r w:rsidRPr="00B40308">
        <w:rPr>
          <w:rFonts w:ascii="Times New Roman" w:eastAsia="Calibri" w:hAnsi="Times New Roman" w:cs="Times New Roman"/>
          <w:b/>
          <w:sz w:val="24"/>
          <w:szCs w:val="24"/>
        </w:rPr>
        <w:tab/>
        <w:t>Programme 5: Associated Services</w:t>
      </w:r>
    </w:p>
    <w:p w:rsidR="004C1122" w:rsidRPr="00B40308" w:rsidRDefault="004C1122"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4.5.1</w:t>
      </w:r>
      <w:r w:rsidRPr="00B40308">
        <w:rPr>
          <w:rFonts w:ascii="Times New Roman" w:eastAsia="Calibri" w:hAnsi="Times New Roman" w:cs="Times New Roman"/>
          <w:sz w:val="24"/>
          <w:szCs w:val="24"/>
        </w:rPr>
        <w:tab/>
        <w:t xml:space="preserve">The purpose of this programme is to provide travel, communication and other facilities for Members of Parliament to fulfil their duties as elected public representatives; and to provide financial support to political parties represented in Parliament, their leaders and constituency offices. </w:t>
      </w:r>
    </w:p>
    <w:p w:rsidR="00821866" w:rsidRPr="00B40308" w:rsidRDefault="004C1122"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4.5.2</w:t>
      </w:r>
      <w:r w:rsidRPr="00B40308">
        <w:rPr>
          <w:rFonts w:ascii="Times New Roman" w:eastAsia="Calibri" w:hAnsi="Times New Roman" w:cs="Times New Roman"/>
          <w:sz w:val="24"/>
          <w:szCs w:val="24"/>
        </w:rPr>
        <w:tab/>
        <w:t xml:space="preserve">This programme has two targets for the period under review from which one has been achieved. The target not achieved relates to the average number of days to reimburse Members. </w:t>
      </w:r>
      <w:r w:rsidR="009B3041" w:rsidRPr="00B40308">
        <w:rPr>
          <w:rFonts w:ascii="Times New Roman" w:eastAsia="Calibri" w:hAnsi="Times New Roman" w:cs="Times New Roman"/>
          <w:sz w:val="24"/>
          <w:szCs w:val="24"/>
        </w:rPr>
        <w:t xml:space="preserve">The performance target of 2.7 days was </w:t>
      </w:r>
      <w:r w:rsidR="00F63DB4" w:rsidRPr="00B40308">
        <w:rPr>
          <w:rFonts w:ascii="Times New Roman" w:eastAsia="Calibri" w:hAnsi="Times New Roman" w:cs="Times New Roman"/>
          <w:sz w:val="24"/>
          <w:szCs w:val="24"/>
        </w:rPr>
        <w:t xml:space="preserve">not met </w:t>
      </w:r>
      <w:r w:rsidR="009B3041" w:rsidRPr="00B40308">
        <w:rPr>
          <w:rFonts w:ascii="Times New Roman" w:eastAsia="Calibri" w:hAnsi="Times New Roman" w:cs="Times New Roman"/>
          <w:sz w:val="24"/>
          <w:szCs w:val="24"/>
        </w:rPr>
        <w:t xml:space="preserve">as a result of </w:t>
      </w:r>
      <w:r w:rsidRPr="00B40308">
        <w:rPr>
          <w:rFonts w:ascii="Times New Roman" w:eastAsia="Calibri" w:hAnsi="Times New Roman" w:cs="Times New Roman"/>
          <w:sz w:val="24"/>
          <w:szCs w:val="24"/>
        </w:rPr>
        <w:t>s</w:t>
      </w:r>
      <w:r w:rsidR="009B3041" w:rsidRPr="00B40308">
        <w:rPr>
          <w:rFonts w:ascii="Times New Roman" w:eastAsia="Calibri" w:hAnsi="Times New Roman" w:cs="Times New Roman"/>
          <w:sz w:val="24"/>
          <w:szCs w:val="24"/>
        </w:rPr>
        <w:t xml:space="preserve">ystem downtime during August 2016. </w:t>
      </w:r>
    </w:p>
    <w:p w:rsidR="00821866" w:rsidRPr="00B40308" w:rsidRDefault="00821866"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 xml:space="preserve">PART </w:t>
      </w:r>
      <w:r w:rsidR="0098417B" w:rsidRPr="00B40308">
        <w:rPr>
          <w:rFonts w:ascii="Times New Roman" w:eastAsia="Calibri" w:hAnsi="Times New Roman" w:cs="Times New Roman"/>
          <w:b/>
          <w:sz w:val="24"/>
          <w:szCs w:val="24"/>
        </w:rPr>
        <w:t>B</w:t>
      </w:r>
      <w:r w:rsidRPr="00B40308">
        <w:rPr>
          <w:rFonts w:ascii="Times New Roman" w:eastAsia="Calibri" w:hAnsi="Times New Roman" w:cs="Times New Roman"/>
          <w:b/>
          <w:sz w:val="24"/>
          <w:szCs w:val="24"/>
        </w:rPr>
        <w:t>:</w:t>
      </w:r>
      <w:r w:rsidRPr="00B40308">
        <w:rPr>
          <w:rFonts w:ascii="Times New Roman" w:eastAsia="Calibri" w:hAnsi="Times New Roman" w:cs="Times New Roman"/>
          <w:b/>
          <w:sz w:val="24"/>
          <w:szCs w:val="24"/>
        </w:rPr>
        <w:tab/>
        <w:t>OBSERVATIONS AND RECOMMENDATIONS</w:t>
      </w:r>
    </w:p>
    <w:p w:rsidR="00821866" w:rsidRPr="00B40308" w:rsidRDefault="00DB03E3"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5</w:t>
      </w:r>
      <w:r w:rsidR="00821866" w:rsidRPr="00B40308">
        <w:rPr>
          <w:rFonts w:ascii="Times New Roman" w:eastAsia="Calibri" w:hAnsi="Times New Roman" w:cs="Times New Roman"/>
          <w:b/>
          <w:sz w:val="24"/>
          <w:szCs w:val="24"/>
        </w:rPr>
        <w:t>.</w:t>
      </w:r>
      <w:r w:rsidR="00821866" w:rsidRPr="00B40308">
        <w:rPr>
          <w:rFonts w:ascii="Times New Roman" w:eastAsia="Calibri" w:hAnsi="Times New Roman" w:cs="Times New Roman"/>
          <w:b/>
          <w:sz w:val="24"/>
          <w:szCs w:val="24"/>
        </w:rPr>
        <w:tab/>
        <w:t>Observations</w:t>
      </w:r>
    </w:p>
    <w:p w:rsidR="00821866" w:rsidRPr="00B40308" w:rsidRDefault="00DB03E3" w:rsidP="00B40308">
      <w:pPr>
        <w:spacing w:before="120" w:after="120" w:line="240" w:lineRule="auto"/>
        <w:jc w:val="both"/>
        <w:rPr>
          <w:rFonts w:ascii="Times New Roman" w:eastAsia="Calibri" w:hAnsi="Times New Roman" w:cs="Times New Roman"/>
          <w:b/>
          <w:i/>
          <w:sz w:val="24"/>
          <w:szCs w:val="24"/>
        </w:rPr>
      </w:pPr>
      <w:r w:rsidRPr="00B40308">
        <w:rPr>
          <w:rFonts w:ascii="Times New Roman" w:eastAsia="Calibri" w:hAnsi="Times New Roman" w:cs="Times New Roman"/>
          <w:b/>
          <w:sz w:val="24"/>
          <w:szCs w:val="24"/>
        </w:rPr>
        <w:t>5</w:t>
      </w:r>
      <w:r w:rsidR="00B04979" w:rsidRPr="00B40308">
        <w:rPr>
          <w:rFonts w:ascii="Times New Roman" w:eastAsia="Calibri" w:hAnsi="Times New Roman" w:cs="Times New Roman"/>
          <w:b/>
          <w:sz w:val="24"/>
          <w:szCs w:val="24"/>
        </w:rPr>
        <w:t>.1</w:t>
      </w:r>
      <w:r w:rsidR="00B04979" w:rsidRPr="00B40308">
        <w:rPr>
          <w:rFonts w:ascii="Times New Roman" w:eastAsia="Calibri" w:hAnsi="Times New Roman" w:cs="Times New Roman"/>
          <w:b/>
          <w:i/>
          <w:sz w:val="24"/>
          <w:szCs w:val="24"/>
        </w:rPr>
        <w:tab/>
      </w:r>
      <w:r w:rsidR="00B04979" w:rsidRPr="00B40308">
        <w:rPr>
          <w:rFonts w:ascii="Times New Roman" w:eastAsia="Calibri" w:hAnsi="Times New Roman" w:cs="Times New Roman"/>
          <w:b/>
          <w:i/>
          <w:sz w:val="24"/>
          <w:szCs w:val="24"/>
          <w:u w:val="single"/>
        </w:rPr>
        <w:t>Compliance with prescripts and regulations</w:t>
      </w:r>
    </w:p>
    <w:p w:rsidR="00821866" w:rsidRPr="00B40308" w:rsidRDefault="00DB03E3"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5</w:t>
      </w:r>
      <w:r w:rsidR="00821866" w:rsidRPr="00B40308">
        <w:rPr>
          <w:rFonts w:ascii="Times New Roman" w:eastAsia="Calibri" w:hAnsi="Times New Roman" w:cs="Times New Roman"/>
          <w:sz w:val="24"/>
          <w:szCs w:val="24"/>
        </w:rPr>
        <w:t>.1.1</w:t>
      </w:r>
      <w:r w:rsidR="00821866" w:rsidRPr="00B40308">
        <w:rPr>
          <w:rFonts w:ascii="Times New Roman" w:eastAsia="Calibri" w:hAnsi="Times New Roman" w:cs="Times New Roman"/>
          <w:sz w:val="24"/>
          <w:szCs w:val="24"/>
        </w:rPr>
        <w:tab/>
        <w:t xml:space="preserve">The Committee </w:t>
      </w:r>
      <w:r w:rsidR="00106EE9" w:rsidRPr="00B40308">
        <w:rPr>
          <w:rFonts w:ascii="Times New Roman" w:eastAsia="Calibri" w:hAnsi="Times New Roman" w:cs="Times New Roman"/>
          <w:sz w:val="24"/>
          <w:szCs w:val="24"/>
        </w:rPr>
        <w:t xml:space="preserve">notes with concern </w:t>
      </w:r>
      <w:r w:rsidR="00913B80" w:rsidRPr="00B40308">
        <w:rPr>
          <w:rFonts w:ascii="Times New Roman" w:eastAsia="Calibri" w:hAnsi="Times New Roman" w:cs="Times New Roman"/>
          <w:sz w:val="24"/>
          <w:szCs w:val="24"/>
        </w:rPr>
        <w:t xml:space="preserve">the reported non-compliance with </w:t>
      </w:r>
      <w:r w:rsidR="00106EE9" w:rsidRPr="00B40308">
        <w:rPr>
          <w:rFonts w:ascii="Times New Roman" w:eastAsia="Calibri" w:hAnsi="Times New Roman" w:cs="Times New Roman"/>
          <w:sz w:val="24"/>
          <w:szCs w:val="24"/>
        </w:rPr>
        <w:t xml:space="preserve">prescripts and regulations by Parliament in terms of </w:t>
      </w:r>
      <w:r w:rsidR="00913B80" w:rsidRPr="00B40308">
        <w:rPr>
          <w:rFonts w:ascii="Times New Roman" w:eastAsia="Calibri" w:hAnsi="Times New Roman" w:cs="Times New Roman"/>
          <w:sz w:val="24"/>
          <w:szCs w:val="24"/>
        </w:rPr>
        <w:t xml:space="preserve">the payment of suppliers </w:t>
      </w:r>
      <w:r w:rsidRPr="00B40308">
        <w:rPr>
          <w:rFonts w:ascii="Times New Roman" w:eastAsia="Calibri" w:hAnsi="Times New Roman" w:cs="Times New Roman"/>
          <w:sz w:val="24"/>
          <w:szCs w:val="24"/>
        </w:rPr>
        <w:t xml:space="preserve">within 30 days </w:t>
      </w:r>
      <w:r w:rsidR="00913B80" w:rsidRPr="00B40308">
        <w:rPr>
          <w:rFonts w:ascii="Times New Roman" w:eastAsia="Calibri" w:hAnsi="Times New Roman" w:cs="Times New Roman"/>
          <w:sz w:val="24"/>
          <w:szCs w:val="24"/>
        </w:rPr>
        <w:t xml:space="preserve">after </w:t>
      </w:r>
      <w:r w:rsidRPr="00B40308">
        <w:rPr>
          <w:rFonts w:ascii="Times New Roman" w:eastAsia="Calibri" w:hAnsi="Times New Roman" w:cs="Times New Roman"/>
          <w:sz w:val="24"/>
          <w:szCs w:val="24"/>
        </w:rPr>
        <w:t xml:space="preserve">the </w:t>
      </w:r>
      <w:r w:rsidR="00913B80" w:rsidRPr="00B40308">
        <w:rPr>
          <w:rFonts w:ascii="Times New Roman" w:eastAsia="Calibri" w:hAnsi="Times New Roman" w:cs="Times New Roman"/>
          <w:sz w:val="24"/>
          <w:szCs w:val="24"/>
        </w:rPr>
        <w:t>receipt of invoices</w:t>
      </w:r>
      <w:r w:rsidR="00106EE9" w:rsidRPr="00B40308">
        <w:rPr>
          <w:rFonts w:ascii="Times New Roman" w:eastAsia="Calibri" w:hAnsi="Times New Roman" w:cs="Times New Roman"/>
          <w:sz w:val="24"/>
          <w:szCs w:val="24"/>
        </w:rPr>
        <w:t xml:space="preserve"> and the awarding of tenders</w:t>
      </w:r>
      <w:r w:rsidRPr="00B40308">
        <w:rPr>
          <w:rFonts w:ascii="Times New Roman" w:eastAsia="Calibri" w:hAnsi="Times New Roman" w:cs="Times New Roman"/>
          <w:sz w:val="24"/>
          <w:szCs w:val="24"/>
        </w:rPr>
        <w:t xml:space="preserve"> within 90 days</w:t>
      </w:r>
      <w:r w:rsidR="00913B80" w:rsidRPr="00B40308">
        <w:rPr>
          <w:rFonts w:ascii="Times New Roman" w:eastAsia="Calibri" w:hAnsi="Times New Roman" w:cs="Times New Roman"/>
          <w:sz w:val="24"/>
          <w:szCs w:val="24"/>
        </w:rPr>
        <w:t xml:space="preserve">. The Committee is of the view that Parliament, </w:t>
      </w:r>
      <w:r w:rsidR="00F208CD" w:rsidRPr="00B40308">
        <w:rPr>
          <w:rFonts w:ascii="Times New Roman" w:eastAsia="Calibri" w:hAnsi="Times New Roman" w:cs="Times New Roman"/>
          <w:sz w:val="24"/>
          <w:szCs w:val="24"/>
        </w:rPr>
        <w:t xml:space="preserve">given its constitutionally mandated function of overseeing </w:t>
      </w:r>
      <w:r w:rsidR="00553910" w:rsidRPr="00B40308">
        <w:rPr>
          <w:rFonts w:ascii="Times New Roman" w:eastAsia="Calibri" w:hAnsi="Times New Roman" w:cs="Times New Roman"/>
          <w:sz w:val="24"/>
          <w:szCs w:val="24"/>
        </w:rPr>
        <w:t xml:space="preserve">the </w:t>
      </w:r>
      <w:r w:rsidR="00F208CD" w:rsidRPr="00B40308">
        <w:rPr>
          <w:rFonts w:ascii="Times New Roman" w:eastAsia="Calibri" w:hAnsi="Times New Roman" w:cs="Times New Roman"/>
          <w:sz w:val="24"/>
          <w:szCs w:val="24"/>
        </w:rPr>
        <w:t xml:space="preserve">effective </w:t>
      </w:r>
      <w:r w:rsidR="00553910" w:rsidRPr="00B40308">
        <w:rPr>
          <w:rFonts w:ascii="Times New Roman" w:eastAsia="Calibri" w:hAnsi="Times New Roman" w:cs="Times New Roman"/>
          <w:sz w:val="24"/>
          <w:szCs w:val="24"/>
        </w:rPr>
        <w:t xml:space="preserve">of </w:t>
      </w:r>
      <w:r w:rsidR="00F208CD" w:rsidRPr="00B40308">
        <w:rPr>
          <w:rFonts w:ascii="Times New Roman" w:eastAsia="Calibri" w:hAnsi="Times New Roman" w:cs="Times New Roman"/>
          <w:sz w:val="24"/>
          <w:szCs w:val="24"/>
        </w:rPr>
        <w:t xml:space="preserve">management </w:t>
      </w:r>
      <w:r w:rsidR="00553910" w:rsidRPr="00B40308">
        <w:rPr>
          <w:rFonts w:ascii="Times New Roman" w:eastAsia="Calibri" w:hAnsi="Times New Roman" w:cs="Times New Roman"/>
          <w:sz w:val="24"/>
          <w:szCs w:val="24"/>
        </w:rPr>
        <w:t xml:space="preserve">public finances, </w:t>
      </w:r>
      <w:r w:rsidR="00913B80" w:rsidRPr="00B40308">
        <w:rPr>
          <w:rFonts w:ascii="Times New Roman" w:eastAsia="Calibri" w:hAnsi="Times New Roman" w:cs="Times New Roman"/>
          <w:sz w:val="24"/>
          <w:szCs w:val="24"/>
        </w:rPr>
        <w:t>should lead by example and emphasi</w:t>
      </w:r>
      <w:r w:rsidR="00106EE9" w:rsidRPr="00B40308">
        <w:rPr>
          <w:rFonts w:ascii="Times New Roman" w:eastAsia="Calibri" w:hAnsi="Times New Roman" w:cs="Times New Roman"/>
          <w:sz w:val="24"/>
          <w:szCs w:val="24"/>
        </w:rPr>
        <w:t>ses</w:t>
      </w:r>
      <w:r w:rsidR="00913B80" w:rsidRPr="00B40308">
        <w:rPr>
          <w:rFonts w:ascii="Times New Roman" w:eastAsia="Calibri" w:hAnsi="Times New Roman" w:cs="Times New Roman"/>
          <w:sz w:val="24"/>
          <w:szCs w:val="24"/>
        </w:rPr>
        <w:t xml:space="preserve"> </w:t>
      </w:r>
      <w:r w:rsidR="00E723EA" w:rsidRPr="00B40308">
        <w:rPr>
          <w:rFonts w:ascii="Times New Roman" w:eastAsia="Calibri" w:hAnsi="Times New Roman" w:cs="Times New Roman"/>
          <w:sz w:val="24"/>
          <w:szCs w:val="24"/>
        </w:rPr>
        <w:t>the</w:t>
      </w:r>
      <w:r w:rsidR="00913B80" w:rsidRPr="00B40308">
        <w:rPr>
          <w:rFonts w:ascii="Times New Roman" w:eastAsia="Calibri" w:hAnsi="Times New Roman" w:cs="Times New Roman"/>
          <w:sz w:val="24"/>
          <w:szCs w:val="24"/>
        </w:rPr>
        <w:t xml:space="preserve"> need for</w:t>
      </w:r>
      <w:r w:rsidR="00106EE9" w:rsidRPr="00B40308">
        <w:rPr>
          <w:rFonts w:ascii="Times New Roman" w:eastAsia="Calibri" w:hAnsi="Times New Roman" w:cs="Times New Roman"/>
          <w:sz w:val="24"/>
          <w:szCs w:val="24"/>
        </w:rPr>
        <w:t xml:space="preserve"> urgent</w:t>
      </w:r>
      <w:r w:rsidR="00913B80" w:rsidRPr="00B40308">
        <w:rPr>
          <w:rFonts w:ascii="Times New Roman" w:eastAsia="Calibri" w:hAnsi="Times New Roman" w:cs="Times New Roman"/>
          <w:sz w:val="24"/>
          <w:szCs w:val="24"/>
        </w:rPr>
        <w:t xml:space="preserve"> improvements in this regard. </w:t>
      </w:r>
    </w:p>
    <w:p w:rsidR="00913B80" w:rsidRPr="00B40308" w:rsidRDefault="00F208CD" w:rsidP="00B40308">
      <w:pPr>
        <w:spacing w:before="120" w:after="120" w:line="240" w:lineRule="auto"/>
        <w:ind w:left="720" w:hanging="720"/>
        <w:jc w:val="both"/>
        <w:rPr>
          <w:rFonts w:ascii="Times New Roman" w:eastAsia="Times New Roman" w:hAnsi="Times New Roman" w:cs="Times New Roman"/>
          <w:spacing w:val="6"/>
          <w:sz w:val="24"/>
          <w:szCs w:val="24"/>
          <w:lang w:val="en-GB" w:eastAsia="en-GB"/>
        </w:rPr>
      </w:pPr>
      <w:r w:rsidRPr="00B40308">
        <w:rPr>
          <w:rFonts w:ascii="Times New Roman" w:eastAsia="Calibri" w:hAnsi="Times New Roman" w:cs="Times New Roman"/>
          <w:sz w:val="24"/>
          <w:szCs w:val="24"/>
        </w:rPr>
        <w:t>5</w:t>
      </w:r>
      <w:r w:rsidR="00821866" w:rsidRPr="00B40308">
        <w:rPr>
          <w:rFonts w:ascii="Times New Roman" w:eastAsia="Calibri" w:hAnsi="Times New Roman" w:cs="Times New Roman"/>
          <w:sz w:val="24"/>
          <w:szCs w:val="24"/>
        </w:rPr>
        <w:t>.1.2</w:t>
      </w:r>
      <w:r w:rsidR="00821866" w:rsidRPr="00B40308">
        <w:rPr>
          <w:rFonts w:ascii="Times New Roman" w:eastAsia="Calibri" w:hAnsi="Times New Roman" w:cs="Times New Roman"/>
          <w:sz w:val="24"/>
          <w:szCs w:val="24"/>
        </w:rPr>
        <w:tab/>
      </w:r>
      <w:r w:rsidR="00913B80" w:rsidRPr="00B40308">
        <w:rPr>
          <w:rFonts w:ascii="Times New Roman" w:hAnsi="Times New Roman" w:cs="Times New Roman"/>
          <w:color w:val="000000"/>
          <w:sz w:val="24"/>
          <w:szCs w:val="24"/>
          <w:lang w:val="en-US"/>
        </w:rPr>
        <w:t xml:space="preserve">The Committee further enquired about the motivation as well as the costs associated </w:t>
      </w:r>
      <w:r w:rsidRPr="00B40308">
        <w:rPr>
          <w:rFonts w:ascii="Times New Roman" w:hAnsi="Times New Roman" w:cs="Times New Roman"/>
          <w:color w:val="000000"/>
          <w:sz w:val="24"/>
          <w:szCs w:val="24"/>
          <w:lang w:val="en-US"/>
        </w:rPr>
        <w:t>with</w:t>
      </w:r>
      <w:r w:rsidR="00913B80" w:rsidRPr="00B40308">
        <w:rPr>
          <w:rFonts w:ascii="Times New Roman" w:hAnsi="Times New Roman" w:cs="Times New Roman"/>
          <w:color w:val="000000"/>
          <w:sz w:val="24"/>
          <w:szCs w:val="24"/>
          <w:lang w:val="en-US"/>
        </w:rPr>
        <w:t xml:space="preserve"> the </w:t>
      </w:r>
      <w:r w:rsidRPr="00B40308">
        <w:rPr>
          <w:rFonts w:ascii="Times New Roman" w:hAnsi="Times New Roman" w:cs="Times New Roman"/>
          <w:color w:val="000000"/>
          <w:sz w:val="24"/>
          <w:szCs w:val="24"/>
          <w:lang w:val="en-US"/>
        </w:rPr>
        <w:t>planned</w:t>
      </w:r>
      <w:r w:rsidR="00913B80" w:rsidRPr="00B40308">
        <w:rPr>
          <w:rFonts w:ascii="Times New Roman" w:hAnsi="Times New Roman" w:cs="Times New Roman"/>
          <w:color w:val="000000"/>
          <w:sz w:val="24"/>
          <w:szCs w:val="24"/>
          <w:lang w:val="en-US"/>
        </w:rPr>
        <w:t xml:space="preserve"> introduction of a new Enterprise Resource Planning (ERP) system within Parliament given the current implementation of cost saving measures within Parliament. </w:t>
      </w:r>
    </w:p>
    <w:p w:rsidR="00821866" w:rsidRPr="00B40308" w:rsidRDefault="00821866" w:rsidP="00B40308">
      <w:pPr>
        <w:spacing w:before="120" w:after="120" w:line="240" w:lineRule="auto"/>
        <w:ind w:left="720" w:hanging="720"/>
        <w:jc w:val="both"/>
        <w:rPr>
          <w:rFonts w:ascii="Times New Roman" w:eastAsia="Calibri" w:hAnsi="Times New Roman" w:cs="Times New Roman"/>
          <w:sz w:val="24"/>
          <w:szCs w:val="24"/>
        </w:rPr>
      </w:pPr>
    </w:p>
    <w:p w:rsidR="00821866" w:rsidRPr="00B40308" w:rsidRDefault="00F208CD" w:rsidP="00B40308">
      <w:pPr>
        <w:spacing w:before="120" w:after="120" w:line="240" w:lineRule="auto"/>
        <w:jc w:val="both"/>
        <w:rPr>
          <w:rFonts w:ascii="Times New Roman" w:eastAsia="Calibri" w:hAnsi="Times New Roman" w:cs="Times New Roman"/>
          <w:b/>
          <w:i/>
          <w:sz w:val="24"/>
          <w:szCs w:val="24"/>
          <w:u w:val="single"/>
        </w:rPr>
      </w:pPr>
      <w:r w:rsidRPr="00B40308">
        <w:rPr>
          <w:rFonts w:ascii="Times New Roman" w:eastAsia="Calibri" w:hAnsi="Times New Roman" w:cs="Times New Roman"/>
          <w:b/>
          <w:sz w:val="24"/>
          <w:szCs w:val="24"/>
        </w:rPr>
        <w:t>5</w:t>
      </w:r>
      <w:r w:rsidR="00106EE9" w:rsidRPr="00B40308">
        <w:rPr>
          <w:rFonts w:ascii="Times New Roman" w:eastAsia="Calibri" w:hAnsi="Times New Roman" w:cs="Times New Roman"/>
          <w:b/>
          <w:sz w:val="24"/>
          <w:szCs w:val="24"/>
        </w:rPr>
        <w:t>.2</w:t>
      </w:r>
      <w:r w:rsidR="00106EE9" w:rsidRPr="00B40308">
        <w:rPr>
          <w:rFonts w:ascii="Times New Roman" w:eastAsia="Calibri" w:hAnsi="Times New Roman" w:cs="Times New Roman"/>
          <w:b/>
          <w:i/>
          <w:sz w:val="24"/>
          <w:szCs w:val="24"/>
        </w:rPr>
        <w:tab/>
      </w:r>
      <w:r w:rsidR="00106EE9" w:rsidRPr="00B40308">
        <w:rPr>
          <w:rFonts w:ascii="Times New Roman" w:eastAsia="Calibri" w:hAnsi="Times New Roman" w:cs="Times New Roman"/>
          <w:b/>
          <w:i/>
          <w:sz w:val="24"/>
          <w:szCs w:val="24"/>
          <w:u w:val="single"/>
        </w:rPr>
        <w:t>E</w:t>
      </w:r>
      <w:r w:rsidR="00821866" w:rsidRPr="00B40308">
        <w:rPr>
          <w:rFonts w:ascii="Times New Roman" w:eastAsia="Calibri" w:hAnsi="Times New Roman" w:cs="Times New Roman"/>
          <w:b/>
          <w:i/>
          <w:sz w:val="24"/>
          <w:szCs w:val="24"/>
          <w:u w:val="single"/>
        </w:rPr>
        <w:t>xpenditure</w:t>
      </w:r>
      <w:r w:rsidR="00106EE9" w:rsidRPr="00B40308">
        <w:rPr>
          <w:rFonts w:ascii="Times New Roman" w:eastAsia="Calibri" w:hAnsi="Times New Roman" w:cs="Times New Roman"/>
          <w:b/>
          <w:i/>
          <w:sz w:val="24"/>
          <w:szCs w:val="24"/>
          <w:u w:val="single"/>
        </w:rPr>
        <w:t xml:space="preserve"> Performance</w:t>
      </w:r>
    </w:p>
    <w:p w:rsidR="00821866" w:rsidRPr="00B40308" w:rsidRDefault="00F208CD"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5</w:t>
      </w:r>
      <w:r w:rsidR="00821866" w:rsidRPr="00B40308">
        <w:rPr>
          <w:rFonts w:ascii="Times New Roman" w:eastAsia="Calibri" w:hAnsi="Times New Roman" w:cs="Times New Roman"/>
          <w:sz w:val="24"/>
          <w:szCs w:val="24"/>
        </w:rPr>
        <w:t>.2.1</w:t>
      </w:r>
      <w:r w:rsidR="00821866" w:rsidRPr="00B40308">
        <w:rPr>
          <w:rFonts w:ascii="Times New Roman" w:eastAsia="Calibri" w:hAnsi="Times New Roman" w:cs="Times New Roman"/>
          <w:sz w:val="24"/>
          <w:szCs w:val="24"/>
        </w:rPr>
        <w:tab/>
        <w:t xml:space="preserve">The Committee notes </w:t>
      </w:r>
      <w:r w:rsidR="00685915" w:rsidRPr="00B40308">
        <w:rPr>
          <w:rFonts w:ascii="Times New Roman" w:eastAsia="Calibri" w:hAnsi="Times New Roman" w:cs="Times New Roman"/>
          <w:sz w:val="24"/>
          <w:szCs w:val="24"/>
        </w:rPr>
        <w:t>with concern that</w:t>
      </w:r>
      <w:r w:rsidR="00106EE9" w:rsidRPr="00B40308">
        <w:rPr>
          <w:rFonts w:ascii="Times New Roman" w:eastAsia="Calibri" w:hAnsi="Times New Roman" w:cs="Times New Roman"/>
          <w:sz w:val="24"/>
          <w:szCs w:val="24"/>
        </w:rPr>
        <w:t xml:space="preserve"> Parliament </w:t>
      </w:r>
      <w:r w:rsidR="00685915" w:rsidRPr="00B40308">
        <w:rPr>
          <w:rFonts w:ascii="Times New Roman" w:eastAsia="Calibri" w:hAnsi="Times New Roman" w:cs="Times New Roman"/>
          <w:sz w:val="24"/>
          <w:szCs w:val="24"/>
        </w:rPr>
        <w:t xml:space="preserve">has </w:t>
      </w:r>
      <w:r w:rsidR="00106EE9" w:rsidRPr="00B40308">
        <w:rPr>
          <w:rFonts w:ascii="Times New Roman" w:eastAsia="Calibri" w:hAnsi="Times New Roman" w:cs="Times New Roman"/>
          <w:sz w:val="24"/>
          <w:szCs w:val="24"/>
        </w:rPr>
        <w:t xml:space="preserve">recorded an under expenditure of R141.347 million at the end of the period under review. </w:t>
      </w:r>
      <w:r w:rsidR="00580E0F" w:rsidRPr="00B40308">
        <w:rPr>
          <w:rFonts w:ascii="Times New Roman" w:eastAsia="Calibri" w:hAnsi="Times New Roman" w:cs="Times New Roman"/>
          <w:sz w:val="24"/>
          <w:szCs w:val="24"/>
        </w:rPr>
        <w:t xml:space="preserve">The year-to-date expenditure </w:t>
      </w:r>
      <w:r w:rsidR="00793DCA" w:rsidRPr="00B40308">
        <w:rPr>
          <w:rFonts w:ascii="Times New Roman" w:eastAsia="Calibri" w:hAnsi="Times New Roman" w:cs="Times New Roman"/>
          <w:sz w:val="24"/>
          <w:szCs w:val="24"/>
        </w:rPr>
        <w:t xml:space="preserve">as </w:t>
      </w:r>
      <w:r w:rsidR="00580E0F" w:rsidRPr="00B40308">
        <w:rPr>
          <w:rFonts w:ascii="Times New Roman" w:eastAsia="Calibri" w:hAnsi="Times New Roman" w:cs="Times New Roman"/>
          <w:sz w:val="24"/>
          <w:szCs w:val="24"/>
        </w:rPr>
        <w:t xml:space="preserve">at the end of the </w:t>
      </w:r>
      <w:r w:rsidR="00793DCA" w:rsidRPr="00B40308">
        <w:rPr>
          <w:rFonts w:ascii="Times New Roman" w:eastAsia="Calibri" w:hAnsi="Times New Roman" w:cs="Times New Roman"/>
          <w:sz w:val="24"/>
          <w:szCs w:val="24"/>
        </w:rPr>
        <w:t>2</w:t>
      </w:r>
      <w:r w:rsidR="00793DCA" w:rsidRPr="00B40308">
        <w:rPr>
          <w:rFonts w:ascii="Times New Roman" w:eastAsia="Calibri" w:hAnsi="Times New Roman" w:cs="Times New Roman"/>
          <w:sz w:val="24"/>
          <w:szCs w:val="24"/>
          <w:vertAlign w:val="superscript"/>
        </w:rPr>
        <w:t>nd</w:t>
      </w:r>
      <w:r w:rsidR="00793DCA" w:rsidRPr="00B40308">
        <w:rPr>
          <w:rFonts w:ascii="Times New Roman" w:eastAsia="Calibri" w:hAnsi="Times New Roman" w:cs="Times New Roman"/>
          <w:sz w:val="24"/>
          <w:szCs w:val="24"/>
        </w:rPr>
        <w:t xml:space="preserve"> quarter</w:t>
      </w:r>
      <w:r w:rsidR="00580E0F" w:rsidRPr="00B40308">
        <w:rPr>
          <w:rFonts w:ascii="Times New Roman" w:eastAsia="Calibri" w:hAnsi="Times New Roman" w:cs="Times New Roman"/>
          <w:sz w:val="24"/>
          <w:szCs w:val="24"/>
        </w:rPr>
        <w:t xml:space="preserve"> of the 2016/17 financial year was 45.1 per cent which was substantially below the norm of 50 per cent. </w:t>
      </w:r>
      <w:r w:rsidR="00685915" w:rsidRPr="00B40308">
        <w:rPr>
          <w:rFonts w:ascii="Times New Roman" w:eastAsia="Calibri" w:hAnsi="Times New Roman" w:cs="Times New Roman"/>
          <w:sz w:val="24"/>
          <w:szCs w:val="24"/>
        </w:rPr>
        <w:t xml:space="preserve">Whist the Committee notes the reported reasons for the under expenditure, it emphasised the importance of </w:t>
      </w:r>
      <w:r w:rsidR="00793DCA" w:rsidRPr="00B40308">
        <w:rPr>
          <w:rFonts w:ascii="Times New Roman" w:eastAsia="Calibri" w:hAnsi="Times New Roman" w:cs="Times New Roman"/>
          <w:sz w:val="24"/>
          <w:szCs w:val="24"/>
        </w:rPr>
        <w:t xml:space="preserve">aligning </w:t>
      </w:r>
      <w:r w:rsidR="00685915" w:rsidRPr="00B40308">
        <w:rPr>
          <w:rFonts w:ascii="Times New Roman" w:eastAsia="Calibri" w:hAnsi="Times New Roman" w:cs="Times New Roman"/>
          <w:sz w:val="24"/>
          <w:szCs w:val="24"/>
        </w:rPr>
        <w:t xml:space="preserve">expenditure </w:t>
      </w:r>
      <w:r w:rsidR="00793DCA" w:rsidRPr="00B40308">
        <w:rPr>
          <w:rFonts w:ascii="Times New Roman" w:eastAsia="Calibri" w:hAnsi="Times New Roman" w:cs="Times New Roman"/>
          <w:sz w:val="24"/>
          <w:szCs w:val="24"/>
        </w:rPr>
        <w:t xml:space="preserve">with budget </w:t>
      </w:r>
      <w:r w:rsidR="00685915" w:rsidRPr="00B40308">
        <w:rPr>
          <w:rFonts w:ascii="Times New Roman" w:eastAsia="Calibri" w:hAnsi="Times New Roman" w:cs="Times New Roman"/>
          <w:sz w:val="24"/>
          <w:szCs w:val="24"/>
        </w:rPr>
        <w:t xml:space="preserve">projections during the course of the financial year. </w:t>
      </w:r>
    </w:p>
    <w:p w:rsidR="00B04979" w:rsidRPr="00B40308" w:rsidRDefault="00553910"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5</w:t>
      </w:r>
      <w:r w:rsidR="00B04979" w:rsidRPr="00B40308">
        <w:rPr>
          <w:rFonts w:ascii="Times New Roman" w:eastAsia="Calibri" w:hAnsi="Times New Roman" w:cs="Times New Roman"/>
          <w:sz w:val="24"/>
          <w:szCs w:val="24"/>
        </w:rPr>
        <w:t>.2.2</w:t>
      </w:r>
      <w:r w:rsidR="00B04979" w:rsidRPr="00B40308">
        <w:rPr>
          <w:rFonts w:ascii="Times New Roman" w:eastAsia="Calibri" w:hAnsi="Times New Roman" w:cs="Times New Roman"/>
          <w:sz w:val="24"/>
          <w:szCs w:val="24"/>
        </w:rPr>
        <w:tab/>
        <w:t xml:space="preserve">The Committee is of the view that that Parliament needs to be more </w:t>
      </w:r>
      <w:r w:rsidR="00793DCA" w:rsidRPr="00B40308">
        <w:rPr>
          <w:rFonts w:ascii="Times New Roman" w:eastAsia="Calibri" w:hAnsi="Times New Roman" w:cs="Times New Roman"/>
          <w:sz w:val="24"/>
          <w:szCs w:val="24"/>
        </w:rPr>
        <w:t xml:space="preserve">systematic and </w:t>
      </w:r>
      <w:r w:rsidR="00B04979" w:rsidRPr="00B40308">
        <w:rPr>
          <w:rFonts w:ascii="Times New Roman" w:eastAsia="Calibri" w:hAnsi="Times New Roman" w:cs="Times New Roman"/>
          <w:sz w:val="24"/>
          <w:szCs w:val="24"/>
        </w:rPr>
        <w:t xml:space="preserve">transparent in its reporting on budget expenditure of appropriated and donor funds. The Committee notes that Parliament reports in line with the prescripts of the </w:t>
      </w:r>
      <w:r w:rsidR="00793DCA" w:rsidRPr="00B40308">
        <w:rPr>
          <w:rFonts w:ascii="Times New Roman" w:eastAsia="Calibri" w:hAnsi="Times New Roman" w:cs="Times New Roman"/>
          <w:sz w:val="24"/>
          <w:szCs w:val="24"/>
        </w:rPr>
        <w:t>FMPPLA</w:t>
      </w:r>
      <w:r w:rsidR="00B04979" w:rsidRPr="00B40308">
        <w:rPr>
          <w:rFonts w:ascii="Times New Roman" w:eastAsia="Calibri" w:hAnsi="Times New Roman" w:cs="Times New Roman"/>
          <w:sz w:val="24"/>
          <w:szCs w:val="24"/>
        </w:rPr>
        <w:t xml:space="preserve"> and not necessarily in line with the reporting templates as provided by </w:t>
      </w:r>
      <w:r w:rsidR="00793DCA" w:rsidRPr="00B40308">
        <w:rPr>
          <w:rFonts w:ascii="Times New Roman" w:eastAsia="Calibri" w:hAnsi="Times New Roman" w:cs="Times New Roman"/>
          <w:sz w:val="24"/>
          <w:szCs w:val="24"/>
        </w:rPr>
        <w:t xml:space="preserve">the Department of Planning, Monitoring and Evaluation and </w:t>
      </w:r>
      <w:r w:rsidR="00B04979" w:rsidRPr="00B40308">
        <w:rPr>
          <w:rFonts w:ascii="Times New Roman" w:eastAsia="Calibri" w:hAnsi="Times New Roman" w:cs="Times New Roman"/>
          <w:sz w:val="24"/>
          <w:szCs w:val="24"/>
        </w:rPr>
        <w:t xml:space="preserve">National Treasury. </w:t>
      </w:r>
      <w:r w:rsidR="00793DCA" w:rsidRPr="00B40308">
        <w:rPr>
          <w:rFonts w:ascii="Times New Roman" w:eastAsia="Calibri" w:hAnsi="Times New Roman" w:cs="Times New Roman"/>
          <w:sz w:val="24"/>
          <w:szCs w:val="24"/>
        </w:rPr>
        <w:t>H</w:t>
      </w:r>
      <w:r w:rsidR="00B04979" w:rsidRPr="00B40308">
        <w:rPr>
          <w:rFonts w:ascii="Times New Roman" w:eastAsia="Calibri" w:hAnsi="Times New Roman" w:cs="Times New Roman"/>
          <w:sz w:val="24"/>
          <w:szCs w:val="24"/>
        </w:rPr>
        <w:t>owever</w:t>
      </w:r>
      <w:r w:rsidR="00793DCA" w:rsidRPr="00B40308">
        <w:rPr>
          <w:rFonts w:ascii="Times New Roman" w:eastAsia="Calibri" w:hAnsi="Times New Roman" w:cs="Times New Roman"/>
          <w:sz w:val="24"/>
          <w:szCs w:val="24"/>
        </w:rPr>
        <w:t>, the Committee</w:t>
      </w:r>
      <w:r w:rsidR="00B04979" w:rsidRPr="00B40308">
        <w:rPr>
          <w:rFonts w:ascii="Times New Roman" w:eastAsia="Calibri" w:hAnsi="Times New Roman" w:cs="Times New Roman"/>
          <w:sz w:val="24"/>
          <w:szCs w:val="24"/>
        </w:rPr>
        <w:t xml:space="preserve"> is of the view that these reporting templates as prescribed by </w:t>
      </w:r>
      <w:r w:rsidR="00793DCA" w:rsidRPr="00B40308">
        <w:rPr>
          <w:rFonts w:ascii="Times New Roman" w:eastAsia="Calibri" w:hAnsi="Times New Roman" w:cs="Times New Roman"/>
          <w:sz w:val="24"/>
          <w:szCs w:val="24"/>
        </w:rPr>
        <w:t xml:space="preserve">the Department of Planning, Monitoring and Evaluation and </w:t>
      </w:r>
      <w:r w:rsidR="00B04979" w:rsidRPr="00B40308">
        <w:rPr>
          <w:rFonts w:ascii="Times New Roman" w:eastAsia="Calibri" w:hAnsi="Times New Roman" w:cs="Times New Roman"/>
          <w:sz w:val="24"/>
          <w:szCs w:val="24"/>
        </w:rPr>
        <w:t xml:space="preserve">National Treasury </w:t>
      </w:r>
      <w:r w:rsidR="00793DCA" w:rsidRPr="00B40308">
        <w:rPr>
          <w:rFonts w:ascii="Times New Roman" w:eastAsia="Calibri" w:hAnsi="Times New Roman" w:cs="Times New Roman"/>
          <w:sz w:val="24"/>
          <w:szCs w:val="24"/>
        </w:rPr>
        <w:t>are</w:t>
      </w:r>
      <w:r w:rsidR="00B04979" w:rsidRPr="00B40308">
        <w:rPr>
          <w:rFonts w:ascii="Times New Roman" w:eastAsia="Calibri" w:hAnsi="Times New Roman" w:cs="Times New Roman"/>
          <w:sz w:val="24"/>
          <w:szCs w:val="24"/>
        </w:rPr>
        <w:t xml:space="preserve"> more user-friendly and transparent </w:t>
      </w:r>
      <w:r w:rsidR="00793DCA" w:rsidRPr="00B40308">
        <w:rPr>
          <w:rFonts w:ascii="Times New Roman" w:eastAsia="Calibri" w:hAnsi="Times New Roman" w:cs="Times New Roman"/>
          <w:sz w:val="24"/>
          <w:szCs w:val="24"/>
        </w:rPr>
        <w:t xml:space="preserve">and enhance the </w:t>
      </w:r>
      <w:r w:rsidR="00B04979" w:rsidRPr="00B40308">
        <w:rPr>
          <w:rFonts w:ascii="Times New Roman" w:eastAsia="Calibri" w:hAnsi="Times New Roman" w:cs="Times New Roman"/>
          <w:sz w:val="24"/>
          <w:szCs w:val="24"/>
        </w:rPr>
        <w:t>oversight process</w:t>
      </w:r>
      <w:r w:rsidR="00793DCA" w:rsidRPr="00B40308">
        <w:rPr>
          <w:rFonts w:ascii="Times New Roman" w:eastAsia="Calibri" w:hAnsi="Times New Roman" w:cs="Times New Roman"/>
          <w:sz w:val="24"/>
          <w:szCs w:val="24"/>
        </w:rPr>
        <w:t xml:space="preserve"> and public accountability</w:t>
      </w:r>
      <w:r w:rsidR="00B04979" w:rsidRPr="00B40308">
        <w:rPr>
          <w:rFonts w:ascii="Times New Roman" w:eastAsia="Calibri" w:hAnsi="Times New Roman" w:cs="Times New Roman"/>
          <w:sz w:val="24"/>
          <w:szCs w:val="24"/>
        </w:rPr>
        <w:t xml:space="preserve">. </w:t>
      </w:r>
    </w:p>
    <w:p w:rsidR="00821866" w:rsidRPr="00B40308" w:rsidRDefault="00553910" w:rsidP="00B40308">
      <w:pPr>
        <w:spacing w:before="120" w:after="120" w:line="240" w:lineRule="auto"/>
        <w:ind w:left="720" w:hanging="720"/>
        <w:contextualSpacing/>
        <w:jc w:val="both"/>
        <w:rPr>
          <w:rFonts w:ascii="Times New Roman" w:eastAsia="Times New Roman" w:hAnsi="Times New Roman" w:cs="Times New Roman"/>
          <w:spacing w:val="6"/>
          <w:sz w:val="24"/>
          <w:szCs w:val="24"/>
          <w:lang w:val="en-GB" w:eastAsia="en-GB"/>
        </w:rPr>
      </w:pPr>
      <w:r w:rsidRPr="00B40308">
        <w:rPr>
          <w:rFonts w:ascii="Times New Roman" w:eastAsia="Calibri" w:hAnsi="Times New Roman" w:cs="Times New Roman"/>
          <w:sz w:val="24"/>
          <w:szCs w:val="24"/>
        </w:rPr>
        <w:t>5</w:t>
      </w:r>
      <w:r w:rsidR="00BC2DD6" w:rsidRPr="00B40308">
        <w:rPr>
          <w:rFonts w:ascii="Times New Roman" w:eastAsia="Calibri" w:hAnsi="Times New Roman" w:cs="Times New Roman"/>
          <w:sz w:val="24"/>
          <w:szCs w:val="24"/>
        </w:rPr>
        <w:t>.2.3</w:t>
      </w:r>
      <w:r w:rsidR="00685915" w:rsidRPr="00B40308">
        <w:rPr>
          <w:rFonts w:ascii="Times New Roman" w:eastAsia="Calibri" w:hAnsi="Times New Roman" w:cs="Times New Roman"/>
          <w:sz w:val="24"/>
          <w:szCs w:val="24"/>
        </w:rPr>
        <w:tab/>
      </w:r>
      <w:r w:rsidR="00685915" w:rsidRPr="00B40308">
        <w:rPr>
          <w:rFonts w:ascii="Times New Roman" w:eastAsia="Times New Roman" w:hAnsi="Times New Roman" w:cs="Times New Roman"/>
          <w:spacing w:val="6"/>
          <w:sz w:val="24"/>
          <w:szCs w:val="24"/>
          <w:lang w:val="en-GB" w:eastAsia="en-GB"/>
        </w:rPr>
        <w:t xml:space="preserve">The Committee </w:t>
      </w:r>
      <w:r w:rsidR="003C7CD4" w:rsidRPr="00B40308">
        <w:rPr>
          <w:rFonts w:ascii="Times New Roman" w:eastAsia="Times New Roman" w:hAnsi="Times New Roman" w:cs="Times New Roman"/>
          <w:spacing w:val="6"/>
          <w:sz w:val="24"/>
          <w:szCs w:val="24"/>
          <w:lang w:val="en-GB" w:eastAsia="en-GB"/>
        </w:rPr>
        <w:t xml:space="preserve">is concerned </w:t>
      </w:r>
      <w:r w:rsidR="00525AD7" w:rsidRPr="00B40308">
        <w:rPr>
          <w:rFonts w:ascii="Times New Roman" w:eastAsia="Times New Roman" w:hAnsi="Times New Roman" w:cs="Times New Roman"/>
          <w:spacing w:val="6"/>
          <w:sz w:val="24"/>
          <w:szCs w:val="24"/>
          <w:lang w:val="en-GB" w:eastAsia="en-GB"/>
        </w:rPr>
        <w:t>with</w:t>
      </w:r>
      <w:r w:rsidR="00685915" w:rsidRPr="00B40308">
        <w:rPr>
          <w:rFonts w:ascii="Times New Roman" w:eastAsia="Times New Roman" w:hAnsi="Times New Roman" w:cs="Times New Roman"/>
          <w:spacing w:val="6"/>
          <w:sz w:val="24"/>
          <w:szCs w:val="24"/>
          <w:lang w:val="en-GB" w:eastAsia="en-GB"/>
        </w:rPr>
        <w:t xml:space="preserve"> the amount of resources allocated towards support for individual Members of Parliament when compared to other national legislatures and requested that this be addressed expeditiously. The Committee </w:t>
      </w:r>
      <w:r w:rsidR="00793DCA" w:rsidRPr="00B40308">
        <w:rPr>
          <w:rFonts w:ascii="Times New Roman" w:eastAsia="Times New Roman" w:hAnsi="Times New Roman" w:cs="Times New Roman"/>
          <w:spacing w:val="6"/>
          <w:sz w:val="24"/>
          <w:szCs w:val="24"/>
          <w:lang w:val="en-GB" w:eastAsia="en-GB"/>
        </w:rPr>
        <w:t>though</w:t>
      </w:r>
      <w:r w:rsidR="00685915" w:rsidRPr="00B40308">
        <w:rPr>
          <w:rFonts w:ascii="Times New Roman" w:eastAsia="Times New Roman" w:hAnsi="Times New Roman" w:cs="Times New Roman"/>
          <w:spacing w:val="6"/>
          <w:sz w:val="24"/>
          <w:szCs w:val="24"/>
          <w:lang w:val="en-GB" w:eastAsia="en-GB"/>
        </w:rPr>
        <w:t xml:space="preserve"> notes that the Secretary to Parliament agreed that there was a need for improvements around support for individual Members of Parliament and that </w:t>
      </w:r>
      <w:r w:rsidR="00685915" w:rsidRPr="00B40308">
        <w:rPr>
          <w:rFonts w:ascii="Times New Roman" w:eastAsia="Times New Roman" w:hAnsi="Times New Roman" w:cs="Times New Roman"/>
          <w:spacing w:val="6"/>
          <w:sz w:val="24"/>
          <w:szCs w:val="24"/>
          <w:lang w:val="en-GB" w:eastAsia="en-GB"/>
        </w:rPr>
        <w:lastRenderedPageBreak/>
        <w:t xml:space="preserve">National Treasury will be engaged with a view to securing more funding to address the matter. </w:t>
      </w:r>
    </w:p>
    <w:p w:rsidR="00913B80" w:rsidRPr="00B40308" w:rsidRDefault="00793DCA" w:rsidP="00B40308">
      <w:pPr>
        <w:spacing w:before="120" w:after="120" w:line="240" w:lineRule="auto"/>
        <w:rPr>
          <w:rFonts w:ascii="Times New Roman" w:eastAsia="Times New Roman" w:hAnsi="Times New Roman" w:cs="Times New Roman"/>
          <w:b/>
          <w:i/>
          <w:spacing w:val="6"/>
          <w:sz w:val="24"/>
          <w:szCs w:val="24"/>
          <w:u w:val="single"/>
          <w:lang w:val="en-GB" w:eastAsia="en-GB"/>
        </w:rPr>
      </w:pPr>
      <w:r w:rsidRPr="00B40308">
        <w:rPr>
          <w:rFonts w:ascii="Times New Roman" w:eastAsia="Calibri" w:hAnsi="Times New Roman" w:cs="Times New Roman"/>
          <w:b/>
          <w:sz w:val="24"/>
          <w:szCs w:val="24"/>
        </w:rPr>
        <w:t>5</w:t>
      </w:r>
      <w:r w:rsidR="00566816" w:rsidRPr="00B40308">
        <w:rPr>
          <w:rFonts w:ascii="Times New Roman" w:eastAsia="Calibri" w:hAnsi="Times New Roman" w:cs="Times New Roman"/>
          <w:b/>
          <w:sz w:val="24"/>
          <w:szCs w:val="24"/>
        </w:rPr>
        <w:t>.3</w:t>
      </w:r>
      <w:r w:rsidR="00913B80" w:rsidRPr="00B40308">
        <w:rPr>
          <w:rFonts w:ascii="Times New Roman" w:eastAsia="Calibri" w:hAnsi="Times New Roman" w:cs="Times New Roman"/>
          <w:b/>
          <w:sz w:val="24"/>
          <w:szCs w:val="24"/>
        </w:rPr>
        <w:tab/>
      </w:r>
      <w:r w:rsidR="00913B80" w:rsidRPr="00B40308">
        <w:rPr>
          <w:rFonts w:ascii="Times New Roman" w:eastAsia="Times New Roman" w:hAnsi="Times New Roman" w:cs="Times New Roman"/>
          <w:b/>
          <w:i/>
          <w:spacing w:val="6"/>
          <w:sz w:val="24"/>
          <w:szCs w:val="24"/>
          <w:u w:val="single"/>
          <w:lang w:val="en-GB" w:eastAsia="en-GB"/>
        </w:rPr>
        <w:t>2015/16 Annual Report information</w:t>
      </w:r>
    </w:p>
    <w:p w:rsidR="00913B80" w:rsidRPr="00B40308" w:rsidRDefault="00913B80" w:rsidP="00B40308">
      <w:pPr>
        <w:spacing w:before="120" w:after="120" w:line="240" w:lineRule="auto"/>
        <w:jc w:val="both"/>
        <w:rPr>
          <w:rFonts w:ascii="Times New Roman" w:eastAsia="Times New Roman" w:hAnsi="Times New Roman" w:cs="Times New Roman"/>
          <w:spacing w:val="6"/>
          <w:sz w:val="24"/>
          <w:szCs w:val="24"/>
          <w:lang w:val="en-GB" w:eastAsia="en-GB"/>
        </w:rPr>
      </w:pPr>
    </w:p>
    <w:p w:rsidR="00BC2DD6" w:rsidRPr="00B40308" w:rsidRDefault="00525AD7" w:rsidP="00B40308">
      <w:pPr>
        <w:spacing w:before="120" w:after="120" w:line="240" w:lineRule="auto"/>
        <w:ind w:left="720" w:hanging="720"/>
        <w:jc w:val="both"/>
        <w:rPr>
          <w:rFonts w:ascii="Times New Roman" w:eastAsia="Times New Roman" w:hAnsi="Times New Roman" w:cs="Times New Roman"/>
          <w:spacing w:val="6"/>
          <w:sz w:val="24"/>
          <w:szCs w:val="24"/>
          <w:lang w:val="en-GB" w:eastAsia="en-GB"/>
        </w:rPr>
      </w:pPr>
      <w:r w:rsidRPr="00B40308">
        <w:rPr>
          <w:rFonts w:ascii="Times New Roman" w:eastAsia="Times New Roman" w:hAnsi="Times New Roman" w:cs="Times New Roman"/>
          <w:spacing w:val="6"/>
          <w:sz w:val="24"/>
          <w:szCs w:val="24"/>
          <w:lang w:val="en-GB" w:eastAsia="en-GB"/>
        </w:rPr>
        <w:t>5</w:t>
      </w:r>
      <w:r w:rsidR="00566816" w:rsidRPr="00B40308">
        <w:rPr>
          <w:rFonts w:ascii="Times New Roman" w:eastAsia="Times New Roman" w:hAnsi="Times New Roman" w:cs="Times New Roman"/>
          <w:spacing w:val="6"/>
          <w:sz w:val="24"/>
          <w:szCs w:val="24"/>
          <w:lang w:val="en-GB" w:eastAsia="en-GB"/>
        </w:rPr>
        <w:t>.3</w:t>
      </w:r>
      <w:r w:rsidR="00913B80" w:rsidRPr="00B40308">
        <w:rPr>
          <w:rFonts w:ascii="Times New Roman" w:eastAsia="Times New Roman" w:hAnsi="Times New Roman" w:cs="Times New Roman"/>
          <w:spacing w:val="6"/>
          <w:sz w:val="24"/>
          <w:szCs w:val="24"/>
          <w:lang w:val="en-GB" w:eastAsia="en-GB"/>
        </w:rPr>
        <w:t>.1</w:t>
      </w:r>
      <w:r w:rsidR="00913B80" w:rsidRPr="00B40308">
        <w:rPr>
          <w:rFonts w:ascii="Times New Roman" w:eastAsia="Times New Roman" w:hAnsi="Times New Roman" w:cs="Times New Roman"/>
          <w:spacing w:val="6"/>
          <w:sz w:val="24"/>
          <w:szCs w:val="24"/>
          <w:lang w:val="en-GB" w:eastAsia="en-GB"/>
        </w:rPr>
        <w:tab/>
        <w:t xml:space="preserve">The Committee notes with concern the reported inaccurate information contained in the Annual Report for the 2015/16 financial year. Specific reference was made to </w:t>
      </w:r>
      <w:r w:rsidR="00A30DA1" w:rsidRPr="00B40308">
        <w:rPr>
          <w:rFonts w:ascii="Times New Roman" w:eastAsia="Times New Roman" w:hAnsi="Times New Roman" w:cs="Times New Roman"/>
          <w:spacing w:val="6"/>
          <w:sz w:val="24"/>
          <w:szCs w:val="24"/>
          <w:lang w:val="en-GB" w:eastAsia="en-GB"/>
        </w:rPr>
        <w:t>i</w:t>
      </w:r>
      <w:r w:rsidR="00913B80" w:rsidRPr="00B40308">
        <w:rPr>
          <w:rFonts w:ascii="Times New Roman" w:eastAsia="Times New Roman" w:hAnsi="Times New Roman" w:cs="Times New Roman"/>
          <w:spacing w:val="6"/>
          <w:sz w:val="24"/>
          <w:szCs w:val="24"/>
          <w:lang w:val="en-GB" w:eastAsia="en-GB"/>
        </w:rPr>
        <w:t>nformation on performance rewards</w:t>
      </w:r>
      <w:r w:rsidRPr="00B40308">
        <w:rPr>
          <w:rFonts w:ascii="Times New Roman" w:eastAsia="Times New Roman" w:hAnsi="Times New Roman" w:cs="Times New Roman"/>
          <w:spacing w:val="6"/>
          <w:sz w:val="24"/>
          <w:szCs w:val="24"/>
          <w:lang w:val="en-GB" w:eastAsia="en-GB"/>
        </w:rPr>
        <w:t xml:space="preserve">, </w:t>
      </w:r>
      <w:r w:rsidR="00913B80" w:rsidRPr="00B40308">
        <w:rPr>
          <w:rFonts w:ascii="Times New Roman" w:eastAsia="Times New Roman" w:hAnsi="Times New Roman" w:cs="Times New Roman"/>
          <w:spacing w:val="6"/>
          <w:sz w:val="24"/>
          <w:szCs w:val="24"/>
          <w:lang w:val="en-GB" w:eastAsia="en-GB"/>
        </w:rPr>
        <w:t xml:space="preserve">particularly </w:t>
      </w:r>
      <w:r w:rsidRPr="00B40308">
        <w:rPr>
          <w:rFonts w:ascii="Times New Roman" w:eastAsia="Times New Roman" w:hAnsi="Times New Roman" w:cs="Times New Roman"/>
          <w:spacing w:val="6"/>
          <w:sz w:val="24"/>
          <w:szCs w:val="24"/>
          <w:lang w:val="en-GB" w:eastAsia="en-GB"/>
        </w:rPr>
        <w:t xml:space="preserve">with respect to </w:t>
      </w:r>
      <w:r w:rsidR="00913B80" w:rsidRPr="00B40308">
        <w:rPr>
          <w:rFonts w:ascii="Times New Roman" w:eastAsia="Times New Roman" w:hAnsi="Times New Roman" w:cs="Times New Roman"/>
          <w:spacing w:val="6"/>
          <w:sz w:val="24"/>
          <w:szCs w:val="24"/>
          <w:lang w:val="en-GB" w:eastAsia="en-GB"/>
        </w:rPr>
        <w:t>Level D person</w:t>
      </w:r>
      <w:r w:rsidRPr="00B40308">
        <w:rPr>
          <w:rFonts w:ascii="Times New Roman" w:eastAsia="Times New Roman" w:hAnsi="Times New Roman" w:cs="Times New Roman"/>
          <w:spacing w:val="6"/>
          <w:sz w:val="24"/>
          <w:szCs w:val="24"/>
          <w:lang w:val="en-GB" w:eastAsia="en-GB"/>
        </w:rPr>
        <w:t xml:space="preserve">nel </w:t>
      </w:r>
      <w:r w:rsidR="00913B80" w:rsidRPr="00B40308">
        <w:rPr>
          <w:rFonts w:ascii="Times New Roman" w:eastAsia="Times New Roman" w:hAnsi="Times New Roman" w:cs="Times New Roman"/>
          <w:spacing w:val="6"/>
          <w:sz w:val="24"/>
          <w:szCs w:val="24"/>
          <w:lang w:val="en-GB" w:eastAsia="en-GB"/>
        </w:rPr>
        <w:t xml:space="preserve">and </w:t>
      </w:r>
      <w:r w:rsidRPr="00B40308">
        <w:rPr>
          <w:rFonts w:ascii="Times New Roman" w:eastAsia="Times New Roman" w:hAnsi="Times New Roman" w:cs="Times New Roman"/>
          <w:spacing w:val="6"/>
          <w:sz w:val="24"/>
          <w:szCs w:val="24"/>
          <w:lang w:val="en-GB" w:eastAsia="en-GB"/>
        </w:rPr>
        <w:t xml:space="preserve">on </w:t>
      </w:r>
      <w:r w:rsidR="00913B80" w:rsidRPr="00B40308">
        <w:rPr>
          <w:rFonts w:ascii="Times New Roman" w:eastAsia="Times New Roman" w:hAnsi="Times New Roman" w:cs="Times New Roman"/>
          <w:spacing w:val="6"/>
          <w:sz w:val="24"/>
          <w:szCs w:val="24"/>
          <w:lang w:val="en-GB" w:eastAsia="en-GB"/>
        </w:rPr>
        <w:t>performance rewards for senior and top management</w:t>
      </w:r>
      <w:r w:rsidR="00D27ACE" w:rsidRPr="00B40308">
        <w:rPr>
          <w:rFonts w:ascii="Times New Roman" w:eastAsia="Times New Roman" w:hAnsi="Times New Roman" w:cs="Times New Roman"/>
          <w:spacing w:val="6"/>
          <w:sz w:val="24"/>
          <w:szCs w:val="24"/>
          <w:lang w:val="en-GB" w:eastAsia="en-GB"/>
        </w:rPr>
        <w:t>.</w:t>
      </w:r>
      <w:r w:rsidR="00913B80" w:rsidRPr="00B40308">
        <w:rPr>
          <w:rFonts w:ascii="Times New Roman" w:eastAsia="Times New Roman" w:hAnsi="Times New Roman" w:cs="Times New Roman"/>
          <w:spacing w:val="6"/>
          <w:sz w:val="24"/>
          <w:szCs w:val="24"/>
          <w:lang w:val="en-GB" w:eastAsia="en-GB"/>
        </w:rPr>
        <w:t xml:space="preserve"> </w:t>
      </w:r>
    </w:p>
    <w:p w:rsidR="00BC2DD6" w:rsidRPr="00B40308" w:rsidRDefault="00BC2DD6" w:rsidP="00B40308">
      <w:pPr>
        <w:spacing w:before="120" w:after="120" w:line="240" w:lineRule="auto"/>
        <w:ind w:left="567" w:hanging="567"/>
        <w:jc w:val="both"/>
        <w:rPr>
          <w:rFonts w:ascii="Times New Roman" w:eastAsia="Times New Roman" w:hAnsi="Times New Roman" w:cs="Times New Roman"/>
          <w:spacing w:val="6"/>
          <w:sz w:val="24"/>
          <w:szCs w:val="24"/>
          <w:lang w:val="en-GB" w:eastAsia="en-GB"/>
        </w:rPr>
      </w:pPr>
    </w:p>
    <w:p w:rsidR="003C7CD4" w:rsidRPr="00B40308" w:rsidRDefault="00D27ACE" w:rsidP="00B40308">
      <w:pPr>
        <w:spacing w:before="120" w:after="120" w:line="240" w:lineRule="auto"/>
        <w:ind w:left="720" w:hanging="720"/>
        <w:contextualSpacing/>
        <w:jc w:val="both"/>
        <w:rPr>
          <w:rFonts w:ascii="Times New Roman" w:eastAsia="Times New Roman" w:hAnsi="Times New Roman" w:cs="Times New Roman"/>
          <w:spacing w:val="6"/>
          <w:sz w:val="24"/>
          <w:szCs w:val="24"/>
          <w:lang w:val="en-GB" w:eastAsia="en-GB"/>
        </w:rPr>
      </w:pPr>
      <w:r w:rsidRPr="00B40308">
        <w:rPr>
          <w:rFonts w:ascii="Times New Roman" w:eastAsia="Times New Roman" w:hAnsi="Times New Roman" w:cs="Times New Roman"/>
          <w:spacing w:val="6"/>
          <w:sz w:val="24"/>
          <w:szCs w:val="24"/>
          <w:lang w:val="en-GB" w:eastAsia="en-GB"/>
        </w:rPr>
        <w:t>5</w:t>
      </w:r>
      <w:r w:rsidR="00566816" w:rsidRPr="00B40308">
        <w:rPr>
          <w:rFonts w:ascii="Times New Roman" w:eastAsia="Times New Roman" w:hAnsi="Times New Roman" w:cs="Times New Roman"/>
          <w:spacing w:val="6"/>
          <w:sz w:val="24"/>
          <w:szCs w:val="24"/>
          <w:lang w:val="en-GB" w:eastAsia="en-GB"/>
        </w:rPr>
        <w:t>.3</w:t>
      </w:r>
      <w:r w:rsidR="00BC2DD6" w:rsidRPr="00B40308">
        <w:rPr>
          <w:rFonts w:ascii="Times New Roman" w:eastAsia="Times New Roman" w:hAnsi="Times New Roman" w:cs="Times New Roman"/>
          <w:spacing w:val="6"/>
          <w:sz w:val="24"/>
          <w:szCs w:val="24"/>
          <w:lang w:val="en-GB" w:eastAsia="en-GB"/>
        </w:rPr>
        <w:t>.2</w:t>
      </w:r>
      <w:r w:rsidR="00BC2DD6" w:rsidRPr="00B40308">
        <w:rPr>
          <w:rFonts w:ascii="Times New Roman" w:eastAsia="Times New Roman" w:hAnsi="Times New Roman" w:cs="Times New Roman"/>
          <w:spacing w:val="6"/>
          <w:sz w:val="24"/>
          <w:szCs w:val="24"/>
          <w:lang w:val="en-GB" w:eastAsia="en-GB"/>
        </w:rPr>
        <w:tab/>
        <w:t>Parliament reported in its written response to the above-mentioned matter that the Annual Financial Statements are prepared in accordance with Generally Recognised Accounting Practice (GRAP) and expenses are recognised when incurred and not when paid. The performance bonus appearing under note 31 are provisions (constructive obligation) and must be read in conjunction with note 14 and the Statement of Financial Position (SOFP). The performance bonus is reflected as current employee obligations under current liabilities of the SOFP which means that the amount was still not paid out at the reporting period (31 March 2016).</w:t>
      </w:r>
    </w:p>
    <w:p w:rsidR="00DF28D9" w:rsidRPr="00B40308" w:rsidRDefault="00DF28D9" w:rsidP="00B40308">
      <w:pPr>
        <w:spacing w:before="120" w:after="120" w:line="240" w:lineRule="auto"/>
        <w:jc w:val="both"/>
        <w:rPr>
          <w:rFonts w:ascii="Times New Roman" w:eastAsia="Calibri" w:hAnsi="Times New Roman" w:cs="Times New Roman"/>
          <w:sz w:val="24"/>
          <w:szCs w:val="24"/>
        </w:rPr>
      </w:pPr>
    </w:p>
    <w:p w:rsidR="00821866" w:rsidRPr="00B40308" w:rsidRDefault="00A30DA1" w:rsidP="00B40308">
      <w:pPr>
        <w:spacing w:before="120" w:after="120" w:line="240" w:lineRule="auto"/>
        <w:jc w:val="both"/>
        <w:rPr>
          <w:rFonts w:ascii="Times New Roman" w:eastAsia="Calibri" w:hAnsi="Times New Roman" w:cs="Times New Roman"/>
          <w:b/>
          <w:i/>
          <w:sz w:val="24"/>
          <w:szCs w:val="24"/>
        </w:rPr>
      </w:pPr>
      <w:r w:rsidRPr="00B40308">
        <w:rPr>
          <w:rFonts w:ascii="Times New Roman" w:eastAsia="Calibri" w:hAnsi="Times New Roman" w:cs="Times New Roman"/>
          <w:b/>
          <w:i/>
          <w:sz w:val="24"/>
          <w:szCs w:val="24"/>
        </w:rPr>
        <w:t>5</w:t>
      </w:r>
      <w:r w:rsidR="00566816" w:rsidRPr="00B40308">
        <w:rPr>
          <w:rFonts w:ascii="Times New Roman" w:eastAsia="Calibri" w:hAnsi="Times New Roman" w:cs="Times New Roman"/>
          <w:b/>
          <w:i/>
          <w:sz w:val="24"/>
          <w:szCs w:val="24"/>
        </w:rPr>
        <w:t>.4</w:t>
      </w:r>
      <w:r w:rsidR="00913B80" w:rsidRPr="00B40308">
        <w:rPr>
          <w:rFonts w:ascii="Times New Roman" w:eastAsia="Calibri" w:hAnsi="Times New Roman" w:cs="Times New Roman"/>
          <w:b/>
          <w:i/>
          <w:sz w:val="24"/>
          <w:szCs w:val="24"/>
        </w:rPr>
        <w:tab/>
      </w:r>
      <w:r w:rsidR="00913B80" w:rsidRPr="00B40308">
        <w:rPr>
          <w:rFonts w:ascii="Times New Roman" w:eastAsia="Calibri" w:hAnsi="Times New Roman" w:cs="Times New Roman"/>
          <w:b/>
          <w:i/>
          <w:sz w:val="24"/>
          <w:szCs w:val="24"/>
          <w:u w:val="single"/>
        </w:rPr>
        <w:t>Relations between Parliament and Organised Labour</w:t>
      </w:r>
    </w:p>
    <w:p w:rsidR="00821866" w:rsidRPr="00B40308" w:rsidRDefault="00821866" w:rsidP="00B40308">
      <w:pPr>
        <w:spacing w:before="120" w:after="120" w:line="240" w:lineRule="auto"/>
        <w:ind w:left="720" w:hanging="720"/>
        <w:jc w:val="both"/>
        <w:rPr>
          <w:rFonts w:ascii="Times New Roman" w:eastAsia="Calibri" w:hAnsi="Times New Roman" w:cs="Times New Roman"/>
          <w:sz w:val="24"/>
          <w:szCs w:val="24"/>
        </w:rPr>
      </w:pPr>
    </w:p>
    <w:p w:rsidR="003C7CD4" w:rsidRPr="00B40308" w:rsidRDefault="00A30DA1" w:rsidP="00B40308">
      <w:pPr>
        <w:spacing w:before="120" w:after="120" w:line="240" w:lineRule="auto"/>
        <w:ind w:left="720" w:hanging="720"/>
        <w:jc w:val="both"/>
        <w:rPr>
          <w:rFonts w:ascii="Times New Roman" w:eastAsia="Times New Roman" w:hAnsi="Times New Roman" w:cs="Times New Roman"/>
          <w:spacing w:val="6"/>
          <w:sz w:val="24"/>
          <w:szCs w:val="24"/>
          <w:lang w:val="en-GB" w:eastAsia="en-GB"/>
        </w:rPr>
      </w:pPr>
      <w:r w:rsidRPr="00B40308">
        <w:rPr>
          <w:rFonts w:ascii="Times New Roman" w:eastAsia="Calibri" w:hAnsi="Times New Roman" w:cs="Times New Roman"/>
          <w:sz w:val="24"/>
          <w:szCs w:val="24"/>
        </w:rPr>
        <w:t>5</w:t>
      </w:r>
      <w:r w:rsidR="00566816" w:rsidRPr="00B40308">
        <w:rPr>
          <w:rFonts w:ascii="Times New Roman" w:eastAsia="Calibri" w:hAnsi="Times New Roman" w:cs="Times New Roman"/>
          <w:sz w:val="24"/>
          <w:szCs w:val="24"/>
        </w:rPr>
        <w:t>.4</w:t>
      </w:r>
      <w:r w:rsidR="003C7CD4" w:rsidRPr="00B40308">
        <w:rPr>
          <w:rFonts w:ascii="Times New Roman" w:eastAsia="Calibri" w:hAnsi="Times New Roman" w:cs="Times New Roman"/>
          <w:sz w:val="24"/>
          <w:szCs w:val="24"/>
        </w:rPr>
        <w:t>.1</w:t>
      </w:r>
      <w:r w:rsidR="003C7CD4" w:rsidRPr="00B40308">
        <w:rPr>
          <w:rFonts w:ascii="Times New Roman" w:eastAsia="Calibri" w:hAnsi="Times New Roman" w:cs="Times New Roman"/>
          <w:sz w:val="24"/>
          <w:szCs w:val="24"/>
        </w:rPr>
        <w:tab/>
        <w:t xml:space="preserve">After enquiry by the Committee, Parliament reported that </w:t>
      </w:r>
      <w:r w:rsidR="003C7CD4" w:rsidRPr="00B40308">
        <w:rPr>
          <w:rFonts w:ascii="Times New Roman" w:eastAsia="Times New Roman" w:hAnsi="Times New Roman" w:cs="Times New Roman"/>
          <w:color w:val="000000"/>
          <w:spacing w:val="6"/>
          <w:sz w:val="24"/>
          <w:szCs w:val="24"/>
          <w:lang w:val="en-GB" w:eastAsia="en-GB"/>
        </w:rPr>
        <w:t xml:space="preserve">a relationship building workshop facilitated by the Commission for Conciliation, Mediation and Arbitration was held on 20 and 21 October 2016 between management and organised labour. The monthly NEHAWU-Management meetings have also resumed with parties engaging robustly on pertinent issues. </w:t>
      </w:r>
      <w:r w:rsidR="003C7CD4" w:rsidRPr="00B40308">
        <w:rPr>
          <w:rFonts w:ascii="Times New Roman" w:eastAsia="Times New Roman" w:hAnsi="Times New Roman" w:cs="Times New Roman"/>
          <w:spacing w:val="6"/>
          <w:sz w:val="24"/>
          <w:szCs w:val="24"/>
          <w:lang w:val="en-GB" w:eastAsia="en-GB"/>
        </w:rPr>
        <w:t>In respect of the Return to Work Agreement concluded on 05 December 2015</w:t>
      </w:r>
      <w:r w:rsidR="00566816" w:rsidRPr="00B40308">
        <w:rPr>
          <w:rFonts w:ascii="Times New Roman" w:eastAsia="Times New Roman" w:hAnsi="Times New Roman" w:cs="Times New Roman"/>
          <w:spacing w:val="6"/>
          <w:sz w:val="24"/>
          <w:szCs w:val="24"/>
          <w:lang w:val="en-GB" w:eastAsia="en-GB"/>
        </w:rPr>
        <w:t xml:space="preserve">, Parliament reported that </w:t>
      </w:r>
      <w:r w:rsidR="003C7CD4" w:rsidRPr="00B40308">
        <w:rPr>
          <w:rFonts w:ascii="Times New Roman" w:eastAsia="Times New Roman" w:hAnsi="Times New Roman" w:cs="Times New Roman"/>
          <w:spacing w:val="6"/>
          <w:sz w:val="24"/>
          <w:szCs w:val="24"/>
          <w:lang w:val="en-GB" w:eastAsia="en-GB"/>
        </w:rPr>
        <w:t xml:space="preserve">two items </w:t>
      </w:r>
      <w:r w:rsidR="00566816" w:rsidRPr="00B40308">
        <w:rPr>
          <w:rFonts w:ascii="Times New Roman" w:eastAsia="Times New Roman" w:hAnsi="Times New Roman" w:cs="Times New Roman"/>
          <w:spacing w:val="6"/>
          <w:sz w:val="24"/>
          <w:szCs w:val="24"/>
          <w:lang w:val="en-GB" w:eastAsia="en-GB"/>
        </w:rPr>
        <w:t xml:space="preserve">which </w:t>
      </w:r>
      <w:r w:rsidR="003C7CD4" w:rsidRPr="00B40308">
        <w:rPr>
          <w:rFonts w:ascii="Times New Roman" w:eastAsia="Times New Roman" w:hAnsi="Times New Roman" w:cs="Times New Roman"/>
          <w:spacing w:val="6"/>
          <w:sz w:val="24"/>
          <w:szCs w:val="24"/>
          <w:lang w:val="en-GB" w:eastAsia="en-GB"/>
        </w:rPr>
        <w:t>remain unresolved are the implementation of “No work, No Pay” deductions and the negotiations on the performance bonus percentages for 2015/16 and  2016/17, under the auspices of an external facilitator.</w:t>
      </w:r>
    </w:p>
    <w:p w:rsidR="003C7CD4" w:rsidRPr="00B40308" w:rsidRDefault="003C7CD4" w:rsidP="00B40308">
      <w:pPr>
        <w:spacing w:before="120" w:after="120" w:line="240" w:lineRule="auto"/>
        <w:contextualSpacing/>
        <w:jc w:val="both"/>
        <w:rPr>
          <w:rFonts w:ascii="Times New Roman" w:eastAsia="Calibri" w:hAnsi="Times New Roman" w:cs="Times New Roman"/>
          <w:sz w:val="24"/>
          <w:szCs w:val="24"/>
        </w:rPr>
      </w:pPr>
    </w:p>
    <w:p w:rsidR="00821866" w:rsidRPr="00B40308" w:rsidRDefault="00A30DA1" w:rsidP="00B40308">
      <w:pPr>
        <w:spacing w:before="120" w:after="120" w:line="240" w:lineRule="auto"/>
        <w:ind w:left="709" w:hanging="709"/>
        <w:contextualSpacing/>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5</w:t>
      </w:r>
      <w:r w:rsidR="003C7CD4" w:rsidRPr="00B40308">
        <w:rPr>
          <w:rFonts w:ascii="Times New Roman" w:eastAsia="Calibri" w:hAnsi="Times New Roman" w:cs="Times New Roman"/>
          <w:sz w:val="24"/>
          <w:szCs w:val="24"/>
        </w:rPr>
        <w:t>.</w:t>
      </w:r>
      <w:r w:rsidR="00566816" w:rsidRPr="00B40308">
        <w:rPr>
          <w:rFonts w:ascii="Times New Roman" w:eastAsia="Calibri" w:hAnsi="Times New Roman" w:cs="Times New Roman"/>
          <w:sz w:val="24"/>
          <w:szCs w:val="24"/>
        </w:rPr>
        <w:t>4</w:t>
      </w:r>
      <w:r w:rsidR="003C7CD4" w:rsidRPr="00B40308">
        <w:rPr>
          <w:rFonts w:ascii="Times New Roman" w:eastAsia="Calibri" w:hAnsi="Times New Roman" w:cs="Times New Roman"/>
          <w:sz w:val="24"/>
          <w:szCs w:val="24"/>
        </w:rPr>
        <w:t>.2</w:t>
      </w:r>
      <w:r w:rsidR="003C7CD4" w:rsidRPr="00B40308">
        <w:rPr>
          <w:rFonts w:ascii="Times New Roman" w:eastAsia="Calibri" w:hAnsi="Times New Roman" w:cs="Times New Roman"/>
          <w:sz w:val="24"/>
          <w:szCs w:val="24"/>
        </w:rPr>
        <w:tab/>
      </w:r>
      <w:r w:rsidR="00913B80" w:rsidRPr="00B40308">
        <w:rPr>
          <w:rFonts w:ascii="Times New Roman" w:eastAsia="Calibri" w:hAnsi="Times New Roman" w:cs="Times New Roman"/>
          <w:sz w:val="24"/>
          <w:szCs w:val="24"/>
        </w:rPr>
        <w:t>Whil</w:t>
      </w:r>
      <w:r w:rsidRPr="00B40308">
        <w:rPr>
          <w:rFonts w:ascii="Times New Roman" w:eastAsia="Calibri" w:hAnsi="Times New Roman" w:cs="Times New Roman"/>
          <w:sz w:val="24"/>
          <w:szCs w:val="24"/>
        </w:rPr>
        <w:t>e</w:t>
      </w:r>
      <w:r w:rsidR="00913B80" w:rsidRPr="00B40308">
        <w:rPr>
          <w:rFonts w:ascii="Times New Roman" w:eastAsia="Calibri" w:hAnsi="Times New Roman" w:cs="Times New Roman"/>
          <w:sz w:val="24"/>
          <w:szCs w:val="24"/>
        </w:rPr>
        <w:t xml:space="preserve"> the</w:t>
      </w:r>
      <w:r w:rsidR="00566816" w:rsidRPr="00B40308">
        <w:rPr>
          <w:rFonts w:ascii="Times New Roman" w:eastAsia="Calibri" w:hAnsi="Times New Roman" w:cs="Times New Roman"/>
          <w:sz w:val="24"/>
          <w:szCs w:val="24"/>
        </w:rPr>
        <w:t xml:space="preserve"> Committee notes the report by</w:t>
      </w:r>
      <w:r w:rsidR="00913B80" w:rsidRPr="00B40308">
        <w:rPr>
          <w:rFonts w:ascii="Times New Roman" w:eastAsia="Calibri" w:hAnsi="Times New Roman" w:cs="Times New Roman"/>
          <w:sz w:val="24"/>
          <w:szCs w:val="24"/>
        </w:rPr>
        <w:t xml:space="preserve"> Parliament </w:t>
      </w:r>
      <w:r w:rsidR="00566816" w:rsidRPr="00B40308">
        <w:rPr>
          <w:rFonts w:ascii="Times New Roman" w:eastAsia="Calibri" w:hAnsi="Times New Roman" w:cs="Times New Roman"/>
          <w:sz w:val="24"/>
          <w:szCs w:val="24"/>
        </w:rPr>
        <w:t xml:space="preserve">in </w:t>
      </w:r>
      <w:r w:rsidRPr="00B40308">
        <w:rPr>
          <w:rFonts w:ascii="Times New Roman" w:eastAsia="Calibri" w:hAnsi="Times New Roman" w:cs="Times New Roman"/>
          <w:sz w:val="24"/>
          <w:szCs w:val="24"/>
        </w:rPr>
        <w:t>5</w:t>
      </w:r>
      <w:r w:rsidR="00566816" w:rsidRPr="00B40308">
        <w:rPr>
          <w:rFonts w:ascii="Times New Roman" w:eastAsia="Calibri" w:hAnsi="Times New Roman" w:cs="Times New Roman"/>
          <w:sz w:val="24"/>
          <w:szCs w:val="24"/>
        </w:rPr>
        <w:t>.</w:t>
      </w:r>
      <w:r w:rsidRPr="00B40308">
        <w:rPr>
          <w:rFonts w:ascii="Times New Roman" w:eastAsia="Calibri" w:hAnsi="Times New Roman" w:cs="Times New Roman"/>
          <w:sz w:val="24"/>
          <w:szCs w:val="24"/>
        </w:rPr>
        <w:t>4</w:t>
      </w:r>
      <w:r w:rsidR="00566816" w:rsidRPr="00B40308">
        <w:rPr>
          <w:rFonts w:ascii="Times New Roman" w:eastAsia="Calibri" w:hAnsi="Times New Roman" w:cs="Times New Roman"/>
          <w:sz w:val="24"/>
          <w:szCs w:val="24"/>
        </w:rPr>
        <w:t>.1 above,</w:t>
      </w:r>
      <w:r w:rsidR="00913B80" w:rsidRPr="00B40308">
        <w:rPr>
          <w:rFonts w:ascii="Times New Roman" w:eastAsia="Calibri" w:hAnsi="Times New Roman" w:cs="Times New Roman"/>
          <w:sz w:val="24"/>
          <w:szCs w:val="24"/>
        </w:rPr>
        <w:t xml:space="preserve"> it </w:t>
      </w:r>
      <w:r w:rsidRPr="00B40308">
        <w:rPr>
          <w:rFonts w:ascii="Times New Roman" w:eastAsia="Calibri" w:hAnsi="Times New Roman" w:cs="Times New Roman"/>
          <w:sz w:val="24"/>
          <w:szCs w:val="24"/>
        </w:rPr>
        <w:t xml:space="preserve">maintains </w:t>
      </w:r>
      <w:r w:rsidR="00913B80" w:rsidRPr="00B40308">
        <w:rPr>
          <w:rFonts w:ascii="Times New Roman" w:eastAsia="Calibri" w:hAnsi="Times New Roman" w:cs="Times New Roman"/>
          <w:sz w:val="24"/>
          <w:szCs w:val="24"/>
        </w:rPr>
        <w:t xml:space="preserve">that all outstanding issues between the two parties need to be addressed expeditiously. </w:t>
      </w:r>
    </w:p>
    <w:p w:rsidR="00913B80" w:rsidRPr="00B40308" w:rsidRDefault="00913B80" w:rsidP="00B40308">
      <w:pPr>
        <w:spacing w:before="120" w:after="120" w:line="240" w:lineRule="auto"/>
        <w:contextualSpacing/>
        <w:jc w:val="both"/>
        <w:rPr>
          <w:rFonts w:ascii="Times New Roman" w:eastAsia="Calibri" w:hAnsi="Times New Roman" w:cs="Times New Roman"/>
          <w:sz w:val="24"/>
          <w:szCs w:val="24"/>
        </w:rPr>
      </w:pPr>
    </w:p>
    <w:p w:rsidR="00821866" w:rsidRPr="00B40308" w:rsidRDefault="00566816" w:rsidP="00B40308">
      <w:pPr>
        <w:pStyle w:val="ListParagraph"/>
        <w:numPr>
          <w:ilvl w:val="1"/>
          <w:numId w:val="19"/>
        </w:numPr>
        <w:spacing w:before="120" w:after="120" w:line="240" w:lineRule="auto"/>
        <w:jc w:val="both"/>
        <w:rPr>
          <w:rFonts w:ascii="Times New Roman" w:eastAsia="Calibri" w:hAnsi="Times New Roman" w:cs="Times New Roman"/>
          <w:b/>
          <w:i/>
          <w:sz w:val="24"/>
          <w:szCs w:val="24"/>
          <w:u w:val="single"/>
        </w:rPr>
      </w:pPr>
      <w:r w:rsidRPr="00B40308">
        <w:rPr>
          <w:rFonts w:ascii="Times New Roman" w:eastAsia="Calibri" w:hAnsi="Times New Roman" w:cs="Times New Roman"/>
          <w:b/>
          <w:i/>
          <w:sz w:val="24"/>
          <w:szCs w:val="24"/>
        </w:rPr>
        <w:t xml:space="preserve">    </w:t>
      </w:r>
      <w:r w:rsidR="00913B80" w:rsidRPr="00B40308">
        <w:rPr>
          <w:rFonts w:ascii="Times New Roman" w:eastAsia="Calibri" w:hAnsi="Times New Roman" w:cs="Times New Roman"/>
          <w:b/>
          <w:i/>
          <w:sz w:val="24"/>
          <w:szCs w:val="24"/>
          <w:u w:val="single"/>
        </w:rPr>
        <w:t xml:space="preserve">Reporting Format </w:t>
      </w:r>
      <w:r w:rsidR="00C24A8D" w:rsidRPr="00B40308">
        <w:rPr>
          <w:rFonts w:ascii="Times New Roman" w:eastAsia="Calibri" w:hAnsi="Times New Roman" w:cs="Times New Roman"/>
          <w:b/>
          <w:i/>
          <w:sz w:val="24"/>
          <w:szCs w:val="24"/>
          <w:u w:val="single"/>
        </w:rPr>
        <w:t>for</w:t>
      </w:r>
      <w:r w:rsidR="00913B80" w:rsidRPr="00B40308">
        <w:rPr>
          <w:rFonts w:ascii="Times New Roman" w:eastAsia="Calibri" w:hAnsi="Times New Roman" w:cs="Times New Roman"/>
          <w:b/>
          <w:i/>
          <w:sz w:val="24"/>
          <w:szCs w:val="24"/>
          <w:u w:val="single"/>
        </w:rPr>
        <w:t xml:space="preserve"> Parliament</w:t>
      </w:r>
    </w:p>
    <w:p w:rsidR="003C7CD4" w:rsidRPr="00B40308" w:rsidRDefault="003C7CD4" w:rsidP="00B40308">
      <w:pPr>
        <w:pStyle w:val="ListParagraph"/>
        <w:spacing w:before="120" w:after="120" w:line="240" w:lineRule="auto"/>
        <w:ind w:left="709"/>
        <w:jc w:val="both"/>
        <w:rPr>
          <w:rFonts w:ascii="Times New Roman" w:eastAsia="Calibri" w:hAnsi="Times New Roman" w:cs="Times New Roman"/>
          <w:b/>
          <w:sz w:val="24"/>
          <w:szCs w:val="24"/>
        </w:rPr>
      </w:pPr>
    </w:p>
    <w:p w:rsidR="00251F58" w:rsidRPr="00B40308" w:rsidRDefault="00A30DA1" w:rsidP="00B40308">
      <w:pPr>
        <w:tabs>
          <w:tab w:val="left" w:pos="709"/>
        </w:tabs>
        <w:spacing w:before="120" w:after="120" w:line="240" w:lineRule="auto"/>
        <w:ind w:left="705" w:hanging="705"/>
        <w:jc w:val="both"/>
        <w:rPr>
          <w:rFonts w:ascii="Times New Roman" w:eastAsia="Times New Roman" w:hAnsi="Times New Roman" w:cs="Times New Roman"/>
          <w:spacing w:val="6"/>
          <w:sz w:val="24"/>
          <w:szCs w:val="24"/>
          <w:lang w:val="en-GB" w:eastAsia="en-GB"/>
        </w:rPr>
      </w:pPr>
      <w:r w:rsidRPr="00B40308">
        <w:rPr>
          <w:rFonts w:ascii="Times New Roman" w:eastAsia="Times New Roman" w:hAnsi="Times New Roman" w:cs="Times New Roman"/>
          <w:spacing w:val="6"/>
          <w:sz w:val="24"/>
          <w:szCs w:val="24"/>
          <w:lang w:val="en-GB" w:eastAsia="en-GB"/>
        </w:rPr>
        <w:t>5.5.1.</w:t>
      </w:r>
      <w:r w:rsidRPr="00B40308">
        <w:rPr>
          <w:rFonts w:ascii="Times New Roman" w:eastAsia="Times New Roman" w:hAnsi="Times New Roman" w:cs="Times New Roman"/>
          <w:spacing w:val="6"/>
          <w:sz w:val="24"/>
          <w:szCs w:val="24"/>
          <w:lang w:val="en-GB" w:eastAsia="en-GB"/>
        </w:rPr>
        <w:tab/>
      </w:r>
      <w:r w:rsidR="00913B80" w:rsidRPr="00B40308">
        <w:rPr>
          <w:rFonts w:ascii="Times New Roman" w:eastAsia="Times New Roman" w:hAnsi="Times New Roman" w:cs="Times New Roman"/>
          <w:spacing w:val="6"/>
          <w:sz w:val="24"/>
          <w:szCs w:val="24"/>
          <w:lang w:val="en-GB" w:eastAsia="en-GB"/>
        </w:rPr>
        <w:t xml:space="preserve">The Committee expressed its dissatisfaction at the reporting format used by Parliament and </w:t>
      </w:r>
      <w:r w:rsidR="00251F58" w:rsidRPr="00B40308">
        <w:rPr>
          <w:rFonts w:ascii="Times New Roman" w:eastAsia="Times New Roman" w:hAnsi="Times New Roman" w:cs="Times New Roman"/>
          <w:spacing w:val="6"/>
          <w:sz w:val="24"/>
          <w:szCs w:val="24"/>
          <w:lang w:val="en-GB" w:eastAsia="en-GB"/>
        </w:rPr>
        <w:t>stated</w:t>
      </w:r>
      <w:r w:rsidR="00913B80" w:rsidRPr="00B40308">
        <w:rPr>
          <w:rFonts w:ascii="Times New Roman" w:eastAsia="Times New Roman" w:hAnsi="Times New Roman" w:cs="Times New Roman"/>
          <w:spacing w:val="6"/>
          <w:sz w:val="24"/>
          <w:szCs w:val="24"/>
          <w:lang w:val="en-GB" w:eastAsia="en-GB"/>
        </w:rPr>
        <w:t xml:space="preserve"> that it was not user friendly</w:t>
      </w:r>
      <w:r w:rsidR="00251F58" w:rsidRPr="00B40308">
        <w:rPr>
          <w:rFonts w:ascii="Times New Roman" w:eastAsia="Times New Roman" w:hAnsi="Times New Roman" w:cs="Times New Roman"/>
          <w:spacing w:val="6"/>
          <w:sz w:val="24"/>
          <w:szCs w:val="24"/>
          <w:lang w:val="en-GB" w:eastAsia="en-GB"/>
        </w:rPr>
        <w:t xml:space="preserve"> and lacked </w:t>
      </w:r>
      <w:r w:rsidR="00717AFF" w:rsidRPr="00B40308">
        <w:rPr>
          <w:rFonts w:ascii="Times New Roman" w:eastAsia="Times New Roman" w:hAnsi="Times New Roman" w:cs="Times New Roman"/>
          <w:spacing w:val="6"/>
          <w:sz w:val="24"/>
          <w:szCs w:val="24"/>
          <w:lang w:val="en-GB" w:eastAsia="en-GB"/>
        </w:rPr>
        <w:t xml:space="preserve">the requisite level of </w:t>
      </w:r>
      <w:r w:rsidR="00251F58" w:rsidRPr="00B40308">
        <w:rPr>
          <w:rFonts w:ascii="Times New Roman" w:eastAsia="Times New Roman" w:hAnsi="Times New Roman" w:cs="Times New Roman"/>
          <w:spacing w:val="6"/>
          <w:sz w:val="24"/>
          <w:szCs w:val="24"/>
          <w:lang w:val="en-GB" w:eastAsia="en-GB"/>
        </w:rPr>
        <w:t>transparency</w:t>
      </w:r>
      <w:r w:rsidR="00913B80" w:rsidRPr="00B40308">
        <w:rPr>
          <w:rFonts w:ascii="Times New Roman" w:eastAsia="Times New Roman" w:hAnsi="Times New Roman" w:cs="Times New Roman"/>
          <w:spacing w:val="6"/>
          <w:sz w:val="24"/>
          <w:szCs w:val="24"/>
          <w:lang w:val="en-GB" w:eastAsia="en-GB"/>
        </w:rPr>
        <w:t xml:space="preserve">. The Committee was of the view that it was difficult to link Parliament’s expenditure to </w:t>
      </w:r>
      <w:r w:rsidR="00685915" w:rsidRPr="00B40308">
        <w:rPr>
          <w:rFonts w:ascii="Times New Roman" w:eastAsia="Times New Roman" w:hAnsi="Times New Roman" w:cs="Times New Roman"/>
          <w:spacing w:val="6"/>
          <w:sz w:val="24"/>
          <w:szCs w:val="24"/>
          <w:lang w:val="en-GB" w:eastAsia="en-GB"/>
        </w:rPr>
        <w:t xml:space="preserve">non-financial </w:t>
      </w:r>
      <w:r w:rsidR="00913B80" w:rsidRPr="00B40308">
        <w:rPr>
          <w:rFonts w:ascii="Times New Roman" w:eastAsia="Times New Roman" w:hAnsi="Times New Roman" w:cs="Times New Roman"/>
          <w:spacing w:val="6"/>
          <w:sz w:val="24"/>
          <w:szCs w:val="24"/>
          <w:lang w:val="en-GB" w:eastAsia="en-GB"/>
        </w:rPr>
        <w:t>performance in the current reporting format</w:t>
      </w:r>
      <w:r w:rsidR="00251F58" w:rsidRPr="00B40308">
        <w:rPr>
          <w:rFonts w:ascii="Times New Roman" w:eastAsia="Times New Roman" w:hAnsi="Times New Roman" w:cs="Times New Roman"/>
          <w:spacing w:val="6"/>
          <w:sz w:val="24"/>
          <w:szCs w:val="24"/>
          <w:lang w:val="en-GB" w:eastAsia="en-GB"/>
        </w:rPr>
        <w:t xml:space="preserve"> which impacted negatively on </w:t>
      </w:r>
      <w:r w:rsidR="00717AFF" w:rsidRPr="00B40308">
        <w:rPr>
          <w:rFonts w:ascii="Times New Roman" w:eastAsia="Times New Roman" w:hAnsi="Times New Roman" w:cs="Times New Roman"/>
          <w:spacing w:val="6"/>
          <w:sz w:val="24"/>
          <w:szCs w:val="24"/>
          <w:lang w:val="en-GB" w:eastAsia="en-GB"/>
        </w:rPr>
        <w:t>the effectiveness of</w:t>
      </w:r>
      <w:r w:rsidR="00251F58" w:rsidRPr="00B40308">
        <w:rPr>
          <w:rFonts w:ascii="Times New Roman" w:eastAsia="Times New Roman" w:hAnsi="Times New Roman" w:cs="Times New Roman"/>
          <w:spacing w:val="6"/>
          <w:sz w:val="24"/>
          <w:szCs w:val="24"/>
          <w:lang w:val="en-GB" w:eastAsia="en-GB"/>
        </w:rPr>
        <w:t xml:space="preserve"> oversight over Parliament</w:t>
      </w:r>
      <w:r w:rsidR="00913B80" w:rsidRPr="00B40308">
        <w:rPr>
          <w:rFonts w:ascii="Times New Roman" w:eastAsia="Times New Roman" w:hAnsi="Times New Roman" w:cs="Times New Roman"/>
          <w:spacing w:val="6"/>
          <w:sz w:val="24"/>
          <w:szCs w:val="24"/>
          <w:lang w:val="en-GB" w:eastAsia="en-GB"/>
        </w:rPr>
        <w:t xml:space="preserve">. </w:t>
      </w:r>
    </w:p>
    <w:p w:rsidR="00251F58" w:rsidRPr="00B40308" w:rsidRDefault="00251F58" w:rsidP="00B40308">
      <w:pPr>
        <w:pStyle w:val="ListParagraph"/>
        <w:tabs>
          <w:tab w:val="left" w:pos="567"/>
          <w:tab w:val="left" w:pos="709"/>
        </w:tabs>
        <w:spacing w:before="120" w:after="120" w:line="240" w:lineRule="auto"/>
        <w:jc w:val="both"/>
        <w:rPr>
          <w:rFonts w:ascii="Times New Roman" w:eastAsia="Times New Roman" w:hAnsi="Times New Roman" w:cs="Times New Roman"/>
          <w:spacing w:val="6"/>
          <w:sz w:val="24"/>
          <w:szCs w:val="24"/>
          <w:lang w:val="en-GB" w:eastAsia="en-GB"/>
        </w:rPr>
      </w:pPr>
    </w:p>
    <w:p w:rsidR="00251F58" w:rsidRPr="00B40308" w:rsidRDefault="00251F58" w:rsidP="00B40308">
      <w:pPr>
        <w:pStyle w:val="ListParagraph"/>
        <w:numPr>
          <w:ilvl w:val="2"/>
          <w:numId w:val="20"/>
        </w:numPr>
        <w:tabs>
          <w:tab w:val="left" w:pos="709"/>
        </w:tabs>
        <w:spacing w:before="120" w:after="120" w:line="240" w:lineRule="auto"/>
        <w:jc w:val="both"/>
        <w:rPr>
          <w:rFonts w:ascii="Times New Roman" w:eastAsia="Times New Roman" w:hAnsi="Times New Roman" w:cs="Times New Roman"/>
          <w:spacing w:val="6"/>
          <w:sz w:val="24"/>
          <w:szCs w:val="24"/>
          <w:lang w:val="en-GB" w:eastAsia="en-GB"/>
        </w:rPr>
      </w:pPr>
      <w:r w:rsidRPr="00B40308">
        <w:rPr>
          <w:rFonts w:ascii="Times New Roman" w:eastAsia="Times New Roman" w:hAnsi="Times New Roman" w:cs="Times New Roman"/>
          <w:spacing w:val="6"/>
          <w:sz w:val="24"/>
          <w:szCs w:val="24"/>
          <w:lang w:val="en-GB" w:eastAsia="en-GB"/>
        </w:rPr>
        <w:lastRenderedPageBreak/>
        <w:t>The Committee noted</w:t>
      </w:r>
      <w:r w:rsidR="00913B80" w:rsidRPr="00B40308">
        <w:rPr>
          <w:rFonts w:ascii="Times New Roman" w:eastAsia="Times New Roman" w:hAnsi="Times New Roman" w:cs="Times New Roman"/>
          <w:spacing w:val="6"/>
          <w:sz w:val="24"/>
          <w:szCs w:val="24"/>
          <w:lang w:val="en-GB" w:eastAsia="en-GB"/>
        </w:rPr>
        <w:t xml:space="preserve"> that the Annual Report of Parliament for the 2015/16 financial year did not include a </w:t>
      </w:r>
      <w:r w:rsidR="001C26CE" w:rsidRPr="00B40308">
        <w:rPr>
          <w:rFonts w:ascii="Times New Roman" w:eastAsia="Times New Roman" w:hAnsi="Times New Roman" w:cs="Times New Roman"/>
          <w:spacing w:val="6"/>
          <w:sz w:val="24"/>
          <w:szCs w:val="24"/>
          <w:lang w:val="en-GB" w:eastAsia="en-GB"/>
        </w:rPr>
        <w:t xml:space="preserve">consolidated </w:t>
      </w:r>
      <w:r w:rsidR="00913B80" w:rsidRPr="00B40308">
        <w:rPr>
          <w:rFonts w:ascii="Times New Roman" w:eastAsia="Times New Roman" w:hAnsi="Times New Roman" w:cs="Times New Roman"/>
          <w:spacing w:val="6"/>
          <w:sz w:val="24"/>
          <w:szCs w:val="24"/>
          <w:lang w:val="en-GB" w:eastAsia="en-GB"/>
        </w:rPr>
        <w:t>summary of financial statements which made it difficult to</w:t>
      </w:r>
      <w:r w:rsidR="00717AFF" w:rsidRPr="00B40308">
        <w:rPr>
          <w:rFonts w:ascii="Times New Roman" w:eastAsia="Times New Roman" w:hAnsi="Times New Roman" w:cs="Times New Roman"/>
          <w:spacing w:val="6"/>
          <w:sz w:val="24"/>
          <w:szCs w:val="24"/>
          <w:lang w:val="en-GB" w:eastAsia="en-GB"/>
        </w:rPr>
        <w:t xml:space="preserve"> assess</w:t>
      </w:r>
      <w:r w:rsidR="00913B80" w:rsidRPr="00B40308">
        <w:rPr>
          <w:rFonts w:ascii="Times New Roman" w:eastAsia="Times New Roman" w:hAnsi="Times New Roman" w:cs="Times New Roman"/>
          <w:spacing w:val="6"/>
          <w:sz w:val="24"/>
          <w:szCs w:val="24"/>
          <w:lang w:val="en-GB" w:eastAsia="en-GB"/>
        </w:rPr>
        <w:t xml:space="preserve"> the current expenditure performance against the</w:t>
      </w:r>
      <w:r w:rsidR="00717AFF" w:rsidRPr="00B40308">
        <w:rPr>
          <w:rFonts w:ascii="Times New Roman" w:eastAsia="Times New Roman" w:hAnsi="Times New Roman" w:cs="Times New Roman"/>
          <w:spacing w:val="6"/>
          <w:sz w:val="24"/>
          <w:szCs w:val="24"/>
          <w:lang w:val="en-GB" w:eastAsia="en-GB"/>
        </w:rPr>
        <w:t xml:space="preserve"> spending performance outcomes contained in the Annual Report. </w:t>
      </w:r>
      <w:r w:rsidR="00913B80" w:rsidRPr="00B40308">
        <w:rPr>
          <w:rFonts w:ascii="Times New Roman" w:eastAsia="Times New Roman" w:hAnsi="Times New Roman" w:cs="Times New Roman"/>
          <w:spacing w:val="6"/>
          <w:sz w:val="24"/>
          <w:szCs w:val="24"/>
          <w:lang w:val="en-GB" w:eastAsia="en-GB"/>
        </w:rPr>
        <w:t xml:space="preserve"> </w:t>
      </w:r>
    </w:p>
    <w:p w:rsidR="00913B80" w:rsidRPr="00B40308" w:rsidRDefault="00717AFF" w:rsidP="00B40308">
      <w:pPr>
        <w:pStyle w:val="ListParagraph"/>
        <w:numPr>
          <w:ilvl w:val="2"/>
          <w:numId w:val="22"/>
        </w:numPr>
        <w:tabs>
          <w:tab w:val="left" w:pos="709"/>
        </w:tabs>
        <w:spacing w:before="120" w:after="120" w:line="240" w:lineRule="auto"/>
        <w:jc w:val="both"/>
        <w:rPr>
          <w:rFonts w:ascii="Times New Roman" w:eastAsia="Times New Roman" w:hAnsi="Times New Roman" w:cs="Times New Roman"/>
          <w:spacing w:val="6"/>
          <w:sz w:val="24"/>
          <w:szCs w:val="24"/>
          <w:lang w:val="en-GB" w:eastAsia="en-GB"/>
        </w:rPr>
      </w:pPr>
      <w:r w:rsidRPr="00B40308">
        <w:rPr>
          <w:rFonts w:ascii="Times New Roman" w:eastAsia="Times New Roman" w:hAnsi="Times New Roman" w:cs="Times New Roman"/>
          <w:spacing w:val="6"/>
          <w:sz w:val="24"/>
          <w:szCs w:val="24"/>
          <w:lang w:val="en-GB" w:eastAsia="en-GB"/>
        </w:rPr>
        <w:t>The Committee</w:t>
      </w:r>
      <w:r w:rsidR="003309B8" w:rsidRPr="00B40308">
        <w:rPr>
          <w:rFonts w:ascii="Times New Roman" w:eastAsia="Times New Roman" w:hAnsi="Times New Roman" w:cs="Times New Roman"/>
          <w:spacing w:val="6"/>
          <w:sz w:val="24"/>
          <w:szCs w:val="24"/>
          <w:lang w:val="en-GB" w:eastAsia="en-GB"/>
        </w:rPr>
        <w:t xml:space="preserve"> notes t</w:t>
      </w:r>
      <w:r w:rsidR="00913B80" w:rsidRPr="00B40308">
        <w:rPr>
          <w:rFonts w:ascii="Times New Roman" w:eastAsia="Times New Roman" w:hAnsi="Times New Roman" w:cs="Times New Roman"/>
          <w:spacing w:val="6"/>
          <w:sz w:val="24"/>
          <w:szCs w:val="24"/>
          <w:lang w:val="en-GB" w:eastAsia="en-GB"/>
        </w:rPr>
        <w:t xml:space="preserve">he </w:t>
      </w:r>
      <w:r w:rsidR="003309B8" w:rsidRPr="00B40308">
        <w:rPr>
          <w:rFonts w:ascii="Times New Roman" w:eastAsia="Times New Roman" w:hAnsi="Times New Roman" w:cs="Times New Roman"/>
          <w:spacing w:val="6"/>
          <w:sz w:val="24"/>
          <w:szCs w:val="24"/>
          <w:lang w:val="en-GB" w:eastAsia="en-GB"/>
        </w:rPr>
        <w:t>undertaking by Parliament that</w:t>
      </w:r>
      <w:r w:rsidR="00913B80" w:rsidRPr="00B40308">
        <w:rPr>
          <w:rFonts w:ascii="Times New Roman" w:eastAsia="Times New Roman" w:hAnsi="Times New Roman" w:cs="Times New Roman"/>
          <w:spacing w:val="6"/>
          <w:sz w:val="24"/>
          <w:szCs w:val="24"/>
          <w:lang w:val="en-GB" w:eastAsia="en-GB"/>
        </w:rPr>
        <w:t xml:space="preserve"> </w:t>
      </w:r>
      <w:r w:rsidR="009E6B0C" w:rsidRPr="00B40308">
        <w:rPr>
          <w:rFonts w:ascii="Times New Roman" w:eastAsia="Times New Roman" w:hAnsi="Times New Roman" w:cs="Times New Roman"/>
          <w:spacing w:val="6"/>
          <w:sz w:val="24"/>
          <w:szCs w:val="24"/>
          <w:lang w:val="en-GB" w:eastAsia="en-GB"/>
        </w:rPr>
        <w:t xml:space="preserve">it will </w:t>
      </w:r>
      <w:r w:rsidR="00913B80" w:rsidRPr="00B40308">
        <w:rPr>
          <w:rFonts w:ascii="Times New Roman" w:eastAsia="Times New Roman" w:hAnsi="Times New Roman" w:cs="Times New Roman"/>
          <w:spacing w:val="6"/>
          <w:sz w:val="24"/>
          <w:szCs w:val="24"/>
          <w:lang w:val="en-GB" w:eastAsia="en-GB"/>
        </w:rPr>
        <w:t xml:space="preserve">improve on the issues raised by the Committee regarding the reporting format as well as the inconsistencies in the presentations. </w:t>
      </w:r>
      <w:r w:rsidRPr="00B40308">
        <w:rPr>
          <w:rFonts w:ascii="Times New Roman" w:eastAsia="Times New Roman" w:hAnsi="Times New Roman" w:cs="Times New Roman"/>
          <w:spacing w:val="6"/>
          <w:sz w:val="24"/>
          <w:szCs w:val="24"/>
          <w:lang w:val="en-GB" w:eastAsia="en-GB"/>
        </w:rPr>
        <w:t>Parliament</w:t>
      </w:r>
      <w:r w:rsidR="00913B80" w:rsidRPr="00B40308">
        <w:rPr>
          <w:rFonts w:ascii="Times New Roman" w:eastAsia="Times New Roman" w:hAnsi="Times New Roman" w:cs="Times New Roman"/>
          <w:spacing w:val="6"/>
          <w:sz w:val="24"/>
          <w:szCs w:val="24"/>
          <w:lang w:val="en-GB" w:eastAsia="en-GB"/>
        </w:rPr>
        <w:t xml:space="preserve"> assured the Committee that more line item information would be made available in terms of budget and expenditure </w:t>
      </w:r>
      <w:r w:rsidRPr="00B40308">
        <w:rPr>
          <w:rFonts w:ascii="Times New Roman" w:eastAsia="Times New Roman" w:hAnsi="Times New Roman" w:cs="Times New Roman"/>
          <w:spacing w:val="6"/>
          <w:sz w:val="24"/>
          <w:szCs w:val="24"/>
          <w:lang w:val="en-GB" w:eastAsia="en-GB"/>
        </w:rPr>
        <w:t>reporting</w:t>
      </w:r>
      <w:r w:rsidR="00913B80" w:rsidRPr="00B40308">
        <w:rPr>
          <w:rFonts w:ascii="Times New Roman" w:eastAsia="Times New Roman" w:hAnsi="Times New Roman" w:cs="Times New Roman"/>
          <w:spacing w:val="6"/>
          <w:sz w:val="24"/>
          <w:szCs w:val="24"/>
          <w:lang w:val="en-GB" w:eastAsia="en-GB"/>
        </w:rPr>
        <w:t xml:space="preserve">. </w:t>
      </w:r>
    </w:p>
    <w:p w:rsidR="003C7CD4" w:rsidRPr="00B40308" w:rsidRDefault="003C7CD4" w:rsidP="00B40308">
      <w:pPr>
        <w:tabs>
          <w:tab w:val="left" w:pos="709"/>
        </w:tabs>
        <w:spacing w:before="120" w:after="120" w:line="240" w:lineRule="auto"/>
        <w:jc w:val="both"/>
        <w:rPr>
          <w:rFonts w:ascii="Times New Roman" w:eastAsia="Times New Roman" w:hAnsi="Times New Roman" w:cs="Times New Roman"/>
          <w:spacing w:val="6"/>
          <w:sz w:val="24"/>
          <w:szCs w:val="24"/>
          <w:lang w:val="en-GB" w:eastAsia="en-GB"/>
        </w:rPr>
      </w:pPr>
    </w:p>
    <w:p w:rsidR="00821866" w:rsidRPr="00B40308" w:rsidRDefault="009E6B0C" w:rsidP="00B40308">
      <w:pPr>
        <w:pStyle w:val="ListParagraph"/>
        <w:numPr>
          <w:ilvl w:val="2"/>
          <w:numId w:val="22"/>
        </w:numPr>
        <w:spacing w:before="120" w:after="120" w:line="240" w:lineRule="auto"/>
        <w:jc w:val="both"/>
        <w:rPr>
          <w:rFonts w:ascii="Times New Roman" w:eastAsia="Times New Roman" w:hAnsi="Times New Roman" w:cs="Times New Roman"/>
          <w:spacing w:val="6"/>
          <w:sz w:val="24"/>
          <w:szCs w:val="24"/>
          <w:lang w:val="en-GB" w:eastAsia="en-GB"/>
        </w:rPr>
      </w:pPr>
      <w:r w:rsidRPr="00B40308">
        <w:rPr>
          <w:rFonts w:ascii="Times New Roman" w:eastAsia="Times New Roman" w:hAnsi="Times New Roman" w:cs="Times New Roman"/>
          <w:spacing w:val="6"/>
          <w:sz w:val="24"/>
          <w:szCs w:val="24"/>
          <w:lang w:val="en-GB" w:eastAsia="en-GB"/>
        </w:rPr>
        <w:t>The Committee further stressed the need for more specific</w:t>
      </w:r>
      <w:r w:rsidR="00717AFF" w:rsidRPr="00B40308">
        <w:rPr>
          <w:rFonts w:ascii="Times New Roman" w:eastAsia="Times New Roman" w:hAnsi="Times New Roman" w:cs="Times New Roman"/>
          <w:spacing w:val="6"/>
          <w:sz w:val="24"/>
          <w:szCs w:val="24"/>
          <w:lang w:val="en-GB" w:eastAsia="en-GB"/>
        </w:rPr>
        <w:t xml:space="preserve"> and detailed information</w:t>
      </w:r>
      <w:r w:rsidRPr="00B40308">
        <w:rPr>
          <w:rFonts w:ascii="Times New Roman" w:eastAsia="Times New Roman" w:hAnsi="Times New Roman" w:cs="Times New Roman"/>
          <w:spacing w:val="6"/>
          <w:sz w:val="24"/>
          <w:szCs w:val="24"/>
          <w:lang w:val="en-GB" w:eastAsia="en-GB"/>
        </w:rPr>
        <w:t xml:space="preserve"> around performance information and that the actual number of planned targets </w:t>
      </w:r>
      <w:r w:rsidRPr="00B40308">
        <w:rPr>
          <w:rFonts w:ascii="Times New Roman" w:eastAsia="Times New Roman" w:hAnsi="Times New Roman" w:cs="Times New Roman"/>
          <w:i/>
          <w:spacing w:val="6"/>
          <w:sz w:val="24"/>
          <w:szCs w:val="24"/>
          <w:lang w:val="en-GB" w:eastAsia="en-GB"/>
        </w:rPr>
        <w:t>vis-à-vis</w:t>
      </w:r>
      <w:r w:rsidRPr="00B40308">
        <w:rPr>
          <w:rFonts w:ascii="Times New Roman" w:eastAsia="Times New Roman" w:hAnsi="Times New Roman" w:cs="Times New Roman"/>
          <w:spacing w:val="6"/>
          <w:sz w:val="24"/>
          <w:szCs w:val="24"/>
          <w:lang w:val="en-GB" w:eastAsia="en-GB"/>
        </w:rPr>
        <w:t xml:space="preserve"> those achieved as well as percentages</w:t>
      </w:r>
      <w:r w:rsidR="00717AFF" w:rsidRPr="00B40308">
        <w:rPr>
          <w:rFonts w:ascii="Times New Roman" w:eastAsia="Times New Roman" w:hAnsi="Times New Roman" w:cs="Times New Roman"/>
          <w:spacing w:val="6"/>
          <w:sz w:val="24"/>
          <w:szCs w:val="24"/>
          <w:lang w:val="en-GB" w:eastAsia="en-GB"/>
        </w:rPr>
        <w:t xml:space="preserve">, for each programme, </w:t>
      </w:r>
      <w:r w:rsidRPr="00B40308">
        <w:rPr>
          <w:rFonts w:ascii="Times New Roman" w:eastAsia="Times New Roman" w:hAnsi="Times New Roman" w:cs="Times New Roman"/>
          <w:spacing w:val="6"/>
          <w:sz w:val="24"/>
          <w:szCs w:val="24"/>
          <w:lang w:val="en-GB" w:eastAsia="en-GB"/>
        </w:rPr>
        <w:t xml:space="preserve">be reflected in future presentations. Parliament noted the afore-mentioned request by the Committee and undertook to henceforth improve in this area. </w:t>
      </w:r>
    </w:p>
    <w:p w:rsidR="00566816" w:rsidRPr="00B40308" w:rsidRDefault="00566816" w:rsidP="00B40308">
      <w:pPr>
        <w:spacing w:before="120" w:after="120" w:line="240" w:lineRule="auto"/>
        <w:jc w:val="both"/>
        <w:rPr>
          <w:rFonts w:ascii="Times New Roman" w:eastAsia="Times New Roman" w:hAnsi="Times New Roman" w:cs="Times New Roman"/>
          <w:spacing w:val="6"/>
          <w:sz w:val="24"/>
          <w:szCs w:val="24"/>
          <w:highlight w:val="yellow"/>
          <w:lang w:val="en-GB" w:eastAsia="en-GB"/>
        </w:rPr>
      </w:pPr>
    </w:p>
    <w:p w:rsidR="00821866" w:rsidRPr="00B40308" w:rsidRDefault="00717AFF" w:rsidP="00B40308">
      <w:pPr>
        <w:spacing w:before="120" w:after="120" w:line="240" w:lineRule="auto"/>
        <w:jc w:val="both"/>
        <w:rPr>
          <w:rFonts w:ascii="Times New Roman" w:eastAsia="Calibri" w:hAnsi="Times New Roman" w:cs="Times New Roman"/>
          <w:b/>
          <w:sz w:val="24"/>
          <w:szCs w:val="24"/>
        </w:rPr>
      </w:pPr>
      <w:r w:rsidRPr="00B40308">
        <w:rPr>
          <w:rFonts w:ascii="Times New Roman" w:eastAsia="Calibri" w:hAnsi="Times New Roman" w:cs="Times New Roman"/>
          <w:b/>
          <w:sz w:val="24"/>
          <w:szCs w:val="24"/>
        </w:rPr>
        <w:t>6</w:t>
      </w:r>
      <w:r w:rsidR="00821866" w:rsidRPr="00B40308">
        <w:rPr>
          <w:rFonts w:ascii="Times New Roman" w:eastAsia="Calibri" w:hAnsi="Times New Roman" w:cs="Times New Roman"/>
          <w:b/>
          <w:sz w:val="24"/>
          <w:szCs w:val="24"/>
        </w:rPr>
        <w:t>.</w:t>
      </w:r>
      <w:r w:rsidR="00821866" w:rsidRPr="00B40308">
        <w:rPr>
          <w:rFonts w:ascii="Times New Roman" w:eastAsia="Calibri" w:hAnsi="Times New Roman" w:cs="Times New Roman"/>
          <w:b/>
          <w:sz w:val="24"/>
          <w:szCs w:val="24"/>
        </w:rPr>
        <w:tab/>
        <w:t>Recommendations</w:t>
      </w:r>
    </w:p>
    <w:p w:rsidR="00566816" w:rsidRPr="00B40308" w:rsidRDefault="00566816" w:rsidP="00B40308">
      <w:pPr>
        <w:spacing w:before="120" w:after="120" w:line="240" w:lineRule="auto"/>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 xml:space="preserve">The Joint Standing Committee on the Financial Management of Parliament having </w:t>
      </w:r>
      <w:r w:rsidR="00C24A8D" w:rsidRPr="00B40308">
        <w:rPr>
          <w:rFonts w:ascii="Times New Roman" w:eastAsia="Calibri" w:hAnsi="Times New Roman" w:cs="Times New Roman"/>
          <w:sz w:val="24"/>
          <w:szCs w:val="24"/>
        </w:rPr>
        <w:t>engaged with</w:t>
      </w:r>
      <w:r w:rsidRPr="00B40308">
        <w:rPr>
          <w:rFonts w:ascii="Times New Roman" w:eastAsia="Calibri" w:hAnsi="Times New Roman" w:cs="Times New Roman"/>
          <w:sz w:val="24"/>
          <w:szCs w:val="24"/>
        </w:rPr>
        <w:t xml:space="preserve"> the Parliament of the Republic of South Africa on its mid-year performance for the 2016/17 financial year, reports as follows:</w:t>
      </w:r>
    </w:p>
    <w:p w:rsidR="00821866" w:rsidRPr="00B40308" w:rsidRDefault="00717AFF" w:rsidP="00B40308">
      <w:pPr>
        <w:spacing w:before="120" w:after="120" w:line="240" w:lineRule="auto"/>
        <w:ind w:left="720" w:hanging="720"/>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6</w:t>
      </w:r>
      <w:r w:rsidR="00566816" w:rsidRPr="00B40308">
        <w:rPr>
          <w:rFonts w:ascii="Times New Roman" w:eastAsia="Calibri" w:hAnsi="Times New Roman" w:cs="Times New Roman"/>
          <w:sz w:val="24"/>
          <w:szCs w:val="24"/>
        </w:rPr>
        <w:t>.1.</w:t>
      </w:r>
      <w:r w:rsidR="00566816" w:rsidRPr="00B40308">
        <w:rPr>
          <w:rFonts w:ascii="Times New Roman" w:eastAsia="Calibri" w:hAnsi="Times New Roman" w:cs="Times New Roman"/>
          <w:sz w:val="24"/>
          <w:szCs w:val="24"/>
        </w:rPr>
        <w:tab/>
      </w:r>
      <w:r w:rsidR="00821866" w:rsidRPr="00B40308">
        <w:rPr>
          <w:rFonts w:ascii="Times New Roman" w:eastAsia="Calibri" w:hAnsi="Times New Roman" w:cs="Times New Roman"/>
          <w:sz w:val="24"/>
          <w:szCs w:val="24"/>
        </w:rPr>
        <w:t xml:space="preserve">The Executive Authority should ensure that </w:t>
      </w:r>
      <w:r w:rsidR="00E621F7" w:rsidRPr="00B40308">
        <w:rPr>
          <w:rFonts w:ascii="Times New Roman" w:eastAsia="Calibri" w:hAnsi="Times New Roman" w:cs="Times New Roman"/>
          <w:sz w:val="24"/>
          <w:szCs w:val="24"/>
        </w:rPr>
        <w:t xml:space="preserve">Parliament’s reporting format </w:t>
      </w:r>
      <w:r w:rsidR="00B439D2" w:rsidRPr="00B40308">
        <w:rPr>
          <w:rFonts w:ascii="Times New Roman" w:eastAsia="Calibri" w:hAnsi="Times New Roman" w:cs="Times New Roman"/>
          <w:sz w:val="24"/>
          <w:szCs w:val="24"/>
        </w:rPr>
        <w:t xml:space="preserve">to the Committee </w:t>
      </w:r>
      <w:r w:rsidR="00E621F7" w:rsidRPr="00B40308">
        <w:rPr>
          <w:rFonts w:ascii="Times New Roman" w:eastAsia="Calibri" w:hAnsi="Times New Roman" w:cs="Times New Roman"/>
          <w:sz w:val="24"/>
          <w:szCs w:val="24"/>
        </w:rPr>
        <w:t xml:space="preserve">in terms of expenditure and non-financial performance </w:t>
      </w:r>
      <w:r w:rsidR="00C24A8D" w:rsidRPr="00B40308">
        <w:rPr>
          <w:rFonts w:ascii="Times New Roman" w:eastAsia="Calibri" w:hAnsi="Times New Roman" w:cs="Times New Roman"/>
          <w:sz w:val="24"/>
          <w:szCs w:val="24"/>
        </w:rPr>
        <w:t>is</w:t>
      </w:r>
      <w:r w:rsidR="00E621F7" w:rsidRPr="00B40308">
        <w:rPr>
          <w:rFonts w:ascii="Times New Roman" w:eastAsia="Calibri" w:hAnsi="Times New Roman" w:cs="Times New Roman"/>
          <w:sz w:val="24"/>
          <w:szCs w:val="24"/>
        </w:rPr>
        <w:t xml:space="preserve"> in line with</w:t>
      </w:r>
      <w:r w:rsidR="00B439D2" w:rsidRPr="00B40308">
        <w:rPr>
          <w:rFonts w:ascii="Times New Roman" w:eastAsia="Calibri" w:hAnsi="Times New Roman" w:cs="Times New Roman"/>
          <w:sz w:val="24"/>
          <w:szCs w:val="24"/>
        </w:rPr>
        <w:t xml:space="preserve"> </w:t>
      </w:r>
      <w:r w:rsidR="000C2F92" w:rsidRPr="00B40308">
        <w:rPr>
          <w:rFonts w:ascii="Times New Roman" w:eastAsia="Calibri" w:hAnsi="Times New Roman" w:cs="Times New Roman"/>
          <w:sz w:val="24"/>
          <w:szCs w:val="24"/>
        </w:rPr>
        <w:t xml:space="preserve">the Department of Planning, Monitoring and Evaluation and </w:t>
      </w:r>
      <w:r w:rsidR="00B439D2" w:rsidRPr="00B40308">
        <w:rPr>
          <w:rFonts w:ascii="Times New Roman" w:eastAsia="Calibri" w:hAnsi="Times New Roman" w:cs="Times New Roman"/>
          <w:sz w:val="24"/>
          <w:szCs w:val="24"/>
        </w:rPr>
        <w:t xml:space="preserve">National Treasury’s </w:t>
      </w:r>
      <w:r w:rsidR="00C24A8D" w:rsidRPr="00B40308">
        <w:rPr>
          <w:rFonts w:ascii="Times New Roman" w:eastAsia="Calibri" w:hAnsi="Times New Roman" w:cs="Times New Roman"/>
          <w:sz w:val="24"/>
          <w:szCs w:val="24"/>
        </w:rPr>
        <w:t xml:space="preserve">reporting </w:t>
      </w:r>
      <w:r w:rsidR="00B439D2" w:rsidRPr="00B40308">
        <w:rPr>
          <w:rFonts w:ascii="Times New Roman" w:eastAsia="Calibri" w:hAnsi="Times New Roman" w:cs="Times New Roman"/>
          <w:sz w:val="24"/>
          <w:szCs w:val="24"/>
        </w:rPr>
        <w:t xml:space="preserve">guidelines. </w:t>
      </w:r>
    </w:p>
    <w:p w:rsidR="00251F58" w:rsidRPr="00B40308" w:rsidRDefault="000C2F92" w:rsidP="00B40308">
      <w:pPr>
        <w:tabs>
          <w:tab w:val="left" w:pos="709"/>
        </w:tabs>
        <w:spacing w:before="120" w:after="120" w:line="240" w:lineRule="auto"/>
        <w:ind w:left="705" w:hanging="705"/>
        <w:jc w:val="both"/>
        <w:rPr>
          <w:rFonts w:ascii="Times New Roman" w:eastAsia="Times New Roman" w:hAnsi="Times New Roman" w:cs="Times New Roman"/>
          <w:spacing w:val="6"/>
          <w:sz w:val="24"/>
          <w:szCs w:val="24"/>
          <w:lang w:val="en-GB" w:eastAsia="en-GB"/>
        </w:rPr>
      </w:pPr>
      <w:r w:rsidRPr="00B40308">
        <w:rPr>
          <w:rFonts w:ascii="Times New Roman" w:eastAsia="Calibri" w:hAnsi="Times New Roman" w:cs="Times New Roman"/>
          <w:sz w:val="24"/>
          <w:szCs w:val="24"/>
        </w:rPr>
        <w:t>6</w:t>
      </w:r>
      <w:r w:rsidR="00251F58" w:rsidRPr="00B40308">
        <w:rPr>
          <w:rFonts w:ascii="Times New Roman" w:eastAsia="Calibri" w:hAnsi="Times New Roman" w:cs="Times New Roman"/>
          <w:sz w:val="24"/>
          <w:szCs w:val="24"/>
        </w:rPr>
        <w:t>.2</w:t>
      </w:r>
      <w:r w:rsidR="00251F58" w:rsidRPr="00B40308">
        <w:rPr>
          <w:rFonts w:ascii="Times New Roman" w:eastAsia="Calibri" w:hAnsi="Times New Roman" w:cs="Times New Roman"/>
          <w:sz w:val="24"/>
          <w:szCs w:val="24"/>
        </w:rPr>
        <w:tab/>
      </w:r>
      <w:r w:rsidR="00251F58" w:rsidRPr="00B40308">
        <w:rPr>
          <w:rFonts w:ascii="Times New Roman" w:eastAsia="Times New Roman" w:hAnsi="Times New Roman" w:cs="Times New Roman"/>
          <w:spacing w:val="6"/>
          <w:sz w:val="24"/>
          <w:szCs w:val="24"/>
          <w:lang w:val="en-GB" w:eastAsia="en-GB"/>
        </w:rPr>
        <w:t xml:space="preserve">The Executive Authority should ensure that Parliament furnish the Committee with information on its budget and expenditure per line item in its future reports so as to allow for more effective oversight and transparency. </w:t>
      </w:r>
    </w:p>
    <w:p w:rsidR="0097363D" w:rsidRPr="00B40308" w:rsidRDefault="0097363D" w:rsidP="00B40308">
      <w:pPr>
        <w:tabs>
          <w:tab w:val="left" w:pos="709"/>
        </w:tabs>
        <w:spacing w:before="120" w:after="120" w:line="240" w:lineRule="auto"/>
        <w:ind w:left="705" w:hanging="705"/>
        <w:jc w:val="both"/>
        <w:rPr>
          <w:rFonts w:ascii="Times New Roman" w:eastAsia="Times New Roman" w:hAnsi="Times New Roman" w:cs="Times New Roman"/>
          <w:spacing w:val="6"/>
          <w:sz w:val="24"/>
          <w:szCs w:val="24"/>
          <w:lang w:val="en-GB" w:eastAsia="en-GB"/>
        </w:rPr>
      </w:pPr>
    </w:p>
    <w:p w:rsidR="00821866" w:rsidRPr="00B40308" w:rsidRDefault="000C2F92" w:rsidP="00B40308">
      <w:pPr>
        <w:spacing w:before="120" w:after="120" w:line="240" w:lineRule="auto"/>
        <w:ind w:left="705" w:hanging="705"/>
        <w:jc w:val="both"/>
        <w:rPr>
          <w:rFonts w:ascii="Times New Roman" w:eastAsia="Calibri" w:hAnsi="Times New Roman" w:cs="Times New Roman"/>
          <w:b/>
          <w:sz w:val="24"/>
          <w:szCs w:val="24"/>
        </w:rPr>
      </w:pPr>
      <w:r w:rsidRPr="00B40308">
        <w:rPr>
          <w:rFonts w:ascii="Times New Roman" w:eastAsia="Calibri" w:hAnsi="Times New Roman" w:cs="Times New Roman"/>
          <w:sz w:val="24"/>
          <w:szCs w:val="24"/>
        </w:rPr>
        <w:t>6</w:t>
      </w:r>
      <w:r w:rsidR="00566816" w:rsidRPr="00B40308">
        <w:rPr>
          <w:rFonts w:ascii="Times New Roman" w:eastAsia="Calibri" w:hAnsi="Times New Roman" w:cs="Times New Roman"/>
          <w:sz w:val="24"/>
          <w:szCs w:val="24"/>
        </w:rPr>
        <w:t>.3</w:t>
      </w:r>
      <w:r w:rsidR="00566816" w:rsidRPr="00B40308">
        <w:rPr>
          <w:rFonts w:ascii="Times New Roman" w:eastAsia="Calibri" w:hAnsi="Times New Roman" w:cs="Times New Roman"/>
          <w:b/>
          <w:sz w:val="24"/>
          <w:szCs w:val="24"/>
        </w:rPr>
        <w:tab/>
      </w:r>
      <w:r w:rsidR="00821866" w:rsidRPr="00B40308">
        <w:rPr>
          <w:rFonts w:ascii="Times New Roman" w:eastAsia="Calibri" w:hAnsi="Times New Roman" w:cs="Times New Roman"/>
          <w:sz w:val="24"/>
          <w:szCs w:val="24"/>
        </w:rPr>
        <w:t>The Executive Authority should ensure that annual performance plans and budgets are properly aligned, and that performance targets are specific, measurable, achievable, re</w:t>
      </w:r>
      <w:r w:rsidRPr="00B40308">
        <w:rPr>
          <w:rFonts w:ascii="Times New Roman" w:eastAsia="Calibri" w:hAnsi="Times New Roman" w:cs="Times New Roman"/>
          <w:sz w:val="24"/>
          <w:szCs w:val="24"/>
        </w:rPr>
        <w:t>levant</w:t>
      </w:r>
      <w:r w:rsidR="00821866" w:rsidRPr="00B40308">
        <w:rPr>
          <w:rFonts w:ascii="Times New Roman" w:eastAsia="Calibri" w:hAnsi="Times New Roman" w:cs="Times New Roman"/>
          <w:sz w:val="24"/>
          <w:szCs w:val="24"/>
        </w:rPr>
        <w:t xml:space="preserve"> and time-bound (SMART). Th</w:t>
      </w:r>
      <w:r w:rsidR="00B439D2" w:rsidRPr="00B40308">
        <w:rPr>
          <w:rFonts w:ascii="Times New Roman" w:eastAsia="Calibri" w:hAnsi="Times New Roman" w:cs="Times New Roman"/>
          <w:sz w:val="24"/>
          <w:szCs w:val="24"/>
        </w:rPr>
        <w:t>is issue was also raised in the Committee</w:t>
      </w:r>
      <w:r w:rsidRPr="00B40308">
        <w:rPr>
          <w:rFonts w:ascii="Times New Roman" w:eastAsia="Calibri" w:hAnsi="Times New Roman" w:cs="Times New Roman"/>
          <w:sz w:val="24"/>
          <w:szCs w:val="24"/>
        </w:rPr>
        <w:t>’s</w:t>
      </w:r>
      <w:r w:rsidR="00B439D2" w:rsidRPr="00B40308">
        <w:rPr>
          <w:rFonts w:ascii="Times New Roman" w:eastAsia="Calibri" w:hAnsi="Times New Roman" w:cs="Times New Roman"/>
          <w:sz w:val="24"/>
          <w:szCs w:val="24"/>
        </w:rPr>
        <w:t xml:space="preserve"> report on Parliament’s Annual Report for 2015/16. </w:t>
      </w:r>
    </w:p>
    <w:p w:rsidR="00821866" w:rsidRPr="00B40308" w:rsidRDefault="00821866" w:rsidP="00B40308">
      <w:pPr>
        <w:spacing w:before="120" w:after="120" w:line="240" w:lineRule="auto"/>
        <w:ind w:left="720" w:hanging="720"/>
        <w:contextualSpacing/>
        <w:jc w:val="both"/>
        <w:rPr>
          <w:rFonts w:ascii="Times New Roman" w:eastAsia="Calibri" w:hAnsi="Times New Roman" w:cs="Times New Roman"/>
          <w:sz w:val="24"/>
          <w:szCs w:val="24"/>
        </w:rPr>
      </w:pPr>
    </w:p>
    <w:p w:rsidR="0097363D" w:rsidRPr="00B40308" w:rsidRDefault="0097363D" w:rsidP="00B40308">
      <w:pPr>
        <w:spacing w:before="120" w:after="120" w:line="240" w:lineRule="auto"/>
        <w:ind w:left="720" w:hanging="720"/>
        <w:contextualSpacing/>
        <w:jc w:val="both"/>
        <w:rPr>
          <w:rFonts w:ascii="Times New Roman" w:eastAsia="Calibri" w:hAnsi="Times New Roman" w:cs="Times New Roman"/>
          <w:sz w:val="24"/>
          <w:szCs w:val="24"/>
        </w:rPr>
      </w:pPr>
    </w:p>
    <w:p w:rsidR="0097363D" w:rsidRPr="00B40308" w:rsidRDefault="0097363D" w:rsidP="00B40308">
      <w:pPr>
        <w:spacing w:before="120" w:after="120" w:line="240" w:lineRule="auto"/>
        <w:ind w:left="720" w:hanging="720"/>
        <w:contextualSpacing/>
        <w:jc w:val="both"/>
        <w:rPr>
          <w:rFonts w:ascii="Times New Roman" w:eastAsia="Calibri" w:hAnsi="Times New Roman" w:cs="Times New Roman"/>
          <w:sz w:val="24"/>
          <w:szCs w:val="24"/>
        </w:rPr>
      </w:pPr>
    </w:p>
    <w:p w:rsidR="00821866" w:rsidRPr="00B40308" w:rsidRDefault="00821866" w:rsidP="00B40308">
      <w:pPr>
        <w:spacing w:before="120" w:after="120" w:line="240" w:lineRule="auto"/>
        <w:ind w:left="720" w:hanging="720"/>
        <w:contextualSpacing/>
        <w:jc w:val="both"/>
        <w:rPr>
          <w:rFonts w:ascii="Times New Roman" w:eastAsia="Calibri" w:hAnsi="Times New Roman" w:cs="Times New Roman"/>
          <w:sz w:val="24"/>
          <w:szCs w:val="24"/>
        </w:rPr>
      </w:pPr>
    </w:p>
    <w:p w:rsidR="00821866" w:rsidRPr="00B40308" w:rsidRDefault="00821866" w:rsidP="00B40308">
      <w:pPr>
        <w:spacing w:before="120" w:after="120" w:line="240" w:lineRule="auto"/>
        <w:ind w:left="720" w:hanging="720"/>
        <w:contextualSpacing/>
        <w:jc w:val="both"/>
        <w:rPr>
          <w:rFonts w:ascii="Times New Roman" w:eastAsia="Calibri" w:hAnsi="Times New Roman" w:cs="Times New Roman"/>
          <w:sz w:val="24"/>
          <w:szCs w:val="24"/>
        </w:rPr>
      </w:pPr>
      <w:r w:rsidRPr="00B40308">
        <w:rPr>
          <w:rFonts w:ascii="Times New Roman" w:eastAsia="Calibri" w:hAnsi="Times New Roman" w:cs="Times New Roman"/>
          <w:sz w:val="24"/>
          <w:szCs w:val="24"/>
        </w:rPr>
        <w:t xml:space="preserve">Report to be considered. </w:t>
      </w:r>
    </w:p>
    <w:p w:rsidR="00821866" w:rsidRPr="00B40308" w:rsidRDefault="00821866" w:rsidP="00B40308">
      <w:pPr>
        <w:spacing w:before="120" w:after="120" w:line="240" w:lineRule="auto"/>
        <w:ind w:left="720" w:hanging="720"/>
        <w:contextualSpacing/>
        <w:jc w:val="both"/>
        <w:rPr>
          <w:rFonts w:ascii="Times New Roman" w:eastAsia="Calibri" w:hAnsi="Times New Roman" w:cs="Times New Roman"/>
          <w:sz w:val="24"/>
          <w:szCs w:val="24"/>
        </w:rPr>
      </w:pPr>
    </w:p>
    <w:p w:rsidR="00821866" w:rsidRPr="00B40308" w:rsidRDefault="00821866" w:rsidP="00B40308">
      <w:pPr>
        <w:spacing w:before="120" w:after="120" w:line="240" w:lineRule="auto"/>
        <w:ind w:left="720" w:hanging="720"/>
        <w:contextualSpacing/>
        <w:jc w:val="both"/>
        <w:rPr>
          <w:rFonts w:ascii="Times New Roman" w:eastAsia="Calibri" w:hAnsi="Times New Roman" w:cs="Times New Roman"/>
          <w:b/>
          <w:sz w:val="24"/>
          <w:szCs w:val="24"/>
        </w:rPr>
      </w:pPr>
    </w:p>
    <w:p w:rsidR="00821866" w:rsidRPr="00B40308" w:rsidRDefault="00821866" w:rsidP="00B40308">
      <w:pPr>
        <w:spacing w:before="120" w:after="120" w:line="240" w:lineRule="auto"/>
        <w:jc w:val="both"/>
        <w:rPr>
          <w:rFonts w:ascii="Times New Roman" w:eastAsia="Calibri" w:hAnsi="Times New Roman" w:cs="Times New Roman"/>
          <w:sz w:val="24"/>
          <w:szCs w:val="24"/>
          <w:u w:val="single"/>
        </w:rPr>
      </w:pPr>
    </w:p>
    <w:p w:rsidR="003249BB" w:rsidRPr="00B40308" w:rsidRDefault="003249BB" w:rsidP="00B40308">
      <w:pPr>
        <w:spacing w:before="120" w:after="120" w:line="240" w:lineRule="auto"/>
        <w:rPr>
          <w:rFonts w:ascii="Times New Roman" w:hAnsi="Times New Roman" w:cs="Times New Roman"/>
          <w:sz w:val="24"/>
          <w:szCs w:val="24"/>
        </w:rPr>
      </w:pPr>
    </w:p>
    <w:sectPr w:rsidR="003249BB" w:rsidRPr="00B4030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3CC" w:rsidRDefault="000073CC" w:rsidP="00821866">
      <w:pPr>
        <w:spacing w:after="0" w:line="240" w:lineRule="auto"/>
      </w:pPr>
      <w:r>
        <w:separator/>
      </w:r>
    </w:p>
  </w:endnote>
  <w:endnote w:type="continuationSeparator" w:id="0">
    <w:p w:rsidR="000073CC" w:rsidRDefault="000073CC" w:rsidP="0082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718992"/>
      <w:docPartObj>
        <w:docPartGallery w:val="Page Numbers (Bottom of Page)"/>
        <w:docPartUnique/>
      </w:docPartObj>
    </w:sdtPr>
    <w:sdtEndPr>
      <w:rPr>
        <w:noProof/>
      </w:rPr>
    </w:sdtEndPr>
    <w:sdtContent>
      <w:p w:rsidR="00F208CD" w:rsidRDefault="00F208CD">
        <w:pPr>
          <w:pStyle w:val="Footer"/>
          <w:jc w:val="right"/>
        </w:pPr>
        <w:r>
          <w:fldChar w:fldCharType="begin"/>
        </w:r>
        <w:r>
          <w:instrText xml:space="preserve"> PAGE   \* MERGEFORMAT </w:instrText>
        </w:r>
        <w:r>
          <w:fldChar w:fldCharType="separate"/>
        </w:r>
        <w:r w:rsidR="007B0D78">
          <w:rPr>
            <w:noProof/>
          </w:rPr>
          <w:t>1</w:t>
        </w:r>
        <w:r>
          <w:rPr>
            <w:noProof/>
          </w:rPr>
          <w:fldChar w:fldCharType="end"/>
        </w:r>
      </w:p>
    </w:sdtContent>
  </w:sdt>
  <w:p w:rsidR="00F208CD" w:rsidRDefault="00F20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3CC" w:rsidRDefault="000073CC" w:rsidP="00821866">
      <w:pPr>
        <w:spacing w:after="0" w:line="240" w:lineRule="auto"/>
      </w:pPr>
      <w:r>
        <w:separator/>
      </w:r>
    </w:p>
  </w:footnote>
  <w:footnote w:type="continuationSeparator" w:id="0">
    <w:p w:rsidR="000073CC" w:rsidRDefault="000073CC" w:rsidP="00821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9FF"/>
    <w:multiLevelType w:val="multilevel"/>
    <w:tmpl w:val="C0122DA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C65863"/>
    <w:multiLevelType w:val="multilevel"/>
    <w:tmpl w:val="0B96FE4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6854BA"/>
    <w:multiLevelType w:val="multilevel"/>
    <w:tmpl w:val="3A286B0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840AA3"/>
    <w:multiLevelType w:val="hybridMultilevel"/>
    <w:tmpl w:val="82348AC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7B65B7"/>
    <w:multiLevelType w:val="hybridMultilevel"/>
    <w:tmpl w:val="E07205D8"/>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A2BDF"/>
    <w:multiLevelType w:val="multilevel"/>
    <w:tmpl w:val="A704D5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4A2968"/>
    <w:multiLevelType w:val="multilevel"/>
    <w:tmpl w:val="54CA27C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160090"/>
    <w:multiLevelType w:val="multilevel"/>
    <w:tmpl w:val="A1D62446"/>
    <w:lvl w:ilvl="0">
      <w:start w:val="4"/>
      <w:numFmt w:val="decimal"/>
      <w:lvlText w:val="%1"/>
      <w:lvlJc w:val="left"/>
      <w:pPr>
        <w:ind w:left="480" w:hanging="480"/>
      </w:pPr>
      <w:rPr>
        <w:rFonts w:eastAsia="Calibri" w:hint="default"/>
        <w:b w:val="0"/>
        <w:color w:val="000000" w:themeColor="text1"/>
      </w:rPr>
    </w:lvl>
    <w:lvl w:ilvl="1">
      <w:start w:val="5"/>
      <w:numFmt w:val="decimal"/>
      <w:lvlText w:val="%1.%2"/>
      <w:lvlJc w:val="left"/>
      <w:pPr>
        <w:ind w:left="480" w:hanging="480"/>
      </w:pPr>
      <w:rPr>
        <w:rFonts w:eastAsia="Calibri" w:hint="default"/>
        <w:b w:val="0"/>
        <w:color w:val="000000" w:themeColor="text1"/>
      </w:rPr>
    </w:lvl>
    <w:lvl w:ilvl="2">
      <w:start w:val="1"/>
      <w:numFmt w:val="decimal"/>
      <w:lvlText w:val="%1.%2.%3"/>
      <w:lvlJc w:val="left"/>
      <w:pPr>
        <w:ind w:left="720" w:hanging="720"/>
      </w:pPr>
      <w:rPr>
        <w:rFonts w:eastAsia="Calibri" w:hint="default"/>
        <w:b w:val="0"/>
        <w:color w:val="000000" w:themeColor="text1"/>
      </w:rPr>
    </w:lvl>
    <w:lvl w:ilvl="3">
      <w:start w:val="1"/>
      <w:numFmt w:val="decimal"/>
      <w:lvlText w:val="%1.%2.%3.%4"/>
      <w:lvlJc w:val="left"/>
      <w:pPr>
        <w:ind w:left="720" w:hanging="720"/>
      </w:pPr>
      <w:rPr>
        <w:rFonts w:eastAsia="Calibri" w:hint="default"/>
        <w:b w:val="0"/>
        <w:color w:val="000000" w:themeColor="text1"/>
      </w:rPr>
    </w:lvl>
    <w:lvl w:ilvl="4">
      <w:start w:val="1"/>
      <w:numFmt w:val="decimal"/>
      <w:lvlText w:val="%1.%2.%3.%4.%5"/>
      <w:lvlJc w:val="left"/>
      <w:pPr>
        <w:ind w:left="1080" w:hanging="1080"/>
      </w:pPr>
      <w:rPr>
        <w:rFonts w:eastAsia="Calibri" w:hint="default"/>
        <w:b w:val="0"/>
        <w:color w:val="000000" w:themeColor="text1"/>
      </w:rPr>
    </w:lvl>
    <w:lvl w:ilvl="5">
      <w:start w:val="1"/>
      <w:numFmt w:val="decimal"/>
      <w:lvlText w:val="%1.%2.%3.%4.%5.%6"/>
      <w:lvlJc w:val="left"/>
      <w:pPr>
        <w:ind w:left="1080" w:hanging="1080"/>
      </w:pPr>
      <w:rPr>
        <w:rFonts w:eastAsia="Calibri" w:hint="default"/>
        <w:b w:val="0"/>
        <w:color w:val="000000" w:themeColor="text1"/>
      </w:rPr>
    </w:lvl>
    <w:lvl w:ilvl="6">
      <w:start w:val="1"/>
      <w:numFmt w:val="decimal"/>
      <w:lvlText w:val="%1.%2.%3.%4.%5.%6.%7"/>
      <w:lvlJc w:val="left"/>
      <w:pPr>
        <w:ind w:left="1440" w:hanging="1440"/>
      </w:pPr>
      <w:rPr>
        <w:rFonts w:eastAsia="Calibri" w:hint="default"/>
        <w:b w:val="0"/>
        <w:color w:val="000000" w:themeColor="text1"/>
      </w:rPr>
    </w:lvl>
    <w:lvl w:ilvl="7">
      <w:start w:val="1"/>
      <w:numFmt w:val="decimal"/>
      <w:lvlText w:val="%1.%2.%3.%4.%5.%6.%7.%8"/>
      <w:lvlJc w:val="left"/>
      <w:pPr>
        <w:ind w:left="1440" w:hanging="1440"/>
      </w:pPr>
      <w:rPr>
        <w:rFonts w:eastAsia="Calibri" w:hint="default"/>
        <w:b w:val="0"/>
        <w:color w:val="000000" w:themeColor="text1"/>
      </w:rPr>
    </w:lvl>
    <w:lvl w:ilvl="8">
      <w:start w:val="1"/>
      <w:numFmt w:val="decimal"/>
      <w:lvlText w:val="%1.%2.%3.%4.%5.%6.%7.%8.%9"/>
      <w:lvlJc w:val="left"/>
      <w:pPr>
        <w:ind w:left="1800" w:hanging="1800"/>
      </w:pPr>
      <w:rPr>
        <w:rFonts w:eastAsia="Calibri" w:hint="default"/>
        <w:b w:val="0"/>
        <w:color w:val="000000" w:themeColor="text1"/>
      </w:rPr>
    </w:lvl>
  </w:abstractNum>
  <w:abstractNum w:abstractNumId="8">
    <w:nsid w:val="21A72A1D"/>
    <w:multiLevelType w:val="multilevel"/>
    <w:tmpl w:val="ABF0B036"/>
    <w:lvl w:ilvl="0">
      <w:start w:val="5"/>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D31BFB"/>
    <w:multiLevelType w:val="multilevel"/>
    <w:tmpl w:val="58D8F0B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3B6B00"/>
    <w:multiLevelType w:val="multilevel"/>
    <w:tmpl w:val="5F525846"/>
    <w:lvl w:ilvl="0">
      <w:start w:val="7"/>
      <w:numFmt w:val="decimal"/>
      <w:lvlText w:val="%1"/>
      <w:lvlJc w:val="left"/>
      <w:pPr>
        <w:ind w:left="480" w:hanging="480"/>
      </w:pPr>
      <w:rPr>
        <w:rFonts w:hint="default"/>
        <w:u w:val="none"/>
      </w:rPr>
    </w:lvl>
    <w:lvl w:ilvl="1">
      <w:start w:val="4"/>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35052E47"/>
    <w:multiLevelType w:val="multilevel"/>
    <w:tmpl w:val="2C18F168"/>
    <w:lvl w:ilvl="0">
      <w:start w:val="7"/>
      <w:numFmt w:val="decimal"/>
      <w:lvlText w:val="%1"/>
      <w:lvlJc w:val="left"/>
      <w:pPr>
        <w:ind w:left="480" w:hanging="480"/>
      </w:pPr>
      <w:rPr>
        <w:rFonts w:hint="default"/>
        <w:i/>
      </w:rPr>
    </w:lvl>
    <w:lvl w:ilvl="1">
      <w:start w:val="2"/>
      <w:numFmt w:val="decimal"/>
      <w:lvlText w:val="%1.%2"/>
      <w:lvlJc w:val="left"/>
      <w:pPr>
        <w:ind w:left="480" w:hanging="480"/>
      </w:pPr>
      <w:rPr>
        <w:rFonts w:hint="default"/>
        <w:i/>
      </w:rPr>
    </w:lvl>
    <w:lvl w:ilvl="2">
      <w:start w:val="3"/>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nsid w:val="37271255"/>
    <w:multiLevelType w:val="multilevel"/>
    <w:tmpl w:val="1996D770"/>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8A313F2"/>
    <w:multiLevelType w:val="multilevel"/>
    <w:tmpl w:val="0BBEFB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CE143A2"/>
    <w:multiLevelType w:val="multilevel"/>
    <w:tmpl w:val="E1028E56"/>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0B04FD"/>
    <w:multiLevelType w:val="multilevel"/>
    <w:tmpl w:val="147073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3D05C1"/>
    <w:multiLevelType w:val="multilevel"/>
    <w:tmpl w:val="C1E0523E"/>
    <w:lvl w:ilvl="0">
      <w:start w:val="5"/>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7">
    <w:nsid w:val="56287F31"/>
    <w:multiLevelType w:val="multilevel"/>
    <w:tmpl w:val="916EA0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9EC7F2F"/>
    <w:multiLevelType w:val="hybridMultilevel"/>
    <w:tmpl w:val="FD94A4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2411780"/>
    <w:multiLevelType w:val="hybridMultilevel"/>
    <w:tmpl w:val="9D44AB9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72688"/>
    <w:multiLevelType w:val="multilevel"/>
    <w:tmpl w:val="0B96FE4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983849"/>
    <w:multiLevelType w:val="multilevel"/>
    <w:tmpl w:val="1AB6F734"/>
    <w:lvl w:ilvl="0">
      <w:start w:val="4"/>
      <w:numFmt w:val="decimal"/>
      <w:lvlText w:val="%1"/>
      <w:lvlJc w:val="left"/>
      <w:pPr>
        <w:ind w:left="480" w:hanging="480"/>
      </w:pPr>
      <w:rPr>
        <w:rFonts w:eastAsia="Calibri" w:hint="default"/>
        <w:b w:val="0"/>
        <w:color w:val="000000" w:themeColor="text1"/>
      </w:rPr>
    </w:lvl>
    <w:lvl w:ilvl="1">
      <w:start w:val="4"/>
      <w:numFmt w:val="decimal"/>
      <w:lvlText w:val="%1.%2"/>
      <w:lvlJc w:val="left"/>
      <w:pPr>
        <w:ind w:left="480" w:hanging="480"/>
      </w:pPr>
      <w:rPr>
        <w:rFonts w:eastAsia="Calibri" w:hint="default"/>
        <w:b w:val="0"/>
        <w:color w:val="000000" w:themeColor="text1"/>
      </w:rPr>
    </w:lvl>
    <w:lvl w:ilvl="2">
      <w:start w:val="3"/>
      <w:numFmt w:val="decimal"/>
      <w:lvlText w:val="%1.%2.%3"/>
      <w:lvlJc w:val="left"/>
      <w:pPr>
        <w:ind w:left="720" w:hanging="720"/>
      </w:pPr>
      <w:rPr>
        <w:rFonts w:eastAsia="Calibri" w:hint="default"/>
        <w:b w:val="0"/>
        <w:color w:val="000000" w:themeColor="text1"/>
      </w:rPr>
    </w:lvl>
    <w:lvl w:ilvl="3">
      <w:start w:val="1"/>
      <w:numFmt w:val="decimal"/>
      <w:lvlText w:val="%1.%2.%3.%4"/>
      <w:lvlJc w:val="left"/>
      <w:pPr>
        <w:ind w:left="720" w:hanging="720"/>
      </w:pPr>
      <w:rPr>
        <w:rFonts w:eastAsia="Calibri" w:hint="default"/>
        <w:b w:val="0"/>
        <w:color w:val="000000" w:themeColor="text1"/>
      </w:rPr>
    </w:lvl>
    <w:lvl w:ilvl="4">
      <w:start w:val="1"/>
      <w:numFmt w:val="decimal"/>
      <w:lvlText w:val="%1.%2.%3.%4.%5"/>
      <w:lvlJc w:val="left"/>
      <w:pPr>
        <w:ind w:left="1080" w:hanging="1080"/>
      </w:pPr>
      <w:rPr>
        <w:rFonts w:eastAsia="Calibri" w:hint="default"/>
        <w:b w:val="0"/>
        <w:color w:val="000000" w:themeColor="text1"/>
      </w:rPr>
    </w:lvl>
    <w:lvl w:ilvl="5">
      <w:start w:val="1"/>
      <w:numFmt w:val="decimal"/>
      <w:lvlText w:val="%1.%2.%3.%4.%5.%6"/>
      <w:lvlJc w:val="left"/>
      <w:pPr>
        <w:ind w:left="1080" w:hanging="1080"/>
      </w:pPr>
      <w:rPr>
        <w:rFonts w:eastAsia="Calibri" w:hint="default"/>
        <w:b w:val="0"/>
        <w:color w:val="000000" w:themeColor="text1"/>
      </w:rPr>
    </w:lvl>
    <w:lvl w:ilvl="6">
      <w:start w:val="1"/>
      <w:numFmt w:val="decimal"/>
      <w:lvlText w:val="%1.%2.%3.%4.%5.%6.%7"/>
      <w:lvlJc w:val="left"/>
      <w:pPr>
        <w:ind w:left="1440" w:hanging="1440"/>
      </w:pPr>
      <w:rPr>
        <w:rFonts w:eastAsia="Calibri" w:hint="default"/>
        <w:b w:val="0"/>
        <w:color w:val="000000" w:themeColor="text1"/>
      </w:rPr>
    </w:lvl>
    <w:lvl w:ilvl="7">
      <w:start w:val="1"/>
      <w:numFmt w:val="decimal"/>
      <w:lvlText w:val="%1.%2.%3.%4.%5.%6.%7.%8"/>
      <w:lvlJc w:val="left"/>
      <w:pPr>
        <w:ind w:left="1440" w:hanging="1440"/>
      </w:pPr>
      <w:rPr>
        <w:rFonts w:eastAsia="Calibri" w:hint="default"/>
        <w:b w:val="0"/>
        <w:color w:val="000000" w:themeColor="text1"/>
      </w:rPr>
    </w:lvl>
    <w:lvl w:ilvl="8">
      <w:start w:val="1"/>
      <w:numFmt w:val="decimal"/>
      <w:lvlText w:val="%1.%2.%3.%4.%5.%6.%7.%8.%9"/>
      <w:lvlJc w:val="left"/>
      <w:pPr>
        <w:ind w:left="1800" w:hanging="1800"/>
      </w:pPr>
      <w:rPr>
        <w:rFonts w:eastAsia="Calibri" w:hint="default"/>
        <w:b w:val="0"/>
        <w:color w:val="000000" w:themeColor="text1"/>
      </w:rPr>
    </w:lvl>
  </w:abstractNum>
  <w:num w:numId="1">
    <w:abstractNumId w:val="19"/>
  </w:num>
  <w:num w:numId="2">
    <w:abstractNumId w:val="15"/>
  </w:num>
  <w:num w:numId="3">
    <w:abstractNumId w:val="21"/>
  </w:num>
  <w:num w:numId="4">
    <w:abstractNumId w:val="7"/>
  </w:num>
  <w:num w:numId="5">
    <w:abstractNumId w:val="11"/>
  </w:num>
  <w:num w:numId="6">
    <w:abstractNumId w:val="9"/>
  </w:num>
  <w:num w:numId="7">
    <w:abstractNumId w:val="4"/>
  </w:num>
  <w:num w:numId="8">
    <w:abstractNumId w:val="10"/>
  </w:num>
  <w:num w:numId="9">
    <w:abstractNumId w:val="14"/>
  </w:num>
  <w:num w:numId="10">
    <w:abstractNumId w:val="5"/>
  </w:num>
  <w:num w:numId="11">
    <w:abstractNumId w:val="17"/>
  </w:num>
  <w:num w:numId="12">
    <w:abstractNumId w:val="13"/>
  </w:num>
  <w:num w:numId="13">
    <w:abstractNumId w:val="18"/>
  </w:num>
  <w:num w:numId="14">
    <w:abstractNumId w:val="2"/>
  </w:num>
  <w:num w:numId="15">
    <w:abstractNumId w:val="1"/>
  </w:num>
  <w:num w:numId="16">
    <w:abstractNumId w:val="20"/>
  </w:num>
  <w:num w:numId="17">
    <w:abstractNumId w:val="3"/>
  </w:num>
  <w:num w:numId="18">
    <w:abstractNumId w:val="6"/>
  </w:num>
  <w:num w:numId="19">
    <w:abstractNumId w:val="16"/>
  </w:num>
  <w:num w:numId="20">
    <w:abstractNumId w:val="8"/>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66"/>
    <w:rsid w:val="000073CC"/>
    <w:rsid w:val="000100F1"/>
    <w:rsid w:val="000113E2"/>
    <w:rsid w:val="00042184"/>
    <w:rsid w:val="000463A6"/>
    <w:rsid w:val="0008212F"/>
    <w:rsid w:val="000C2F92"/>
    <w:rsid w:val="000D093B"/>
    <w:rsid w:val="000D62A7"/>
    <w:rsid w:val="00106EE9"/>
    <w:rsid w:val="0017772C"/>
    <w:rsid w:val="00177EAE"/>
    <w:rsid w:val="00187A83"/>
    <w:rsid w:val="001909C3"/>
    <w:rsid w:val="001A4B5E"/>
    <w:rsid w:val="001C101D"/>
    <w:rsid w:val="001C26CE"/>
    <w:rsid w:val="001D5771"/>
    <w:rsid w:val="0022443B"/>
    <w:rsid w:val="00251F58"/>
    <w:rsid w:val="00297A32"/>
    <w:rsid w:val="002E2A3E"/>
    <w:rsid w:val="002E5A72"/>
    <w:rsid w:val="002F7E99"/>
    <w:rsid w:val="003249BB"/>
    <w:rsid w:val="00324DBA"/>
    <w:rsid w:val="003309B8"/>
    <w:rsid w:val="00375E3A"/>
    <w:rsid w:val="0038687B"/>
    <w:rsid w:val="003A3D48"/>
    <w:rsid w:val="003C7CD4"/>
    <w:rsid w:val="00404582"/>
    <w:rsid w:val="004420D5"/>
    <w:rsid w:val="004573B0"/>
    <w:rsid w:val="00470853"/>
    <w:rsid w:val="004846DE"/>
    <w:rsid w:val="00491FA7"/>
    <w:rsid w:val="004A090A"/>
    <w:rsid w:val="004C1122"/>
    <w:rsid w:val="00510BE5"/>
    <w:rsid w:val="00520B1E"/>
    <w:rsid w:val="00525AD7"/>
    <w:rsid w:val="0053570D"/>
    <w:rsid w:val="00553910"/>
    <w:rsid w:val="00566816"/>
    <w:rsid w:val="00580E0F"/>
    <w:rsid w:val="0058269F"/>
    <w:rsid w:val="005B1691"/>
    <w:rsid w:val="005E572B"/>
    <w:rsid w:val="00627141"/>
    <w:rsid w:val="00642725"/>
    <w:rsid w:val="006515E5"/>
    <w:rsid w:val="00652427"/>
    <w:rsid w:val="00666B72"/>
    <w:rsid w:val="00685915"/>
    <w:rsid w:val="00705683"/>
    <w:rsid w:val="00715F6E"/>
    <w:rsid w:val="00717AFF"/>
    <w:rsid w:val="00736BBB"/>
    <w:rsid w:val="00757978"/>
    <w:rsid w:val="00772964"/>
    <w:rsid w:val="00793DCA"/>
    <w:rsid w:val="007B0D78"/>
    <w:rsid w:val="007B68AB"/>
    <w:rsid w:val="007C19CB"/>
    <w:rsid w:val="00810D6B"/>
    <w:rsid w:val="008207BD"/>
    <w:rsid w:val="00821866"/>
    <w:rsid w:val="00824D10"/>
    <w:rsid w:val="0085663E"/>
    <w:rsid w:val="008909A8"/>
    <w:rsid w:val="008B5070"/>
    <w:rsid w:val="008C2E72"/>
    <w:rsid w:val="008D332F"/>
    <w:rsid w:val="008D3A40"/>
    <w:rsid w:val="008E33EA"/>
    <w:rsid w:val="00905CB0"/>
    <w:rsid w:val="0091311C"/>
    <w:rsid w:val="00913B80"/>
    <w:rsid w:val="0092029F"/>
    <w:rsid w:val="00920BFA"/>
    <w:rsid w:val="0097363D"/>
    <w:rsid w:val="0098417B"/>
    <w:rsid w:val="009A0BCA"/>
    <w:rsid w:val="009B149C"/>
    <w:rsid w:val="009B3041"/>
    <w:rsid w:val="009E6B0C"/>
    <w:rsid w:val="00A30DA1"/>
    <w:rsid w:val="00A35B7B"/>
    <w:rsid w:val="00A93505"/>
    <w:rsid w:val="00AD292E"/>
    <w:rsid w:val="00AE4D1E"/>
    <w:rsid w:val="00B04979"/>
    <w:rsid w:val="00B15A80"/>
    <w:rsid w:val="00B33D45"/>
    <w:rsid w:val="00B40308"/>
    <w:rsid w:val="00B439D2"/>
    <w:rsid w:val="00B63E47"/>
    <w:rsid w:val="00B67110"/>
    <w:rsid w:val="00BA63AF"/>
    <w:rsid w:val="00BC2DD6"/>
    <w:rsid w:val="00BC315F"/>
    <w:rsid w:val="00C01969"/>
    <w:rsid w:val="00C03216"/>
    <w:rsid w:val="00C24A8D"/>
    <w:rsid w:val="00C32A08"/>
    <w:rsid w:val="00C86B46"/>
    <w:rsid w:val="00CB1400"/>
    <w:rsid w:val="00CB7F63"/>
    <w:rsid w:val="00CF0AEA"/>
    <w:rsid w:val="00D25083"/>
    <w:rsid w:val="00D27ACE"/>
    <w:rsid w:val="00D90B50"/>
    <w:rsid w:val="00D91661"/>
    <w:rsid w:val="00D92397"/>
    <w:rsid w:val="00DA32F1"/>
    <w:rsid w:val="00DB03E3"/>
    <w:rsid w:val="00DC7AA2"/>
    <w:rsid w:val="00DD5F43"/>
    <w:rsid w:val="00DE445D"/>
    <w:rsid w:val="00DF0015"/>
    <w:rsid w:val="00DF28D9"/>
    <w:rsid w:val="00DF6D3A"/>
    <w:rsid w:val="00E3597F"/>
    <w:rsid w:val="00E43A34"/>
    <w:rsid w:val="00E621F7"/>
    <w:rsid w:val="00E723EA"/>
    <w:rsid w:val="00E82E7B"/>
    <w:rsid w:val="00EC4E6B"/>
    <w:rsid w:val="00EE1F80"/>
    <w:rsid w:val="00F0279C"/>
    <w:rsid w:val="00F03EAD"/>
    <w:rsid w:val="00F208CD"/>
    <w:rsid w:val="00F24400"/>
    <w:rsid w:val="00F34EE5"/>
    <w:rsid w:val="00F44F17"/>
    <w:rsid w:val="00F56269"/>
    <w:rsid w:val="00F57ED5"/>
    <w:rsid w:val="00F63DB4"/>
    <w:rsid w:val="00F71B1C"/>
    <w:rsid w:val="00FC5241"/>
    <w:rsid w:val="00FE19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1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866"/>
  </w:style>
  <w:style w:type="paragraph" w:styleId="FootnoteText">
    <w:name w:val="footnote text"/>
    <w:basedOn w:val="Normal"/>
    <w:link w:val="FootnoteTextChar"/>
    <w:uiPriority w:val="99"/>
    <w:semiHidden/>
    <w:unhideWhenUsed/>
    <w:rsid w:val="00821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866"/>
    <w:rPr>
      <w:sz w:val="20"/>
      <w:szCs w:val="20"/>
    </w:rPr>
  </w:style>
  <w:style w:type="character" w:styleId="FootnoteReference">
    <w:name w:val="footnote reference"/>
    <w:basedOn w:val="DefaultParagraphFont"/>
    <w:uiPriority w:val="99"/>
    <w:semiHidden/>
    <w:unhideWhenUsed/>
    <w:rsid w:val="00821866"/>
    <w:rPr>
      <w:vertAlign w:val="superscript"/>
    </w:rPr>
  </w:style>
  <w:style w:type="paragraph" w:styleId="ListParagraph">
    <w:name w:val="List Paragraph"/>
    <w:basedOn w:val="Normal"/>
    <w:uiPriority w:val="34"/>
    <w:qFormat/>
    <w:rsid w:val="00913B80"/>
    <w:pPr>
      <w:ind w:left="720"/>
      <w:contextualSpacing/>
    </w:pPr>
  </w:style>
  <w:style w:type="paragraph" w:styleId="BalloonText">
    <w:name w:val="Balloon Text"/>
    <w:basedOn w:val="Normal"/>
    <w:link w:val="BalloonTextChar"/>
    <w:uiPriority w:val="99"/>
    <w:semiHidden/>
    <w:unhideWhenUsed/>
    <w:rsid w:val="0097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1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866"/>
  </w:style>
  <w:style w:type="paragraph" w:styleId="FootnoteText">
    <w:name w:val="footnote text"/>
    <w:basedOn w:val="Normal"/>
    <w:link w:val="FootnoteTextChar"/>
    <w:uiPriority w:val="99"/>
    <w:semiHidden/>
    <w:unhideWhenUsed/>
    <w:rsid w:val="00821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866"/>
    <w:rPr>
      <w:sz w:val="20"/>
      <w:szCs w:val="20"/>
    </w:rPr>
  </w:style>
  <w:style w:type="character" w:styleId="FootnoteReference">
    <w:name w:val="footnote reference"/>
    <w:basedOn w:val="DefaultParagraphFont"/>
    <w:uiPriority w:val="99"/>
    <w:semiHidden/>
    <w:unhideWhenUsed/>
    <w:rsid w:val="00821866"/>
    <w:rPr>
      <w:vertAlign w:val="superscript"/>
    </w:rPr>
  </w:style>
  <w:style w:type="paragraph" w:styleId="ListParagraph">
    <w:name w:val="List Paragraph"/>
    <w:basedOn w:val="Normal"/>
    <w:uiPriority w:val="34"/>
    <w:qFormat/>
    <w:rsid w:val="00913B80"/>
    <w:pPr>
      <w:ind w:left="720"/>
      <w:contextualSpacing/>
    </w:pPr>
  </w:style>
  <w:style w:type="paragraph" w:styleId="BalloonText">
    <w:name w:val="Balloon Text"/>
    <w:basedOn w:val="Normal"/>
    <w:link w:val="BalloonTextChar"/>
    <w:uiPriority w:val="99"/>
    <w:semiHidden/>
    <w:unhideWhenUsed/>
    <w:rsid w:val="00973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3767</Words>
  <Characters>21472</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Arends</dc:creator>
  <cp:lastModifiedBy>Asanda</cp:lastModifiedBy>
  <cp:revision>2</cp:revision>
  <dcterms:created xsi:type="dcterms:W3CDTF">2017-03-23T08:49:00Z</dcterms:created>
  <dcterms:modified xsi:type="dcterms:W3CDTF">2017-03-23T08:49:00Z</dcterms:modified>
</cp:coreProperties>
</file>