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20" w:rsidRDefault="00436920" w:rsidP="00831CD5">
      <w:pPr>
        <w:spacing w:before="100" w:beforeAutospacing="1" w:after="100" w:afterAutospacing="1"/>
        <w:ind w:left="1440" w:hanging="720"/>
        <w:jc w:val="center"/>
        <w:rPr>
          <w:b/>
          <w:sz w:val="28"/>
          <w:szCs w:val="28"/>
          <w:lang w:val="en-GB"/>
        </w:rPr>
      </w:pPr>
      <w:r>
        <w:rPr>
          <w:b/>
          <w:sz w:val="28"/>
          <w:szCs w:val="28"/>
          <w:lang w:val="en-GB"/>
        </w:rPr>
        <w:t>NATIONAL ASSEMBLY</w:t>
      </w:r>
    </w:p>
    <w:p w:rsidR="00436920" w:rsidRPr="00534AB8" w:rsidRDefault="00436920" w:rsidP="00831CD5">
      <w:pPr>
        <w:spacing w:before="100" w:beforeAutospacing="1" w:after="100" w:afterAutospacing="1"/>
        <w:ind w:left="1440" w:hanging="720"/>
        <w:jc w:val="center"/>
        <w:rPr>
          <w:b/>
          <w:sz w:val="28"/>
          <w:szCs w:val="28"/>
          <w:lang w:val="en-GB"/>
        </w:rPr>
      </w:pPr>
      <w:r w:rsidRPr="00534AB8">
        <w:rPr>
          <w:b/>
          <w:sz w:val="28"/>
          <w:szCs w:val="28"/>
          <w:lang w:val="en-GB"/>
        </w:rPr>
        <w:t>QUESTIONS FOR WRITTEN REPLY</w:t>
      </w:r>
    </w:p>
    <w:p w:rsidR="00436920" w:rsidRDefault="00436920" w:rsidP="00831CD5">
      <w:pPr>
        <w:tabs>
          <w:tab w:val="left" w:pos="432"/>
          <w:tab w:val="left" w:pos="864"/>
        </w:tabs>
        <w:spacing w:before="100" w:beforeAutospacing="1" w:after="100" w:afterAutospacing="1"/>
        <w:ind w:left="1440" w:hanging="720"/>
        <w:jc w:val="center"/>
        <w:rPr>
          <w:b/>
          <w:lang w:val="en-GB"/>
        </w:rPr>
      </w:pPr>
      <w:r w:rsidRPr="00534AB8">
        <w:rPr>
          <w:b/>
          <w:lang w:val="en-GB"/>
        </w:rPr>
        <w:t xml:space="preserve">FRIDAY, </w:t>
      </w:r>
      <w:r>
        <w:rPr>
          <w:b/>
          <w:lang w:val="en-GB"/>
        </w:rPr>
        <w:t>5 JUNE</w:t>
      </w:r>
      <w:r w:rsidRPr="00534AB8">
        <w:rPr>
          <w:b/>
          <w:lang w:val="en-GB"/>
        </w:rPr>
        <w:t xml:space="preserve"> 2015</w:t>
      </w:r>
    </w:p>
    <w:p w:rsidR="00436920" w:rsidRPr="00534AB8" w:rsidRDefault="00436920" w:rsidP="00831CD5">
      <w:pPr>
        <w:tabs>
          <w:tab w:val="left" w:pos="432"/>
          <w:tab w:val="left" w:pos="864"/>
        </w:tabs>
        <w:spacing w:before="100" w:beforeAutospacing="1" w:after="100" w:afterAutospacing="1"/>
        <w:ind w:left="1440" w:hanging="720"/>
        <w:jc w:val="center"/>
        <w:rPr>
          <w:b/>
          <w:lang w:val="en-GB"/>
        </w:rPr>
      </w:pPr>
      <w:r w:rsidRPr="00831CD5">
        <w:rPr>
          <w:b/>
          <w:u w:val="single"/>
          <w:lang w:val="en-GB"/>
        </w:rPr>
        <w:t>Due Date</w:t>
      </w:r>
      <w:r>
        <w:rPr>
          <w:b/>
          <w:lang w:val="en-GB"/>
        </w:rPr>
        <w:t>: 19 June 2015</w:t>
      </w:r>
    </w:p>
    <w:p w:rsidR="00436920" w:rsidRDefault="00436920"/>
    <w:p w:rsidR="00436920" w:rsidRPr="009A216B" w:rsidRDefault="00436920" w:rsidP="00831CD5">
      <w:pPr>
        <w:spacing w:before="100" w:beforeAutospacing="1" w:after="100" w:afterAutospacing="1"/>
        <w:ind w:left="993" w:hanging="851"/>
        <w:jc w:val="both"/>
        <w:outlineLvl w:val="0"/>
        <w:rPr>
          <w:b/>
        </w:rPr>
      </w:pPr>
      <w:r>
        <w:rPr>
          <w:b/>
        </w:rPr>
        <w:t>2154.</w:t>
      </w:r>
      <w:r>
        <w:rPr>
          <w:b/>
        </w:rPr>
        <w:tab/>
      </w:r>
      <w:r w:rsidRPr="009A216B">
        <w:rPr>
          <w:b/>
        </w:rPr>
        <w:t>The Leader of the Opposition (DA) to ask the Deputy President:</w:t>
      </w:r>
    </w:p>
    <w:p w:rsidR="00436920" w:rsidRPr="009A216B" w:rsidRDefault="00436920" w:rsidP="00831CD5">
      <w:pPr>
        <w:spacing w:before="100" w:beforeAutospacing="1" w:after="100" w:afterAutospacing="1"/>
        <w:ind w:left="1560" w:hanging="567"/>
        <w:jc w:val="both"/>
      </w:pPr>
      <w:r w:rsidRPr="009A216B">
        <w:t>(1)</w:t>
      </w:r>
      <w:r w:rsidRPr="009A216B">
        <w:tab/>
      </w:r>
      <w:r>
        <w:t>W</w:t>
      </w:r>
      <w:r w:rsidRPr="009A216B">
        <w:t xml:space="preserve">ith </w:t>
      </w:r>
      <w:r>
        <w:t xml:space="preserve">regard to </w:t>
      </w:r>
      <w:r w:rsidRPr="009A216B">
        <w:t xml:space="preserve">his constitutionally mandated duties to oversee the </w:t>
      </w:r>
      <w:r>
        <w:t>G</w:t>
      </w:r>
      <w:r w:rsidRPr="009A216B">
        <w:t>overnment's Anti-Poverty and Short-Term Job Creation Programmes,</w:t>
      </w:r>
      <w:r>
        <w:t xml:space="preserve"> (a) w</w:t>
      </w:r>
      <w:r w:rsidRPr="009A216B">
        <w:t xml:space="preserve">hat </w:t>
      </w:r>
      <w:r w:rsidRPr="00A53273">
        <w:rPr>
          <w:lang w:val="en-ZA"/>
        </w:rPr>
        <w:t>progress</w:t>
      </w:r>
      <w:r w:rsidRPr="009A216B">
        <w:t xml:space="preserve"> has been made in </w:t>
      </w:r>
      <w:r>
        <w:t>respect of skills development initiatives and (b)</w:t>
      </w:r>
      <w:r w:rsidRPr="009A216B">
        <w:t xml:space="preserve"> how many </w:t>
      </w:r>
      <w:r>
        <w:t>f</w:t>
      </w:r>
      <w:r w:rsidRPr="009A216B">
        <w:t xml:space="preserve">urther </w:t>
      </w:r>
      <w:r>
        <w:t>education and t</w:t>
      </w:r>
      <w:r w:rsidRPr="009A216B">
        <w:t xml:space="preserve">raining colleges have been recapitalised in the </w:t>
      </w:r>
      <w:r>
        <w:t xml:space="preserve">(i) 2012-13, (ii) 2013-14 and (iii) 2014-15 </w:t>
      </w:r>
      <w:r w:rsidRPr="009A216B">
        <w:t xml:space="preserve">financial years as part of </w:t>
      </w:r>
      <w:r>
        <w:t>the specified</w:t>
      </w:r>
      <w:r w:rsidRPr="009A216B">
        <w:t xml:space="preserve"> programme;</w:t>
      </w:r>
    </w:p>
    <w:p w:rsidR="00436920" w:rsidRPr="00BD6769" w:rsidRDefault="00436920" w:rsidP="00831CD5">
      <w:pPr>
        <w:spacing w:before="100" w:beforeAutospacing="1" w:after="100" w:afterAutospacing="1"/>
        <w:ind w:left="1560" w:hanging="567"/>
        <w:jc w:val="both"/>
      </w:pPr>
      <w:r w:rsidRPr="009A216B">
        <w:t>(2)</w:t>
      </w:r>
      <w:r w:rsidRPr="009A216B">
        <w:tab/>
        <w:t xml:space="preserve">what </w:t>
      </w:r>
      <w:r>
        <w:t xml:space="preserve">(a) </w:t>
      </w:r>
      <w:r w:rsidRPr="009A216B">
        <w:t xml:space="preserve">other initiatives has he undertaken </w:t>
      </w:r>
      <w:r>
        <w:t>a</w:t>
      </w:r>
      <w:r w:rsidRPr="009A216B">
        <w:t xml:space="preserve">s part of the Anti-Poverty </w:t>
      </w:r>
      <w:r w:rsidRPr="00A53273">
        <w:rPr>
          <w:lang w:val="en-ZA"/>
        </w:rPr>
        <w:t>Programme</w:t>
      </w:r>
      <w:r w:rsidRPr="009A216B">
        <w:t xml:space="preserve"> and (b) measurable impact have these initiatives had in lowering the youth unemployment rate</w:t>
      </w:r>
      <w:r w:rsidRPr="00341226">
        <w:t>?</w:t>
      </w:r>
      <w:r w:rsidRPr="00CB41B5">
        <w:tab/>
      </w:r>
      <w:r>
        <w:tab/>
      </w:r>
      <w:r w:rsidRPr="00BD6769">
        <w:tab/>
      </w:r>
      <w:r w:rsidRPr="00336E4C">
        <w:rPr>
          <w:sz w:val="20"/>
          <w:szCs w:val="20"/>
        </w:rPr>
        <w:t>NW24</w:t>
      </w:r>
      <w:r>
        <w:rPr>
          <w:sz w:val="20"/>
          <w:szCs w:val="20"/>
        </w:rPr>
        <w:t>66</w:t>
      </w:r>
      <w:r w:rsidRPr="00336E4C">
        <w:rPr>
          <w:sz w:val="20"/>
          <w:szCs w:val="20"/>
        </w:rPr>
        <w:t>E</w:t>
      </w:r>
    </w:p>
    <w:p w:rsidR="00436920" w:rsidRDefault="00436920">
      <w:pPr>
        <w:rPr>
          <w:rFonts w:ascii="Arial" w:hAnsi="Arial" w:cs="Arial"/>
        </w:rPr>
      </w:pPr>
      <w:r w:rsidRPr="00831CD5">
        <w:rPr>
          <w:rFonts w:ascii="Arial" w:hAnsi="Arial" w:cs="Arial"/>
          <w:b/>
        </w:rPr>
        <w:t>REPLY</w:t>
      </w:r>
    </w:p>
    <w:p w:rsidR="00436920" w:rsidRDefault="00436920" w:rsidP="00CF57BC">
      <w:pPr>
        <w:spacing w:line="360" w:lineRule="auto"/>
        <w:rPr>
          <w:rFonts w:ascii="Arial" w:hAnsi="Arial" w:cs="Arial"/>
        </w:rPr>
      </w:pPr>
    </w:p>
    <w:p w:rsidR="00436920" w:rsidRDefault="00436920" w:rsidP="00CF57BC">
      <w:pPr>
        <w:spacing w:line="360" w:lineRule="auto"/>
        <w:contextualSpacing/>
        <w:rPr>
          <w:rFonts w:ascii="Arial" w:hAnsi="Arial" w:cs="Arial"/>
          <w:lang w:val="en-ZA" w:eastAsia="en-ZA"/>
        </w:rPr>
      </w:pPr>
      <w:r>
        <w:rPr>
          <w:rFonts w:ascii="Arial" w:hAnsi="Arial" w:cs="Arial"/>
          <w:lang w:val="en-ZA" w:eastAsia="en-ZA"/>
        </w:rPr>
        <w:t>The responsibilities of the Deputy President with respect to anti-poverty programmes and short-term job creation programmes are not constitutionally mandated. They are responsibilities assigned by the President.</w:t>
      </w:r>
    </w:p>
    <w:p w:rsidR="00436920" w:rsidRDefault="00436920" w:rsidP="00CF57BC">
      <w:pPr>
        <w:spacing w:line="360" w:lineRule="auto"/>
        <w:contextualSpacing/>
        <w:rPr>
          <w:rFonts w:ascii="Arial" w:hAnsi="Arial" w:cs="Arial"/>
          <w:lang w:val="en-ZA" w:eastAsia="en-ZA"/>
        </w:rPr>
      </w:pPr>
    </w:p>
    <w:p w:rsidR="00436920" w:rsidRDefault="00436920" w:rsidP="00CF57BC">
      <w:pPr>
        <w:spacing w:line="360" w:lineRule="auto"/>
        <w:contextualSpacing/>
        <w:rPr>
          <w:rFonts w:ascii="Arial" w:hAnsi="Arial" w:cs="Arial"/>
          <w:lang w:val="en-ZA" w:eastAsia="en-ZA"/>
        </w:rPr>
      </w:pPr>
      <w:r>
        <w:rPr>
          <w:rFonts w:ascii="Arial" w:hAnsi="Arial" w:cs="Arial"/>
          <w:lang w:val="en-ZA" w:eastAsia="en-ZA"/>
        </w:rPr>
        <w:t>In terms of the Constitution, the role of the Deputy President is to assist the President in the execution of the functions of government, as stated in section 91(5), and</w:t>
      </w:r>
      <w:r>
        <w:rPr>
          <w:rFonts w:ascii="Arial" w:hAnsi="Arial" w:cs="Arial"/>
          <w:lang w:val="en-GB" w:eastAsia="en-ZA"/>
        </w:rPr>
        <w:t xml:space="preserve"> he</w:t>
      </w:r>
      <w:r>
        <w:rPr>
          <w:rFonts w:ascii="Arial" w:hAnsi="Arial" w:cs="Arial"/>
          <w:lang w:val="en-ZA" w:eastAsia="en-ZA"/>
        </w:rPr>
        <w:t xml:space="preserve"> is responsible for the powers and functions assigned to </w:t>
      </w:r>
      <w:r>
        <w:rPr>
          <w:rFonts w:ascii="Arial" w:hAnsi="Arial" w:cs="Arial"/>
          <w:lang w:val="en-GB" w:eastAsia="en-ZA"/>
        </w:rPr>
        <w:t>him</w:t>
      </w:r>
      <w:r>
        <w:rPr>
          <w:rFonts w:ascii="Arial" w:hAnsi="Arial" w:cs="Arial"/>
          <w:lang w:val="en-ZA" w:eastAsia="en-ZA"/>
        </w:rPr>
        <w:t xml:space="preserve"> by the President, in terms of section 92(1).</w:t>
      </w:r>
    </w:p>
    <w:p w:rsidR="00436920" w:rsidRDefault="00436920" w:rsidP="00CF57BC">
      <w:pPr>
        <w:spacing w:line="360" w:lineRule="auto"/>
        <w:contextualSpacing/>
        <w:rPr>
          <w:rFonts w:ascii="Arial" w:hAnsi="Arial" w:cs="Arial"/>
          <w:lang w:val="en-ZA" w:eastAsia="en-ZA"/>
        </w:rPr>
      </w:pPr>
    </w:p>
    <w:p w:rsidR="00436920" w:rsidRDefault="00436920" w:rsidP="00CF57BC">
      <w:pPr>
        <w:spacing w:line="360" w:lineRule="auto"/>
        <w:contextualSpacing/>
        <w:rPr>
          <w:rFonts w:ascii="Arial" w:hAnsi="Arial" w:cs="Arial"/>
          <w:lang w:val="en-ZA" w:eastAsia="en-ZA"/>
        </w:rPr>
      </w:pPr>
      <w:r>
        <w:rPr>
          <w:rFonts w:ascii="Arial" w:hAnsi="Arial" w:cs="Arial"/>
          <w:lang w:val="en-ZA" w:eastAsia="en-ZA"/>
        </w:rPr>
        <w:t>The role of the Deputy President with respect to anti-poverty programmes and short-term job creation programmes, working with the Inter-Ministrial Committee, includes:</w:t>
      </w:r>
    </w:p>
    <w:p w:rsidR="00436920" w:rsidRDefault="00436920" w:rsidP="00CF57BC">
      <w:pPr>
        <w:spacing w:line="360" w:lineRule="auto"/>
        <w:contextualSpacing/>
        <w:rPr>
          <w:rFonts w:ascii="Arial" w:hAnsi="Arial" w:cs="Arial"/>
          <w:lang w:val="en-ZA" w:eastAsia="en-ZA"/>
        </w:rPr>
      </w:pPr>
    </w:p>
    <w:p w:rsidR="00436920" w:rsidRPr="006A46AF" w:rsidRDefault="00436920" w:rsidP="006A46AF">
      <w:pPr>
        <w:numPr>
          <w:ilvl w:val="0"/>
          <w:numId w:val="15"/>
        </w:numPr>
        <w:spacing w:line="360" w:lineRule="auto"/>
        <w:contextualSpacing/>
        <w:rPr>
          <w:rFonts w:ascii="Arial" w:hAnsi="Arial" w:cs="Arial"/>
          <w:lang w:eastAsia="en-ZA"/>
        </w:rPr>
      </w:pPr>
      <w:r w:rsidRPr="006A46AF">
        <w:rPr>
          <w:rFonts w:ascii="Arial" w:hAnsi="Arial" w:cs="Arial"/>
          <w:lang w:eastAsia="en-ZA"/>
        </w:rPr>
        <w:t xml:space="preserve">Providing strategic oversight to enable rapid scaling up </w:t>
      </w:r>
      <w:r>
        <w:rPr>
          <w:rFonts w:ascii="Arial" w:hAnsi="Arial" w:cs="Arial"/>
          <w:lang w:eastAsia="en-ZA"/>
        </w:rPr>
        <w:t xml:space="preserve">of short-term job creation </w:t>
      </w:r>
      <w:r w:rsidRPr="006A46AF">
        <w:rPr>
          <w:rFonts w:ascii="Arial" w:hAnsi="Arial" w:cs="Arial"/>
          <w:lang w:eastAsia="en-ZA"/>
        </w:rPr>
        <w:t>while managing associated risks.</w:t>
      </w:r>
    </w:p>
    <w:p w:rsidR="00436920" w:rsidRPr="006A46AF" w:rsidRDefault="00436920" w:rsidP="00E25746">
      <w:pPr>
        <w:spacing w:line="360" w:lineRule="auto"/>
        <w:contextualSpacing/>
        <w:rPr>
          <w:rFonts w:ascii="Arial" w:hAnsi="Arial" w:cs="Arial"/>
          <w:lang w:eastAsia="en-ZA"/>
        </w:rPr>
      </w:pPr>
    </w:p>
    <w:p w:rsidR="00436920" w:rsidRPr="006A46AF" w:rsidRDefault="00436920" w:rsidP="006A46AF">
      <w:pPr>
        <w:numPr>
          <w:ilvl w:val="0"/>
          <w:numId w:val="15"/>
        </w:numPr>
        <w:spacing w:line="360" w:lineRule="auto"/>
        <w:contextualSpacing/>
        <w:rPr>
          <w:rFonts w:ascii="Arial" w:hAnsi="Arial" w:cs="Arial"/>
          <w:lang w:eastAsia="en-ZA"/>
        </w:rPr>
      </w:pPr>
      <w:r w:rsidRPr="006A46AF">
        <w:rPr>
          <w:rFonts w:ascii="Arial" w:hAnsi="Arial" w:cs="Arial"/>
          <w:lang w:eastAsia="en-ZA"/>
        </w:rPr>
        <w:t xml:space="preserve">Coordinating multiple stakeholders and addressing institutional </w:t>
      </w:r>
      <w:r>
        <w:rPr>
          <w:rFonts w:ascii="Arial" w:hAnsi="Arial" w:cs="Arial"/>
          <w:lang w:eastAsia="en-ZA"/>
        </w:rPr>
        <w:t>and</w:t>
      </w:r>
      <w:r w:rsidRPr="006A46AF">
        <w:rPr>
          <w:rFonts w:ascii="Arial" w:hAnsi="Arial" w:cs="Arial"/>
          <w:lang w:eastAsia="en-ZA"/>
        </w:rPr>
        <w:t xml:space="preserve"> other obstacles.</w:t>
      </w:r>
    </w:p>
    <w:p w:rsidR="00436920" w:rsidRPr="006A46AF" w:rsidRDefault="00436920" w:rsidP="00E25746">
      <w:pPr>
        <w:spacing w:line="360" w:lineRule="auto"/>
        <w:contextualSpacing/>
        <w:rPr>
          <w:rFonts w:ascii="Arial" w:hAnsi="Arial" w:cs="Arial"/>
          <w:lang w:eastAsia="en-ZA"/>
        </w:rPr>
      </w:pPr>
    </w:p>
    <w:p w:rsidR="00436920" w:rsidRPr="006A46AF" w:rsidRDefault="00436920" w:rsidP="006A46AF">
      <w:pPr>
        <w:numPr>
          <w:ilvl w:val="0"/>
          <w:numId w:val="15"/>
        </w:numPr>
        <w:spacing w:line="360" w:lineRule="auto"/>
        <w:contextualSpacing/>
        <w:rPr>
          <w:rFonts w:ascii="Arial" w:hAnsi="Arial" w:cs="Arial"/>
          <w:lang w:eastAsia="en-ZA"/>
        </w:rPr>
      </w:pPr>
      <w:r w:rsidRPr="006A46AF">
        <w:rPr>
          <w:rFonts w:ascii="Arial" w:hAnsi="Arial" w:cs="Arial"/>
          <w:lang w:eastAsia="en-ZA"/>
        </w:rPr>
        <w:t>Building accords</w:t>
      </w:r>
      <w:r>
        <w:rPr>
          <w:rFonts w:ascii="Arial" w:hAnsi="Arial" w:cs="Arial"/>
          <w:lang w:eastAsia="en-ZA"/>
        </w:rPr>
        <w:t xml:space="preserve"> with partners</w:t>
      </w:r>
      <w:r w:rsidRPr="006A46AF">
        <w:rPr>
          <w:rFonts w:ascii="Arial" w:hAnsi="Arial" w:cs="Arial"/>
          <w:lang w:eastAsia="en-ZA"/>
        </w:rPr>
        <w:t xml:space="preserve"> outside government</w:t>
      </w:r>
      <w:r>
        <w:rPr>
          <w:rFonts w:ascii="Arial" w:hAnsi="Arial" w:cs="Arial"/>
          <w:lang w:eastAsia="en-ZA"/>
        </w:rPr>
        <w:t xml:space="preserve">, </w:t>
      </w:r>
      <w:r w:rsidRPr="006A46AF">
        <w:rPr>
          <w:rFonts w:ascii="Arial" w:hAnsi="Arial" w:cs="Arial"/>
          <w:lang w:eastAsia="en-ZA"/>
        </w:rPr>
        <w:t>especially labour, business and communities.</w:t>
      </w:r>
    </w:p>
    <w:p w:rsidR="00436920" w:rsidRPr="006A46AF" w:rsidRDefault="00436920" w:rsidP="00E25746">
      <w:pPr>
        <w:spacing w:line="360" w:lineRule="auto"/>
        <w:contextualSpacing/>
        <w:rPr>
          <w:rFonts w:ascii="Arial" w:hAnsi="Arial" w:cs="Arial"/>
          <w:lang w:eastAsia="en-ZA"/>
        </w:rPr>
      </w:pPr>
    </w:p>
    <w:p w:rsidR="00436920" w:rsidRDefault="00436920" w:rsidP="006A46AF">
      <w:pPr>
        <w:numPr>
          <w:ilvl w:val="0"/>
          <w:numId w:val="15"/>
        </w:numPr>
        <w:spacing w:line="360" w:lineRule="auto"/>
        <w:contextualSpacing/>
        <w:rPr>
          <w:rFonts w:ascii="Arial" w:hAnsi="Arial" w:cs="Arial"/>
          <w:lang w:eastAsia="en-ZA"/>
        </w:rPr>
      </w:pPr>
      <w:r>
        <w:rPr>
          <w:rFonts w:ascii="Arial" w:hAnsi="Arial" w:cs="Arial"/>
          <w:lang w:eastAsia="en-ZA"/>
        </w:rPr>
        <w:t>Ensuring that the programmes reach</w:t>
      </w:r>
      <w:r w:rsidRPr="006A46AF">
        <w:rPr>
          <w:rFonts w:ascii="Arial" w:hAnsi="Arial" w:cs="Arial"/>
          <w:lang w:eastAsia="en-ZA"/>
        </w:rPr>
        <w:t xml:space="preserve"> the most marginali</w:t>
      </w:r>
      <w:r>
        <w:rPr>
          <w:rFonts w:ascii="Arial" w:hAnsi="Arial" w:cs="Arial"/>
          <w:lang w:eastAsia="en-ZA"/>
        </w:rPr>
        <w:t>s</w:t>
      </w:r>
      <w:r w:rsidRPr="006A46AF">
        <w:rPr>
          <w:rFonts w:ascii="Arial" w:hAnsi="Arial" w:cs="Arial"/>
          <w:lang w:eastAsia="en-ZA"/>
        </w:rPr>
        <w:t>ed</w:t>
      </w:r>
      <w:r>
        <w:rPr>
          <w:rFonts w:ascii="Arial" w:hAnsi="Arial" w:cs="Arial"/>
          <w:lang w:eastAsia="en-ZA"/>
        </w:rPr>
        <w:t xml:space="preserve"> people and communities in our country.</w:t>
      </w:r>
    </w:p>
    <w:p w:rsidR="00436920" w:rsidRPr="006A46AF" w:rsidRDefault="00436920" w:rsidP="006A46AF">
      <w:pPr>
        <w:spacing w:line="360" w:lineRule="auto"/>
        <w:contextualSpacing/>
        <w:rPr>
          <w:rFonts w:ascii="Arial" w:hAnsi="Arial" w:cs="Arial"/>
          <w:lang w:eastAsia="en-ZA"/>
        </w:rPr>
      </w:pPr>
      <w:r w:rsidRPr="006A46AF">
        <w:rPr>
          <w:rFonts w:ascii="Arial" w:hAnsi="Arial" w:cs="Arial"/>
          <w:lang w:eastAsia="en-ZA"/>
        </w:rPr>
        <w:t xml:space="preserve"> </w:t>
      </w:r>
    </w:p>
    <w:p w:rsidR="00436920" w:rsidRPr="006A46AF" w:rsidRDefault="00436920" w:rsidP="006A46AF">
      <w:pPr>
        <w:numPr>
          <w:ilvl w:val="0"/>
          <w:numId w:val="15"/>
        </w:numPr>
        <w:spacing w:line="360" w:lineRule="auto"/>
        <w:contextualSpacing/>
        <w:rPr>
          <w:rFonts w:ascii="Arial" w:hAnsi="Arial" w:cs="Arial"/>
          <w:lang w:eastAsia="en-ZA"/>
        </w:rPr>
      </w:pPr>
      <w:r>
        <w:rPr>
          <w:rFonts w:ascii="Arial" w:hAnsi="Arial" w:cs="Arial"/>
          <w:lang w:eastAsia="en-ZA"/>
        </w:rPr>
        <w:t>S</w:t>
      </w:r>
      <w:r w:rsidRPr="006A46AF">
        <w:rPr>
          <w:rFonts w:ascii="Arial" w:hAnsi="Arial" w:cs="Arial"/>
          <w:lang w:eastAsia="en-ZA"/>
        </w:rPr>
        <w:t xml:space="preserve">upporting innovative approaches to creating employment, and </w:t>
      </w:r>
      <w:r>
        <w:rPr>
          <w:rFonts w:ascii="Arial" w:hAnsi="Arial" w:cs="Arial"/>
          <w:lang w:eastAsia="en-ZA"/>
        </w:rPr>
        <w:t>creating</w:t>
      </w:r>
      <w:r w:rsidRPr="006A46AF">
        <w:rPr>
          <w:rFonts w:ascii="Arial" w:hAnsi="Arial" w:cs="Arial"/>
          <w:lang w:eastAsia="en-ZA"/>
        </w:rPr>
        <w:t xml:space="preserve"> opportunit</w:t>
      </w:r>
      <w:r>
        <w:rPr>
          <w:rFonts w:ascii="Arial" w:hAnsi="Arial" w:cs="Arial"/>
          <w:lang w:eastAsia="en-ZA"/>
        </w:rPr>
        <w:t>ies</w:t>
      </w:r>
      <w:r w:rsidRPr="006A46AF">
        <w:rPr>
          <w:rFonts w:ascii="Arial" w:hAnsi="Arial" w:cs="Arial"/>
          <w:lang w:eastAsia="en-ZA"/>
        </w:rPr>
        <w:t xml:space="preserve"> for cross-cutting learning. </w:t>
      </w:r>
    </w:p>
    <w:p w:rsidR="00436920" w:rsidRDefault="00436920" w:rsidP="00CF57BC">
      <w:pPr>
        <w:spacing w:line="360" w:lineRule="auto"/>
        <w:contextualSpacing/>
        <w:rPr>
          <w:rFonts w:ascii="Arial" w:hAnsi="Arial" w:cs="Arial"/>
          <w:lang w:val="en-ZA" w:eastAsia="en-ZA"/>
        </w:rPr>
      </w:pPr>
    </w:p>
    <w:p w:rsidR="00436920" w:rsidRPr="002232E7" w:rsidRDefault="00436920" w:rsidP="00CF57BC">
      <w:pPr>
        <w:spacing w:line="360" w:lineRule="auto"/>
        <w:contextualSpacing/>
        <w:rPr>
          <w:rFonts w:ascii="Arial" w:hAnsi="Arial" w:cs="Arial"/>
          <w:lang w:val="en-ZA" w:eastAsia="en-ZA"/>
        </w:rPr>
      </w:pPr>
      <w:r>
        <w:rPr>
          <w:rFonts w:ascii="Arial" w:hAnsi="Arial" w:cs="Arial"/>
          <w:lang w:val="en-ZA" w:eastAsia="en-ZA"/>
        </w:rPr>
        <w:t>The initiatives that form part of these programmes are implemented through the relevant departments.</w:t>
      </w:r>
    </w:p>
    <w:p w:rsidR="00436920" w:rsidRPr="002232E7" w:rsidRDefault="00436920" w:rsidP="00CF57BC">
      <w:pPr>
        <w:spacing w:line="360" w:lineRule="auto"/>
        <w:rPr>
          <w:rFonts w:ascii="Arial" w:hAnsi="Arial" w:cs="Arial"/>
          <w:lang w:val="en-ZA" w:eastAsia="en-ZA"/>
        </w:rPr>
      </w:pPr>
    </w:p>
    <w:p w:rsidR="00436920" w:rsidRDefault="00436920" w:rsidP="00CF57BC">
      <w:pPr>
        <w:numPr>
          <w:ilvl w:val="0"/>
          <w:numId w:val="11"/>
        </w:numPr>
        <w:spacing w:line="360" w:lineRule="auto"/>
        <w:ind w:left="284" w:hanging="284"/>
        <w:contextualSpacing/>
        <w:rPr>
          <w:rFonts w:ascii="Arial" w:hAnsi="Arial" w:cs="Arial"/>
          <w:b/>
          <w:lang w:val="en-ZA" w:eastAsia="en-ZA"/>
        </w:rPr>
      </w:pPr>
      <w:r w:rsidRPr="002232E7">
        <w:rPr>
          <w:rFonts w:ascii="Arial" w:hAnsi="Arial" w:cs="Arial"/>
          <w:b/>
          <w:lang w:val="en-ZA" w:eastAsia="en-ZA"/>
        </w:rPr>
        <w:t>National Skills Fund</w:t>
      </w:r>
    </w:p>
    <w:p w:rsidR="00436920" w:rsidRPr="002232E7" w:rsidRDefault="00436920" w:rsidP="00CF57BC">
      <w:pPr>
        <w:spacing w:line="360" w:lineRule="auto"/>
        <w:ind w:left="720"/>
        <w:contextualSpacing/>
        <w:rPr>
          <w:rFonts w:ascii="Arial" w:hAnsi="Arial" w:cs="Arial"/>
          <w:b/>
          <w:lang w:val="en-ZA" w:eastAsia="en-ZA"/>
        </w:rPr>
      </w:pPr>
    </w:p>
    <w:p w:rsidR="00436920" w:rsidRPr="002232E7" w:rsidRDefault="00436920" w:rsidP="00CF57BC">
      <w:pPr>
        <w:spacing w:line="360" w:lineRule="auto"/>
        <w:rPr>
          <w:rFonts w:ascii="Arial" w:hAnsi="Arial" w:cs="Arial"/>
          <w:lang w:val="en-ZA" w:eastAsia="en-ZA"/>
        </w:rPr>
      </w:pPr>
      <w:r w:rsidRPr="002232E7">
        <w:rPr>
          <w:rFonts w:ascii="Arial" w:hAnsi="Arial" w:cs="Arial"/>
          <w:lang w:val="en-ZA" w:eastAsia="en-ZA"/>
        </w:rPr>
        <w:t xml:space="preserve">The Department of Higher Education and Training </w:t>
      </w:r>
      <w:r>
        <w:rPr>
          <w:rFonts w:ascii="Arial" w:hAnsi="Arial" w:cs="Arial"/>
          <w:lang w:val="en-ZA" w:eastAsia="en-ZA"/>
        </w:rPr>
        <w:t>(</w:t>
      </w:r>
      <w:r w:rsidRPr="002232E7">
        <w:rPr>
          <w:rFonts w:ascii="Arial" w:hAnsi="Arial" w:cs="Arial"/>
          <w:lang w:val="en-ZA" w:eastAsia="en-ZA"/>
        </w:rPr>
        <w:t>DHET</w:t>
      </w:r>
      <w:r>
        <w:rPr>
          <w:rFonts w:ascii="Arial" w:hAnsi="Arial" w:cs="Arial"/>
          <w:lang w:val="en-ZA" w:eastAsia="en-ZA"/>
        </w:rPr>
        <w:t>)</w:t>
      </w:r>
      <w:r w:rsidRPr="002232E7">
        <w:rPr>
          <w:rFonts w:ascii="Arial" w:hAnsi="Arial" w:cs="Arial"/>
          <w:lang w:val="en-ZA" w:eastAsia="en-ZA"/>
        </w:rPr>
        <w:t xml:space="preserve"> has been advancing the strategic objectives of the National Skills Development Strategy III through the Discretionary Funding Window for skills development of the National Skills Fund (NSF). This is done by providing financial support to projects that contribute towards improvement of human capacity. The acquisition of skills and knowledge by beneficiaries is meant to enhance their participation in the economy.</w:t>
      </w:r>
    </w:p>
    <w:p w:rsidR="00436920" w:rsidRPr="002232E7" w:rsidRDefault="00436920" w:rsidP="00CF57BC">
      <w:pPr>
        <w:spacing w:line="360" w:lineRule="auto"/>
        <w:contextualSpacing/>
        <w:rPr>
          <w:rFonts w:ascii="Arial" w:hAnsi="Arial" w:cs="Arial"/>
          <w:lang w:val="en-ZA" w:eastAsia="en-ZA"/>
        </w:rPr>
      </w:pPr>
    </w:p>
    <w:p w:rsidR="00436920" w:rsidRDefault="00436920" w:rsidP="00CF57BC">
      <w:pPr>
        <w:spacing w:line="360" w:lineRule="auto"/>
        <w:rPr>
          <w:rFonts w:ascii="Arial" w:hAnsi="Arial" w:cs="Arial"/>
          <w:lang w:val="en-ZA" w:eastAsia="en-ZA"/>
        </w:rPr>
      </w:pPr>
      <w:r w:rsidRPr="002232E7">
        <w:rPr>
          <w:rFonts w:ascii="Arial" w:hAnsi="Arial" w:cs="Arial"/>
          <w:lang w:val="en-ZA" w:eastAsia="en-ZA"/>
        </w:rPr>
        <w:t>To date, the NSF has provided funding for state-owned companies, namely Denel and South African Airways Technical (SAAT), Eskom and Transnet</w:t>
      </w:r>
      <w:r>
        <w:rPr>
          <w:rFonts w:ascii="Arial" w:hAnsi="Arial" w:cs="Arial"/>
          <w:lang w:val="en-ZA" w:eastAsia="en-ZA"/>
        </w:rPr>
        <w:t>,</w:t>
      </w:r>
      <w:r w:rsidRPr="002232E7">
        <w:rPr>
          <w:rFonts w:ascii="Arial" w:hAnsi="Arial" w:cs="Arial"/>
          <w:lang w:val="en-ZA" w:eastAsia="en-ZA"/>
        </w:rPr>
        <w:t xml:space="preserve"> which has </w:t>
      </w:r>
      <w:r>
        <w:rPr>
          <w:rFonts w:ascii="Arial" w:hAnsi="Arial" w:cs="Arial"/>
          <w:lang w:val="en-ZA" w:eastAsia="en-ZA"/>
        </w:rPr>
        <w:t>together</w:t>
      </w:r>
      <w:r w:rsidRPr="002232E7">
        <w:rPr>
          <w:rFonts w:ascii="Arial" w:hAnsi="Arial" w:cs="Arial"/>
          <w:lang w:val="en-ZA" w:eastAsia="en-ZA"/>
        </w:rPr>
        <w:t xml:space="preserve"> amounted to R430 679 128.</w:t>
      </w:r>
      <w:r>
        <w:rPr>
          <w:rFonts w:ascii="Arial" w:hAnsi="Arial" w:cs="Arial"/>
          <w:lang w:val="en-ZA" w:eastAsia="en-ZA"/>
        </w:rPr>
        <w:t xml:space="preserve"> </w:t>
      </w:r>
      <w:r w:rsidRPr="002232E7">
        <w:rPr>
          <w:rFonts w:ascii="Arial" w:hAnsi="Arial" w:cs="Arial"/>
          <w:lang w:val="en-ZA" w:eastAsia="en-ZA"/>
        </w:rPr>
        <w:t>The total number of beneficiaries is 2 583</w:t>
      </w:r>
      <w:r w:rsidRPr="002232E7">
        <w:rPr>
          <w:rFonts w:ascii="Arial" w:hAnsi="Arial" w:cs="Arial"/>
          <w:b/>
          <w:lang w:val="en-ZA" w:eastAsia="en-ZA"/>
        </w:rPr>
        <w:t xml:space="preserve"> </w:t>
      </w:r>
      <w:r w:rsidRPr="002232E7">
        <w:rPr>
          <w:rFonts w:ascii="Arial" w:hAnsi="Arial" w:cs="Arial"/>
          <w:lang w:val="en-ZA" w:eastAsia="en-ZA"/>
        </w:rPr>
        <w:t xml:space="preserve">evenly spread across all nine provinces of South Africa. </w:t>
      </w:r>
    </w:p>
    <w:p w:rsidR="00436920" w:rsidRDefault="00436920" w:rsidP="00CF57BC">
      <w:pPr>
        <w:spacing w:line="360" w:lineRule="auto"/>
        <w:rPr>
          <w:rFonts w:ascii="Arial" w:hAnsi="Arial" w:cs="Arial"/>
          <w:lang w:val="en-ZA" w:eastAsia="en-ZA"/>
        </w:rPr>
      </w:pPr>
    </w:p>
    <w:p w:rsidR="00436920" w:rsidRPr="002232E7" w:rsidRDefault="00436920" w:rsidP="00CF57BC">
      <w:pPr>
        <w:spacing w:line="360" w:lineRule="auto"/>
        <w:rPr>
          <w:rFonts w:ascii="Arial" w:hAnsi="Arial" w:cs="Arial"/>
          <w:lang w:val="en-ZA" w:eastAsia="en-ZA"/>
        </w:rPr>
      </w:pPr>
      <w:r w:rsidRPr="002232E7">
        <w:rPr>
          <w:rFonts w:ascii="Arial" w:hAnsi="Arial" w:cs="Arial"/>
          <w:lang w:val="en-ZA" w:eastAsia="en-ZA"/>
        </w:rPr>
        <w:t xml:space="preserve">Eskom will train 1 250, Transnet 1 000, Denel 197 and SAAT 136 artisans. Eskom and Transnet will train artisans in various trades, </w:t>
      </w:r>
      <w:r>
        <w:rPr>
          <w:rFonts w:ascii="Arial" w:hAnsi="Arial" w:cs="Arial"/>
          <w:lang w:val="en-ZA" w:eastAsia="en-ZA"/>
        </w:rPr>
        <w:t>such as</w:t>
      </w:r>
      <w:r w:rsidRPr="002232E7">
        <w:rPr>
          <w:rFonts w:ascii="Arial" w:hAnsi="Arial" w:cs="Arial"/>
          <w:lang w:val="en-ZA" w:eastAsia="en-ZA"/>
        </w:rPr>
        <w:t xml:space="preserve"> welders, electricians, fitters, tool makers, and mechanics</w:t>
      </w:r>
      <w:r>
        <w:rPr>
          <w:rFonts w:ascii="Arial" w:hAnsi="Arial" w:cs="Arial"/>
          <w:lang w:val="en-ZA" w:eastAsia="en-ZA"/>
        </w:rPr>
        <w:t>,</w:t>
      </w:r>
      <w:r w:rsidRPr="002232E7">
        <w:rPr>
          <w:rFonts w:ascii="Arial" w:hAnsi="Arial" w:cs="Arial"/>
          <w:lang w:val="en-ZA" w:eastAsia="en-ZA"/>
        </w:rPr>
        <w:t xml:space="preserve"> whereas Denel and SAAT will train artisans in aircraft related trades such avionics, aircraft structures and aircraft electricians.</w:t>
      </w:r>
    </w:p>
    <w:p w:rsidR="00436920" w:rsidRDefault="00436920" w:rsidP="00CF57BC">
      <w:pPr>
        <w:spacing w:line="360" w:lineRule="auto"/>
        <w:contextualSpacing/>
        <w:rPr>
          <w:rFonts w:ascii="Arial" w:hAnsi="Arial" w:cs="Arial"/>
          <w:lang w:val="en-ZA" w:eastAsia="en-ZA"/>
        </w:rPr>
      </w:pPr>
    </w:p>
    <w:p w:rsidR="00436920" w:rsidRDefault="00436920" w:rsidP="00CF57BC">
      <w:pPr>
        <w:spacing w:line="360" w:lineRule="auto"/>
        <w:contextualSpacing/>
        <w:rPr>
          <w:rFonts w:ascii="Arial" w:hAnsi="Arial" w:cs="Arial"/>
          <w:bCs/>
          <w:lang w:eastAsia="en-ZA"/>
        </w:rPr>
      </w:pPr>
      <w:r w:rsidRPr="002232E7">
        <w:rPr>
          <w:rFonts w:ascii="Arial" w:hAnsi="Arial" w:cs="Arial"/>
          <w:bCs/>
          <w:lang w:eastAsia="en-ZA"/>
        </w:rPr>
        <w:t>The apprenticeship training is in progress and at various completion phases. The majority of learners at Denel and Transnet will be preparing for trade tests in 2015.</w:t>
      </w:r>
    </w:p>
    <w:p w:rsidR="00436920" w:rsidRPr="002232E7" w:rsidRDefault="00436920" w:rsidP="00CF57BC">
      <w:pPr>
        <w:spacing w:line="360" w:lineRule="auto"/>
        <w:ind w:left="360"/>
        <w:contextualSpacing/>
        <w:rPr>
          <w:rFonts w:ascii="Arial" w:hAnsi="Arial" w:cs="Arial"/>
          <w:bCs/>
          <w:lang w:eastAsia="en-ZA"/>
        </w:rPr>
      </w:pPr>
    </w:p>
    <w:p w:rsidR="00436920" w:rsidRPr="002232E7" w:rsidRDefault="00436920" w:rsidP="00CF57BC">
      <w:pPr>
        <w:numPr>
          <w:ilvl w:val="0"/>
          <w:numId w:val="11"/>
        </w:numPr>
        <w:spacing w:line="360" w:lineRule="auto"/>
        <w:ind w:left="284" w:hanging="284"/>
        <w:contextualSpacing/>
        <w:rPr>
          <w:rFonts w:ascii="Arial" w:hAnsi="Arial" w:cs="Arial"/>
          <w:b/>
          <w:bCs/>
          <w:lang w:eastAsia="en-ZA"/>
        </w:rPr>
      </w:pPr>
      <w:r w:rsidRPr="002232E7">
        <w:rPr>
          <w:rFonts w:ascii="Arial" w:hAnsi="Arial" w:cs="Arial"/>
          <w:b/>
          <w:bCs/>
          <w:lang w:eastAsia="en-ZA"/>
        </w:rPr>
        <w:t>Maritime Skills Development</w:t>
      </w:r>
    </w:p>
    <w:p w:rsidR="00436920" w:rsidRDefault="00436920" w:rsidP="00CF57BC">
      <w:pPr>
        <w:spacing w:line="360" w:lineRule="auto"/>
        <w:contextualSpacing/>
        <w:rPr>
          <w:rFonts w:ascii="Arial" w:hAnsi="Arial" w:cs="Arial"/>
          <w:bCs/>
          <w:lang w:eastAsia="en-ZA"/>
        </w:rPr>
      </w:pPr>
    </w:p>
    <w:p w:rsidR="00436920" w:rsidRDefault="00436920" w:rsidP="00CF57BC">
      <w:pPr>
        <w:spacing w:line="360" w:lineRule="auto"/>
        <w:contextualSpacing/>
        <w:rPr>
          <w:rFonts w:ascii="Arial" w:hAnsi="Arial" w:cs="Arial"/>
          <w:lang w:eastAsia="en-ZA"/>
        </w:rPr>
      </w:pPr>
      <w:r w:rsidRPr="002232E7">
        <w:rPr>
          <w:rFonts w:ascii="Arial" w:hAnsi="Arial" w:cs="Arial"/>
          <w:bCs/>
          <w:lang w:eastAsia="en-ZA"/>
        </w:rPr>
        <w:t xml:space="preserve">Furthermore, </w:t>
      </w:r>
      <w:r>
        <w:rPr>
          <w:rFonts w:ascii="Arial" w:hAnsi="Arial" w:cs="Arial"/>
          <w:bCs/>
          <w:lang w:eastAsia="en-ZA"/>
        </w:rPr>
        <w:t xml:space="preserve">the </w:t>
      </w:r>
      <w:r w:rsidRPr="002232E7">
        <w:rPr>
          <w:rFonts w:ascii="Arial" w:hAnsi="Arial" w:cs="Arial"/>
          <w:bCs/>
          <w:lang w:eastAsia="en-ZA"/>
        </w:rPr>
        <w:t>NSF made a grant for mar</w:t>
      </w:r>
      <w:r>
        <w:rPr>
          <w:rFonts w:ascii="Arial" w:hAnsi="Arial" w:cs="Arial"/>
          <w:bCs/>
          <w:lang w:eastAsia="en-ZA"/>
        </w:rPr>
        <w:t xml:space="preserve">itime skills development, which </w:t>
      </w:r>
      <w:r w:rsidRPr="002232E7">
        <w:rPr>
          <w:rFonts w:ascii="Arial" w:hAnsi="Arial" w:cs="Arial"/>
          <w:bCs/>
          <w:lang w:eastAsia="en-ZA"/>
        </w:rPr>
        <w:t xml:space="preserve">commenced on 21 August 2012. </w:t>
      </w:r>
      <w:r w:rsidRPr="002232E7">
        <w:rPr>
          <w:rFonts w:ascii="Arial" w:hAnsi="Arial" w:cs="Arial"/>
          <w:lang w:eastAsia="en-ZA"/>
        </w:rPr>
        <w:t xml:space="preserve">The South African Maritime Safety Authority (SAMSA) project seeks to unlock the potential opportunities lying in the maritime sector. </w:t>
      </w:r>
    </w:p>
    <w:p w:rsidR="00436920" w:rsidRDefault="00436920" w:rsidP="00CF57BC">
      <w:pPr>
        <w:spacing w:line="360" w:lineRule="auto"/>
        <w:contextualSpacing/>
        <w:rPr>
          <w:rFonts w:ascii="Arial" w:hAnsi="Arial" w:cs="Arial"/>
          <w:lang w:eastAsia="en-ZA"/>
        </w:rPr>
      </w:pPr>
    </w:p>
    <w:p w:rsidR="00436920" w:rsidRDefault="00436920" w:rsidP="00CF57BC">
      <w:pPr>
        <w:spacing w:line="360" w:lineRule="auto"/>
        <w:contextualSpacing/>
        <w:rPr>
          <w:rFonts w:ascii="Arial" w:hAnsi="Arial" w:cs="Arial"/>
          <w:lang w:val="en-ZA" w:eastAsia="en-ZA"/>
        </w:rPr>
      </w:pPr>
      <w:r w:rsidRPr="002232E7">
        <w:rPr>
          <w:rFonts w:ascii="Arial" w:hAnsi="Arial" w:cs="Arial"/>
          <w:lang w:eastAsia="en-ZA"/>
        </w:rPr>
        <w:t>The total funding for SAMSA amounts to R93 610 300 targeting 420 beneficiaries</w:t>
      </w:r>
      <w:r w:rsidRPr="002232E7">
        <w:rPr>
          <w:rFonts w:ascii="Arial" w:hAnsi="Arial" w:cs="Arial"/>
          <w:lang w:val="en-ZA" w:eastAsia="en-ZA"/>
        </w:rPr>
        <w:t xml:space="preserve"> across various programmes</w:t>
      </w:r>
      <w:r>
        <w:rPr>
          <w:rFonts w:ascii="Arial" w:hAnsi="Arial" w:cs="Arial"/>
          <w:lang w:val="en-ZA" w:eastAsia="en-ZA"/>
        </w:rPr>
        <w:t>,</w:t>
      </w:r>
      <w:r w:rsidRPr="002232E7">
        <w:rPr>
          <w:rFonts w:ascii="Arial" w:hAnsi="Arial" w:cs="Arial"/>
          <w:lang w:val="en-ZA" w:eastAsia="en-ZA"/>
        </w:rPr>
        <w:t xml:space="preserve"> which include the following:</w:t>
      </w:r>
    </w:p>
    <w:p w:rsidR="00436920" w:rsidRPr="002232E7" w:rsidRDefault="00436920" w:rsidP="00CF57BC">
      <w:pPr>
        <w:spacing w:line="360" w:lineRule="auto"/>
        <w:contextualSpacing/>
        <w:rPr>
          <w:rFonts w:ascii="Arial" w:hAnsi="Arial" w:cs="Arial"/>
          <w:lang w:val="en-GB" w:eastAsia="en-ZA"/>
        </w:rPr>
      </w:pPr>
    </w:p>
    <w:p w:rsidR="00436920" w:rsidRPr="002232E7" w:rsidRDefault="00436920" w:rsidP="00CF57BC">
      <w:pPr>
        <w:numPr>
          <w:ilvl w:val="0"/>
          <w:numId w:val="2"/>
        </w:numPr>
        <w:spacing w:line="360" w:lineRule="auto"/>
        <w:ind w:left="284" w:hanging="284"/>
        <w:contextualSpacing/>
        <w:rPr>
          <w:rFonts w:ascii="Arial" w:hAnsi="Arial" w:cs="Arial"/>
          <w:lang w:val="en-ZA" w:eastAsia="en-ZA"/>
        </w:rPr>
      </w:pPr>
      <w:r w:rsidRPr="002232E7">
        <w:rPr>
          <w:rFonts w:ascii="Arial" w:hAnsi="Arial" w:cs="Arial"/>
          <w:lang w:val="en-ZA" w:eastAsia="en-ZA"/>
        </w:rPr>
        <w:t xml:space="preserve">National Cadetship Programme for 150 learners; </w:t>
      </w:r>
    </w:p>
    <w:p w:rsidR="00436920" w:rsidRPr="002232E7" w:rsidRDefault="00436920" w:rsidP="00CF57BC">
      <w:pPr>
        <w:numPr>
          <w:ilvl w:val="0"/>
          <w:numId w:val="2"/>
        </w:numPr>
        <w:spacing w:line="360" w:lineRule="auto"/>
        <w:ind w:left="284" w:hanging="284"/>
        <w:contextualSpacing/>
        <w:rPr>
          <w:rFonts w:ascii="Arial" w:hAnsi="Arial" w:cs="Arial"/>
          <w:lang w:val="en-ZA" w:eastAsia="en-ZA"/>
        </w:rPr>
      </w:pPr>
      <w:r w:rsidRPr="002232E7">
        <w:rPr>
          <w:rFonts w:ascii="Arial" w:hAnsi="Arial" w:cs="Arial"/>
          <w:lang w:val="en-ZA" w:eastAsia="en-ZA"/>
        </w:rPr>
        <w:t>Conversion of unemployed mechanical engineers</w:t>
      </w:r>
      <w:r>
        <w:rPr>
          <w:rFonts w:ascii="Arial" w:hAnsi="Arial" w:cs="Arial"/>
          <w:lang w:val="en-ZA" w:eastAsia="en-ZA"/>
        </w:rPr>
        <w:t>,</w:t>
      </w:r>
      <w:r w:rsidRPr="002232E7">
        <w:rPr>
          <w:rFonts w:ascii="Arial" w:hAnsi="Arial" w:cs="Arial"/>
          <w:lang w:val="en-ZA" w:eastAsia="en-ZA"/>
        </w:rPr>
        <w:t xml:space="preserve"> targeting 100 learners;</w:t>
      </w:r>
    </w:p>
    <w:p w:rsidR="00436920" w:rsidRPr="002232E7" w:rsidRDefault="00436920" w:rsidP="00CF57BC">
      <w:pPr>
        <w:numPr>
          <w:ilvl w:val="0"/>
          <w:numId w:val="2"/>
        </w:numPr>
        <w:spacing w:line="360" w:lineRule="auto"/>
        <w:ind w:left="284" w:hanging="284"/>
        <w:contextualSpacing/>
        <w:rPr>
          <w:rFonts w:ascii="Arial" w:hAnsi="Arial" w:cs="Arial"/>
          <w:lang w:val="en-ZA" w:eastAsia="en-ZA"/>
        </w:rPr>
      </w:pPr>
      <w:r w:rsidRPr="002232E7">
        <w:rPr>
          <w:rFonts w:ascii="Arial" w:hAnsi="Arial" w:cs="Arial"/>
          <w:lang w:val="en-ZA" w:eastAsia="en-ZA"/>
        </w:rPr>
        <w:t>Training on board the SA Agulhas for 120 learners;</w:t>
      </w:r>
    </w:p>
    <w:p w:rsidR="00436920" w:rsidRPr="002232E7" w:rsidRDefault="00436920" w:rsidP="00CF57BC">
      <w:pPr>
        <w:numPr>
          <w:ilvl w:val="0"/>
          <w:numId w:val="2"/>
        </w:numPr>
        <w:spacing w:line="360" w:lineRule="auto"/>
        <w:ind w:left="284" w:hanging="284"/>
        <w:contextualSpacing/>
        <w:rPr>
          <w:rFonts w:ascii="Arial" w:hAnsi="Arial" w:cs="Arial"/>
          <w:lang w:val="en-ZA" w:eastAsia="en-ZA"/>
        </w:rPr>
      </w:pPr>
      <w:r w:rsidRPr="002232E7">
        <w:rPr>
          <w:rFonts w:ascii="Arial" w:hAnsi="Arial" w:cs="Arial"/>
          <w:lang w:val="en-ZA" w:eastAsia="en-ZA"/>
        </w:rPr>
        <w:t>Subvention for 30 lecturers;</w:t>
      </w:r>
    </w:p>
    <w:p w:rsidR="00436920" w:rsidRPr="002232E7" w:rsidRDefault="00436920" w:rsidP="00CF57BC">
      <w:pPr>
        <w:numPr>
          <w:ilvl w:val="0"/>
          <w:numId w:val="2"/>
        </w:numPr>
        <w:spacing w:line="360" w:lineRule="auto"/>
        <w:ind w:left="284" w:hanging="284"/>
        <w:contextualSpacing/>
        <w:rPr>
          <w:rFonts w:ascii="Arial" w:hAnsi="Arial" w:cs="Arial"/>
          <w:lang w:val="en-ZA" w:eastAsia="en-ZA"/>
        </w:rPr>
      </w:pPr>
      <w:r w:rsidRPr="002232E7">
        <w:rPr>
          <w:rFonts w:ascii="Arial" w:hAnsi="Arial" w:cs="Arial"/>
          <w:lang w:val="en-ZA" w:eastAsia="en-ZA"/>
        </w:rPr>
        <w:t>Assisting 20 learners with disabilities across the programme.</w:t>
      </w:r>
    </w:p>
    <w:p w:rsidR="00436920" w:rsidRPr="002232E7" w:rsidRDefault="00436920" w:rsidP="00CF57BC">
      <w:pPr>
        <w:spacing w:line="360" w:lineRule="auto"/>
        <w:ind w:left="720"/>
        <w:contextualSpacing/>
        <w:rPr>
          <w:rFonts w:ascii="Arial" w:hAnsi="Arial" w:cs="Arial"/>
          <w:lang w:val="en-ZA" w:eastAsia="en-ZA"/>
        </w:rPr>
      </w:pPr>
    </w:p>
    <w:p w:rsidR="00436920" w:rsidRPr="002232E7" w:rsidRDefault="00436920" w:rsidP="00FF44A3">
      <w:pPr>
        <w:numPr>
          <w:ilvl w:val="0"/>
          <w:numId w:val="11"/>
        </w:numPr>
        <w:spacing w:line="360" w:lineRule="auto"/>
        <w:ind w:left="284" w:hanging="284"/>
        <w:contextualSpacing/>
        <w:rPr>
          <w:rFonts w:ascii="Arial" w:hAnsi="Arial" w:cs="Arial"/>
          <w:b/>
          <w:lang w:val="en-ZA" w:eastAsia="en-GB"/>
        </w:rPr>
      </w:pPr>
      <w:r w:rsidRPr="002232E7">
        <w:rPr>
          <w:rFonts w:ascii="Arial" w:hAnsi="Arial" w:cs="Arial"/>
          <w:b/>
          <w:lang w:val="en-ZA" w:eastAsia="en-GB"/>
        </w:rPr>
        <w:t>TVET College Infrastructure</w:t>
      </w:r>
    </w:p>
    <w:p w:rsidR="00436920" w:rsidRDefault="00436920" w:rsidP="00CF57BC">
      <w:pPr>
        <w:spacing w:line="360" w:lineRule="auto"/>
        <w:ind w:left="357"/>
        <w:rPr>
          <w:rFonts w:ascii="Arial" w:hAnsi="Arial" w:cs="Arial"/>
          <w:lang w:val="en-ZA" w:eastAsia="en-GB"/>
        </w:rPr>
      </w:pPr>
    </w:p>
    <w:p w:rsidR="00436920" w:rsidRDefault="00436920" w:rsidP="00FF44A3">
      <w:pPr>
        <w:spacing w:line="360" w:lineRule="auto"/>
        <w:rPr>
          <w:rFonts w:ascii="Arial" w:hAnsi="Arial" w:cs="Arial"/>
          <w:lang w:val="en-ZA" w:eastAsia="en-GB"/>
        </w:rPr>
      </w:pPr>
      <w:r w:rsidRPr="002232E7">
        <w:rPr>
          <w:rFonts w:ascii="Arial" w:hAnsi="Arial" w:cs="Arial"/>
          <w:lang w:val="en-ZA" w:eastAsia="en-GB"/>
        </w:rPr>
        <w:t xml:space="preserve">The TVET Infrastructure Programme entails the building of 12 new campuses and refurbishment of 2 existing campuses. The new campuses are evenly spread </w:t>
      </w:r>
      <w:r>
        <w:rPr>
          <w:rFonts w:ascii="Arial" w:hAnsi="Arial" w:cs="Arial"/>
          <w:lang w:val="en-ZA" w:eastAsia="en-GB"/>
        </w:rPr>
        <w:t>across</w:t>
      </w:r>
      <w:r w:rsidRPr="002232E7">
        <w:rPr>
          <w:rFonts w:ascii="Arial" w:hAnsi="Arial" w:cs="Arial"/>
          <w:lang w:val="en-ZA" w:eastAsia="en-GB"/>
        </w:rPr>
        <w:t xml:space="preserve"> the Eastern Cape, KwaZulu-Natal, Limpopo and Mpumalanga. The total funding of the programme is R2.5 billion. </w:t>
      </w:r>
    </w:p>
    <w:p w:rsidR="00436920" w:rsidRPr="002232E7" w:rsidRDefault="00436920" w:rsidP="00FF44A3">
      <w:pPr>
        <w:spacing w:line="360" w:lineRule="auto"/>
        <w:rPr>
          <w:rFonts w:ascii="Arial" w:hAnsi="Arial" w:cs="Arial"/>
          <w:lang w:val="en-ZA" w:eastAsia="en-GB"/>
        </w:rPr>
      </w:pPr>
    </w:p>
    <w:p w:rsidR="00436920" w:rsidRPr="002232E7" w:rsidRDefault="00436920" w:rsidP="00FF44A3">
      <w:pPr>
        <w:spacing w:line="360" w:lineRule="auto"/>
        <w:contextualSpacing/>
        <w:rPr>
          <w:rFonts w:ascii="Arial" w:hAnsi="Arial" w:cs="Arial"/>
          <w:lang w:val="en-ZA" w:eastAsia="en-GB"/>
        </w:rPr>
      </w:pPr>
      <w:r w:rsidRPr="002232E7">
        <w:rPr>
          <w:rFonts w:ascii="Arial" w:hAnsi="Arial" w:cs="Arial"/>
          <w:lang w:val="en-ZA" w:eastAsia="en-GB"/>
        </w:rPr>
        <w:t>Ingwe TVET College campuses in the rural part of the Eastern Cape are also receiving new and refurbished workshops and trade testing centres. Funding for infrastructure and capacity building is R187 000 000.</w:t>
      </w:r>
    </w:p>
    <w:p w:rsidR="00436920" w:rsidRPr="002232E7" w:rsidRDefault="00436920" w:rsidP="00CF57BC">
      <w:pPr>
        <w:spacing w:line="360" w:lineRule="auto"/>
        <w:ind w:left="360"/>
        <w:contextualSpacing/>
        <w:rPr>
          <w:rFonts w:ascii="Arial" w:hAnsi="Arial" w:cs="Arial"/>
          <w:lang w:val="en-ZA" w:eastAsia="en-ZA"/>
        </w:rPr>
      </w:pPr>
    </w:p>
    <w:p w:rsidR="00436920" w:rsidRPr="002232E7" w:rsidRDefault="00436920" w:rsidP="00FF44A3">
      <w:pPr>
        <w:spacing w:line="360" w:lineRule="auto"/>
        <w:rPr>
          <w:rFonts w:ascii="Arial" w:hAnsi="Arial" w:cs="Arial"/>
          <w:lang w:val="en-ZA" w:eastAsia="en-ZA"/>
        </w:rPr>
      </w:pPr>
      <w:r w:rsidRPr="002232E7">
        <w:rPr>
          <w:rFonts w:ascii="Arial" w:hAnsi="Arial" w:cs="Arial"/>
          <w:lang w:val="en-ZA" w:eastAsia="en-ZA"/>
        </w:rPr>
        <w:t>No funding for recapitalisation was allocated to TVET colleges</w:t>
      </w:r>
      <w:r w:rsidRPr="002232E7">
        <w:rPr>
          <w:rFonts w:ascii="Arial" w:hAnsi="Arial" w:cs="Arial"/>
          <w:iCs/>
          <w:lang w:val="en-ZA" w:eastAsia="en-ZA"/>
        </w:rPr>
        <w:t xml:space="preserve"> in the 2012/13, 2013/14 and 2014/15 financial years</w:t>
      </w:r>
      <w:r w:rsidRPr="002232E7">
        <w:rPr>
          <w:rFonts w:ascii="Arial" w:hAnsi="Arial" w:cs="Arial"/>
          <w:lang w:val="en-ZA" w:eastAsia="en-ZA"/>
        </w:rPr>
        <w:t>. The Recapitalisation Project started in 2005 with the planning phase and an allocation of R50 million. Over the 2006 Medium Term Expenditure Framework (MTEF), R1.860 billion was allocated to fund and recapitalise 50 TVET colleges:</w:t>
      </w:r>
    </w:p>
    <w:p w:rsidR="00436920" w:rsidRPr="002232E7" w:rsidRDefault="00436920" w:rsidP="00CF57BC">
      <w:pPr>
        <w:spacing w:line="360" w:lineRule="auto"/>
        <w:contextualSpacing/>
        <w:rPr>
          <w:rFonts w:ascii="Arial" w:hAnsi="Arial" w:cs="Arial"/>
          <w:lang w:val="en-ZA" w:eastAsia="en-ZA"/>
        </w:rPr>
      </w:pPr>
    </w:p>
    <w:tbl>
      <w:tblPr>
        <w:tblW w:w="9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8"/>
        <w:gridCol w:w="1443"/>
        <w:gridCol w:w="1443"/>
        <w:gridCol w:w="1323"/>
        <w:gridCol w:w="1323"/>
      </w:tblGrid>
      <w:tr w:rsidR="00436920" w:rsidRPr="002232E7" w:rsidTr="00FF44A3">
        <w:trPr>
          <w:trHeight w:val="259"/>
          <w:tblHeader/>
        </w:trPr>
        <w:tc>
          <w:tcPr>
            <w:tcW w:w="3728" w:type="dxa"/>
            <w:vMerge w:val="restart"/>
            <w:vAlign w:val="center"/>
          </w:tcPr>
          <w:p w:rsidR="00436920" w:rsidRPr="002232E7" w:rsidRDefault="00436920" w:rsidP="00CF57BC">
            <w:pPr>
              <w:spacing w:line="360" w:lineRule="auto"/>
              <w:rPr>
                <w:rFonts w:ascii="Arial" w:hAnsi="Arial" w:cs="Arial"/>
                <w:b/>
                <w:bCs/>
                <w:lang w:val="en-GB"/>
              </w:rPr>
            </w:pPr>
            <w:r w:rsidRPr="002232E7">
              <w:rPr>
                <w:rFonts w:ascii="Arial" w:hAnsi="Arial" w:cs="Arial"/>
                <w:lang w:val="en-ZA" w:eastAsia="en-ZA"/>
              </w:rPr>
              <w:br w:type="page"/>
            </w:r>
            <w:r w:rsidRPr="002232E7">
              <w:rPr>
                <w:rFonts w:ascii="Arial" w:hAnsi="Arial" w:cs="Arial"/>
                <w:lang w:val="en-ZA" w:eastAsia="en-ZA"/>
              </w:rPr>
              <w:br w:type="page"/>
            </w:r>
            <w:r w:rsidRPr="002232E7">
              <w:rPr>
                <w:rFonts w:ascii="Arial" w:hAnsi="Arial" w:cs="Arial"/>
                <w:b/>
                <w:bCs/>
                <w:lang w:val="en-ZA" w:eastAsia="en-ZA"/>
              </w:rPr>
              <w:t>Strategic Objectives</w:t>
            </w:r>
          </w:p>
        </w:tc>
        <w:tc>
          <w:tcPr>
            <w:tcW w:w="1443" w:type="dxa"/>
          </w:tcPr>
          <w:p w:rsidR="00436920" w:rsidRPr="002232E7" w:rsidRDefault="00436920" w:rsidP="00FF44A3">
            <w:pPr>
              <w:spacing w:line="360" w:lineRule="auto"/>
              <w:jc w:val="right"/>
              <w:rPr>
                <w:rFonts w:ascii="Arial" w:hAnsi="Arial" w:cs="Arial"/>
                <w:b/>
                <w:bCs/>
                <w:lang w:val="en-GB"/>
              </w:rPr>
            </w:pPr>
            <w:r w:rsidRPr="002232E7">
              <w:rPr>
                <w:rFonts w:ascii="Arial" w:hAnsi="Arial" w:cs="Arial"/>
                <w:b/>
                <w:bCs/>
                <w:lang w:val="en-ZA" w:eastAsia="en-ZA"/>
              </w:rPr>
              <w:t>2006/07</w:t>
            </w:r>
          </w:p>
        </w:tc>
        <w:tc>
          <w:tcPr>
            <w:tcW w:w="1443" w:type="dxa"/>
          </w:tcPr>
          <w:p w:rsidR="00436920" w:rsidRPr="002232E7" w:rsidRDefault="00436920" w:rsidP="00FF44A3">
            <w:pPr>
              <w:spacing w:line="360" w:lineRule="auto"/>
              <w:jc w:val="right"/>
              <w:rPr>
                <w:rFonts w:ascii="Arial" w:hAnsi="Arial" w:cs="Arial"/>
                <w:b/>
                <w:bCs/>
                <w:lang w:val="en-GB"/>
              </w:rPr>
            </w:pPr>
            <w:r w:rsidRPr="002232E7">
              <w:rPr>
                <w:rFonts w:ascii="Arial" w:hAnsi="Arial" w:cs="Arial"/>
                <w:b/>
                <w:bCs/>
                <w:lang w:val="en-ZA" w:eastAsia="en-ZA"/>
              </w:rPr>
              <w:t>2007/08</w:t>
            </w:r>
          </w:p>
        </w:tc>
        <w:tc>
          <w:tcPr>
            <w:tcW w:w="1323" w:type="dxa"/>
          </w:tcPr>
          <w:p w:rsidR="00436920" w:rsidRPr="002232E7" w:rsidRDefault="00436920" w:rsidP="00FF44A3">
            <w:pPr>
              <w:spacing w:line="360" w:lineRule="auto"/>
              <w:jc w:val="right"/>
              <w:rPr>
                <w:rFonts w:ascii="Arial" w:hAnsi="Arial" w:cs="Arial"/>
                <w:b/>
                <w:bCs/>
                <w:lang w:val="en-GB"/>
              </w:rPr>
            </w:pPr>
            <w:r w:rsidRPr="002232E7">
              <w:rPr>
                <w:rFonts w:ascii="Arial" w:hAnsi="Arial" w:cs="Arial"/>
                <w:b/>
                <w:bCs/>
                <w:lang w:val="en-ZA" w:eastAsia="en-ZA"/>
              </w:rPr>
              <w:t>2008/09</w:t>
            </w:r>
          </w:p>
        </w:tc>
        <w:tc>
          <w:tcPr>
            <w:tcW w:w="1323" w:type="dxa"/>
          </w:tcPr>
          <w:p w:rsidR="00436920" w:rsidRPr="002232E7" w:rsidRDefault="00436920" w:rsidP="00FF44A3">
            <w:pPr>
              <w:spacing w:line="360" w:lineRule="auto"/>
              <w:jc w:val="right"/>
              <w:rPr>
                <w:rFonts w:ascii="Arial" w:hAnsi="Arial" w:cs="Arial"/>
                <w:b/>
                <w:bCs/>
                <w:lang w:val="en-GB"/>
              </w:rPr>
            </w:pPr>
            <w:r w:rsidRPr="002232E7">
              <w:rPr>
                <w:rFonts w:ascii="Arial" w:hAnsi="Arial" w:cs="Arial"/>
                <w:b/>
                <w:bCs/>
                <w:lang w:val="en-ZA" w:eastAsia="en-ZA"/>
              </w:rPr>
              <w:t>Total</w:t>
            </w:r>
          </w:p>
        </w:tc>
      </w:tr>
      <w:tr w:rsidR="00436920" w:rsidRPr="002232E7" w:rsidTr="00FF44A3">
        <w:trPr>
          <w:trHeight w:val="233"/>
          <w:tblHeader/>
        </w:trPr>
        <w:tc>
          <w:tcPr>
            <w:tcW w:w="3728" w:type="dxa"/>
            <w:vMerge/>
            <w:vAlign w:val="center"/>
          </w:tcPr>
          <w:p w:rsidR="00436920" w:rsidRPr="002232E7" w:rsidRDefault="00436920" w:rsidP="00CF57BC">
            <w:pPr>
              <w:spacing w:line="360" w:lineRule="auto"/>
              <w:rPr>
                <w:rFonts w:ascii="Arial" w:hAnsi="Arial" w:cs="Arial"/>
                <w:b/>
                <w:bCs/>
                <w:lang w:val="en-GB"/>
              </w:rPr>
            </w:pPr>
          </w:p>
        </w:tc>
        <w:tc>
          <w:tcPr>
            <w:tcW w:w="5532" w:type="dxa"/>
            <w:gridSpan w:val="4"/>
          </w:tcPr>
          <w:p w:rsidR="00436920" w:rsidRPr="002232E7" w:rsidRDefault="00436920" w:rsidP="00FF44A3">
            <w:pPr>
              <w:spacing w:line="360" w:lineRule="auto"/>
              <w:jc w:val="right"/>
              <w:rPr>
                <w:rFonts w:ascii="Arial" w:hAnsi="Arial" w:cs="Arial"/>
                <w:b/>
                <w:bCs/>
                <w:lang w:val="en-GB"/>
              </w:rPr>
            </w:pPr>
            <w:r w:rsidRPr="002232E7">
              <w:rPr>
                <w:rFonts w:ascii="Arial" w:hAnsi="Arial" w:cs="Arial"/>
                <w:b/>
                <w:bCs/>
                <w:lang w:val="en-ZA" w:eastAsia="en-ZA"/>
              </w:rPr>
              <w:t>R’000</w:t>
            </w:r>
          </w:p>
        </w:tc>
      </w:tr>
      <w:tr w:rsidR="00436920" w:rsidRPr="002232E7" w:rsidTr="00FF44A3">
        <w:trPr>
          <w:trHeight w:val="259"/>
        </w:trPr>
        <w:tc>
          <w:tcPr>
            <w:tcW w:w="3728" w:type="dxa"/>
          </w:tcPr>
          <w:p w:rsidR="00436920" w:rsidRPr="002232E7" w:rsidRDefault="00436920" w:rsidP="00CF57BC">
            <w:pPr>
              <w:numPr>
                <w:ilvl w:val="0"/>
                <w:numId w:val="5"/>
              </w:numPr>
              <w:spacing w:line="360" w:lineRule="auto"/>
              <w:rPr>
                <w:rFonts w:ascii="Arial" w:hAnsi="Arial" w:cs="Arial"/>
                <w:bCs/>
                <w:lang w:val="en-GB"/>
              </w:rPr>
            </w:pPr>
            <w:r w:rsidRPr="002232E7">
              <w:rPr>
                <w:rFonts w:ascii="Arial" w:hAnsi="Arial" w:cs="Arial"/>
                <w:bCs/>
                <w:lang w:val="en-ZA" w:eastAsia="en-ZA"/>
              </w:rPr>
              <w:t>Human Resources Development</w:t>
            </w:r>
          </w:p>
        </w:tc>
        <w:tc>
          <w:tcPr>
            <w:tcW w:w="144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23 025</w:t>
            </w:r>
          </w:p>
        </w:tc>
        <w:tc>
          <w:tcPr>
            <w:tcW w:w="144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23 323</w:t>
            </w:r>
          </w:p>
        </w:tc>
        <w:tc>
          <w:tcPr>
            <w:tcW w:w="132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25 676</w:t>
            </w:r>
          </w:p>
        </w:tc>
        <w:tc>
          <w:tcPr>
            <w:tcW w:w="132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70 724</w:t>
            </w:r>
          </w:p>
        </w:tc>
      </w:tr>
      <w:tr w:rsidR="00436920" w:rsidRPr="002232E7" w:rsidTr="00FF44A3">
        <w:trPr>
          <w:trHeight w:val="259"/>
        </w:trPr>
        <w:tc>
          <w:tcPr>
            <w:tcW w:w="3728" w:type="dxa"/>
          </w:tcPr>
          <w:p w:rsidR="00436920" w:rsidRPr="002232E7" w:rsidRDefault="00436920" w:rsidP="00CF57BC">
            <w:pPr>
              <w:numPr>
                <w:ilvl w:val="0"/>
                <w:numId w:val="5"/>
              </w:numPr>
              <w:spacing w:line="360" w:lineRule="auto"/>
              <w:rPr>
                <w:rFonts w:ascii="Arial" w:hAnsi="Arial" w:cs="Arial"/>
                <w:bCs/>
                <w:lang w:val="en-GB"/>
              </w:rPr>
            </w:pPr>
            <w:r w:rsidRPr="002232E7">
              <w:rPr>
                <w:rFonts w:ascii="Arial" w:hAnsi="Arial" w:cs="Arial"/>
                <w:bCs/>
                <w:lang w:val="en-ZA" w:eastAsia="en-ZA"/>
              </w:rPr>
              <w:t>Development of Systems and Procedures</w:t>
            </w:r>
          </w:p>
        </w:tc>
        <w:tc>
          <w:tcPr>
            <w:tcW w:w="144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27 905</w:t>
            </w:r>
          </w:p>
        </w:tc>
        <w:tc>
          <w:tcPr>
            <w:tcW w:w="144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28 020</w:t>
            </w:r>
          </w:p>
        </w:tc>
        <w:tc>
          <w:tcPr>
            <w:tcW w:w="132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36 345</w:t>
            </w:r>
          </w:p>
        </w:tc>
        <w:tc>
          <w:tcPr>
            <w:tcW w:w="132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92 270</w:t>
            </w:r>
          </w:p>
        </w:tc>
      </w:tr>
      <w:tr w:rsidR="00436920" w:rsidRPr="002232E7" w:rsidTr="00FF44A3">
        <w:trPr>
          <w:trHeight w:val="259"/>
        </w:trPr>
        <w:tc>
          <w:tcPr>
            <w:tcW w:w="3728" w:type="dxa"/>
          </w:tcPr>
          <w:p w:rsidR="00436920" w:rsidRPr="002232E7" w:rsidRDefault="00436920" w:rsidP="00CF57BC">
            <w:pPr>
              <w:numPr>
                <w:ilvl w:val="0"/>
                <w:numId w:val="5"/>
              </w:numPr>
              <w:spacing w:line="360" w:lineRule="auto"/>
              <w:rPr>
                <w:rFonts w:ascii="Arial" w:hAnsi="Arial" w:cs="Arial"/>
                <w:bCs/>
                <w:lang w:val="en-GB"/>
              </w:rPr>
            </w:pPr>
            <w:r w:rsidRPr="002232E7">
              <w:rPr>
                <w:rFonts w:ascii="Arial" w:hAnsi="Arial" w:cs="Arial"/>
                <w:bCs/>
                <w:lang w:val="en-ZA" w:eastAsia="en-ZA"/>
              </w:rPr>
              <w:t>Upgrading of Infrastructure</w:t>
            </w:r>
          </w:p>
        </w:tc>
        <w:tc>
          <w:tcPr>
            <w:tcW w:w="144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174 312</w:t>
            </w:r>
          </w:p>
        </w:tc>
        <w:tc>
          <w:tcPr>
            <w:tcW w:w="144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174 622</w:t>
            </w:r>
          </w:p>
        </w:tc>
        <w:tc>
          <w:tcPr>
            <w:tcW w:w="132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195 368</w:t>
            </w:r>
          </w:p>
        </w:tc>
        <w:tc>
          <w:tcPr>
            <w:tcW w:w="132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544 302</w:t>
            </w:r>
          </w:p>
        </w:tc>
      </w:tr>
      <w:tr w:rsidR="00436920" w:rsidRPr="002232E7" w:rsidTr="00FF44A3">
        <w:trPr>
          <w:trHeight w:val="259"/>
        </w:trPr>
        <w:tc>
          <w:tcPr>
            <w:tcW w:w="3728" w:type="dxa"/>
          </w:tcPr>
          <w:p w:rsidR="00436920" w:rsidRPr="002232E7" w:rsidRDefault="00436920" w:rsidP="00CF57BC">
            <w:pPr>
              <w:numPr>
                <w:ilvl w:val="0"/>
                <w:numId w:val="5"/>
              </w:numPr>
              <w:spacing w:line="360" w:lineRule="auto"/>
              <w:rPr>
                <w:rFonts w:ascii="Arial" w:hAnsi="Arial" w:cs="Arial"/>
                <w:bCs/>
                <w:lang w:val="en-GB"/>
              </w:rPr>
            </w:pPr>
            <w:r w:rsidRPr="002232E7">
              <w:rPr>
                <w:rFonts w:ascii="Arial" w:hAnsi="Arial" w:cs="Arial"/>
                <w:bCs/>
                <w:lang w:val="en-ZA" w:eastAsia="en-ZA"/>
              </w:rPr>
              <w:t>Upgrading of College Sites</w:t>
            </w:r>
          </w:p>
        </w:tc>
        <w:tc>
          <w:tcPr>
            <w:tcW w:w="144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25 603</w:t>
            </w:r>
          </w:p>
        </w:tc>
        <w:tc>
          <w:tcPr>
            <w:tcW w:w="144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38 118</w:t>
            </w:r>
          </w:p>
        </w:tc>
        <w:tc>
          <w:tcPr>
            <w:tcW w:w="132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16 836</w:t>
            </w:r>
          </w:p>
        </w:tc>
        <w:tc>
          <w:tcPr>
            <w:tcW w:w="132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80 557</w:t>
            </w:r>
          </w:p>
        </w:tc>
      </w:tr>
      <w:tr w:rsidR="00436920" w:rsidRPr="002232E7" w:rsidTr="00FF44A3">
        <w:trPr>
          <w:trHeight w:val="259"/>
        </w:trPr>
        <w:tc>
          <w:tcPr>
            <w:tcW w:w="3728" w:type="dxa"/>
          </w:tcPr>
          <w:p w:rsidR="00436920" w:rsidRPr="002232E7" w:rsidRDefault="00436920" w:rsidP="00CF57BC">
            <w:pPr>
              <w:numPr>
                <w:ilvl w:val="0"/>
                <w:numId w:val="5"/>
              </w:numPr>
              <w:spacing w:line="360" w:lineRule="auto"/>
              <w:rPr>
                <w:rFonts w:ascii="Arial" w:hAnsi="Arial" w:cs="Arial"/>
                <w:bCs/>
                <w:lang w:val="en-GB"/>
              </w:rPr>
            </w:pPr>
            <w:r w:rsidRPr="002232E7">
              <w:rPr>
                <w:rFonts w:ascii="Arial" w:hAnsi="Arial" w:cs="Arial"/>
                <w:bCs/>
                <w:lang w:val="en-ZA" w:eastAsia="en-ZA"/>
              </w:rPr>
              <w:t>Buying or building of infrastructure</w:t>
            </w:r>
          </w:p>
        </w:tc>
        <w:tc>
          <w:tcPr>
            <w:tcW w:w="144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59 406</w:t>
            </w:r>
          </w:p>
        </w:tc>
        <w:tc>
          <w:tcPr>
            <w:tcW w:w="144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136 364</w:t>
            </w:r>
          </w:p>
        </w:tc>
        <w:tc>
          <w:tcPr>
            <w:tcW w:w="132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283 862</w:t>
            </w:r>
          </w:p>
        </w:tc>
        <w:tc>
          <w:tcPr>
            <w:tcW w:w="132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479 632</w:t>
            </w:r>
          </w:p>
        </w:tc>
      </w:tr>
      <w:tr w:rsidR="00436920" w:rsidRPr="002232E7" w:rsidTr="00FF44A3">
        <w:trPr>
          <w:trHeight w:val="259"/>
        </w:trPr>
        <w:tc>
          <w:tcPr>
            <w:tcW w:w="3728" w:type="dxa"/>
          </w:tcPr>
          <w:p w:rsidR="00436920" w:rsidRPr="002232E7" w:rsidRDefault="00436920" w:rsidP="00CF57BC">
            <w:pPr>
              <w:numPr>
                <w:ilvl w:val="0"/>
                <w:numId w:val="5"/>
              </w:numPr>
              <w:spacing w:line="360" w:lineRule="auto"/>
              <w:rPr>
                <w:rFonts w:ascii="Arial" w:hAnsi="Arial" w:cs="Arial"/>
                <w:bCs/>
                <w:lang w:val="en-GB"/>
              </w:rPr>
            </w:pPr>
            <w:r w:rsidRPr="002232E7">
              <w:rPr>
                <w:rFonts w:ascii="Arial" w:hAnsi="Arial" w:cs="Arial"/>
                <w:bCs/>
                <w:lang w:val="en-ZA" w:eastAsia="en-ZA"/>
              </w:rPr>
              <w:t>Purchase of Equipment</w:t>
            </w:r>
          </w:p>
        </w:tc>
        <w:tc>
          <w:tcPr>
            <w:tcW w:w="144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118 739</w:t>
            </w:r>
          </w:p>
        </w:tc>
        <w:tc>
          <w:tcPr>
            <w:tcW w:w="144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153 913</w:t>
            </w:r>
          </w:p>
        </w:tc>
        <w:tc>
          <w:tcPr>
            <w:tcW w:w="132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183840</w:t>
            </w:r>
          </w:p>
        </w:tc>
        <w:tc>
          <w:tcPr>
            <w:tcW w:w="132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456 492</w:t>
            </w:r>
          </w:p>
        </w:tc>
      </w:tr>
      <w:tr w:rsidR="00436920" w:rsidRPr="002232E7" w:rsidTr="00FF44A3">
        <w:trPr>
          <w:trHeight w:val="233"/>
        </w:trPr>
        <w:tc>
          <w:tcPr>
            <w:tcW w:w="3728" w:type="dxa"/>
          </w:tcPr>
          <w:p w:rsidR="00436920" w:rsidRPr="002232E7" w:rsidRDefault="00436920" w:rsidP="00CF57BC">
            <w:pPr>
              <w:numPr>
                <w:ilvl w:val="0"/>
                <w:numId w:val="5"/>
              </w:numPr>
              <w:spacing w:line="360" w:lineRule="auto"/>
              <w:rPr>
                <w:rFonts w:ascii="Arial" w:hAnsi="Arial" w:cs="Arial"/>
                <w:bCs/>
                <w:lang w:val="en-GB"/>
              </w:rPr>
            </w:pPr>
            <w:r w:rsidRPr="002232E7">
              <w:rPr>
                <w:rFonts w:ascii="Arial" w:hAnsi="Arial" w:cs="Arial"/>
                <w:bCs/>
                <w:lang w:val="en-ZA" w:eastAsia="en-ZA"/>
              </w:rPr>
              <w:t>Develop programme/curriculum material</w:t>
            </w:r>
          </w:p>
        </w:tc>
        <w:tc>
          <w:tcPr>
            <w:tcW w:w="144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41 011</w:t>
            </w:r>
          </w:p>
        </w:tc>
        <w:tc>
          <w:tcPr>
            <w:tcW w:w="144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40 640</w:t>
            </w:r>
          </w:p>
        </w:tc>
        <w:tc>
          <w:tcPr>
            <w:tcW w:w="132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53 242</w:t>
            </w:r>
          </w:p>
        </w:tc>
        <w:tc>
          <w:tcPr>
            <w:tcW w:w="1323" w:type="dxa"/>
            <w:vAlign w:val="bottom"/>
          </w:tcPr>
          <w:p w:rsidR="00436920" w:rsidRPr="002232E7" w:rsidRDefault="00436920" w:rsidP="00FF44A3">
            <w:pPr>
              <w:spacing w:line="360" w:lineRule="auto"/>
              <w:jc w:val="right"/>
              <w:rPr>
                <w:rFonts w:ascii="Arial" w:hAnsi="Arial" w:cs="Arial"/>
                <w:bCs/>
                <w:lang w:val="en-GB"/>
              </w:rPr>
            </w:pPr>
            <w:r w:rsidRPr="002232E7">
              <w:rPr>
                <w:rFonts w:ascii="Arial" w:hAnsi="Arial" w:cs="Arial"/>
                <w:bCs/>
                <w:lang w:val="en-ZA" w:eastAsia="en-ZA"/>
              </w:rPr>
              <w:t>134 893</w:t>
            </w:r>
          </w:p>
        </w:tc>
      </w:tr>
      <w:tr w:rsidR="00436920" w:rsidRPr="002232E7" w:rsidTr="00FF44A3">
        <w:trPr>
          <w:trHeight w:val="285"/>
        </w:trPr>
        <w:tc>
          <w:tcPr>
            <w:tcW w:w="3728" w:type="dxa"/>
          </w:tcPr>
          <w:p w:rsidR="00436920" w:rsidRPr="002232E7" w:rsidRDefault="00436920" w:rsidP="00CF57BC">
            <w:pPr>
              <w:spacing w:line="360" w:lineRule="auto"/>
              <w:rPr>
                <w:rFonts w:ascii="Arial" w:hAnsi="Arial" w:cs="Arial"/>
                <w:b/>
                <w:bCs/>
                <w:lang w:val="en-GB"/>
              </w:rPr>
            </w:pPr>
            <w:r w:rsidRPr="002232E7">
              <w:rPr>
                <w:rFonts w:ascii="Arial" w:hAnsi="Arial" w:cs="Arial"/>
                <w:b/>
                <w:bCs/>
                <w:lang w:val="en-ZA" w:eastAsia="en-ZA"/>
              </w:rPr>
              <w:t>Total</w:t>
            </w:r>
          </w:p>
        </w:tc>
        <w:tc>
          <w:tcPr>
            <w:tcW w:w="1443" w:type="dxa"/>
            <w:vAlign w:val="bottom"/>
          </w:tcPr>
          <w:p w:rsidR="00436920" w:rsidRPr="002232E7" w:rsidRDefault="00436920" w:rsidP="00FF44A3">
            <w:pPr>
              <w:spacing w:line="360" w:lineRule="auto"/>
              <w:jc w:val="right"/>
              <w:rPr>
                <w:rFonts w:ascii="Arial" w:hAnsi="Arial" w:cs="Arial"/>
                <w:b/>
                <w:bCs/>
                <w:lang w:val="en-GB"/>
              </w:rPr>
            </w:pPr>
            <w:r w:rsidRPr="002232E7">
              <w:rPr>
                <w:rFonts w:ascii="Arial" w:hAnsi="Arial" w:cs="Arial"/>
                <w:b/>
                <w:bCs/>
                <w:lang w:val="en-ZA" w:eastAsia="en-ZA"/>
              </w:rPr>
              <w:t>470 001</w:t>
            </w:r>
          </w:p>
        </w:tc>
        <w:tc>
          <w:tcPr>
            <w:tcW w:w="1443" w:type="dxa"/>
            <w:vAlign w:val="bottom"/>
          </w:tcPr>
          <w:p w:rsidR="00436920" w:rsidRPr="002232E7" w:rsidRDefault="00436920" w:rsidP="00FF44A3">
            <w:pPr>
              <w:spacing w:line="360" w:lineRule="auto"/>
              <w:jc w:val="right"/>
              <w:rPr>
                <w:rFonts w:ascii="Arial" w:hAnsi="Arial" w:cs="Arial"/>
                <w:b/>
                <w:bCs/>
                <w:lang w:val="en-GB"/>
              </w:rPr>
            </w:pPr>
            <w:r w:rsidRPr="002232E7">
              <w:rPr>
                <w:rFonts w:ascii="Arial" w:hAnsi="Arial" w:cs="Arial"/>
                <w:b/>
                <w:bCs/>
                <w:lang w:val="en-ZA" w:eastAsia="en-ZA"/>
              </w:rPr>
              <w:t>595 000</w:t>
            </w:r>
          </w:p>
        </w:tc>
        <w:tc>
          <w:tcPr>
            <w:tcW w:w="1323" w:type="dxa"/>
            <w:vAlign w:val="bottom"/>
          </w:tcPr>
          <w:p w:rsidR="00436920" w:rsidRPr="002232E7" w:rsidRDefault="00436920" w:rsidP="00FF44A3">
            <w:pPr>
              <w:spacing w:line="360" w:lineRule="auto"/>
              <w:jc w:val="right"/>
              <w:rPr>
                <w:rFonts w:ascii="Arial" w:hAnsi="Arial" w:cs="Arial"/>
                <w:b/>
                <w:bCs/>
                <w:lang w:val="en-GB"/>
              </w:rPr>
            </w:pPr>
            <w:r w:rsidRPr="002232E7">
              <w:rPr>
                <w:rFonts w:ascii="Arial" w:hAnsi="Arial" w:cs="Arial"/>
                <w:b/>
                <w:bCs/>
                <w:lang w:val="en-ZA" w:eastAsia="en-ZA"/>
              </w:rPr>
              <w:t>795 169</w:t>
            </w:r>
          </w:p>
        </w:tc>
        <w:tc>
          <w:tcPr>
            <w:tcW w:w="1323" w:type="dxa"/>
            <w:vAlign w:val="bottom"/>
          </w:tcPr>
          <w:p w:rsidR="00436920" w:rsidRPr="002232E7" w:rsidRDefault="00436920" w:rsidP="00FF44A3">
            <w:pPr>
              <w:spacing w:line="360" w:lineRule="auto"/>
              <w:jc w:val="right"/>
              <w:rPr>
                <w:rFonts w:ascii="Arial" w:hAnsi="Arial" w:cs="Arial"/>
                <w:b/>
                <w:bCs/>
                <w:lang w:val="en-GB"/>
              </w:rPr>
            </w:pPr>
            <w:r w:rsidRPr="002232E7">
              <w:rPr>
                <w:rFonts w:ascii="Arial" w:hAnsi="Arial" w:cs="Arial"/>
                <w:b/>
                <w:bCs/>
                <w:lang w:val="en-ZA" w:eastAsia="en-ZA"/>
              </w:rPr>
              <w:t>1 860 170</w:t>
            </w:r>
          </w:p>
        </w:tc>
      </w:tr>
    </w:tbl>
    <w:p w:rsidR="00436920" w:rsidRPr="002232E7" w:rsidRDefault="00436920" w:rsidP="00CF57BC">
      <w:pPr>
        <w:spacing w:line="360" w:lineRule="auto"/>
        <w:rPr>
          <w:rFonts w:ascii="Arial" w:hAnsi="Arial" w:cs="Arial"/>
          <w:sz w:val="22"/>
          <w:szCs w:val="22"/>
          <w:lang w:val="en-GB"/>
        </w:rPr>
      </w:pPr>
    </w:p>
    <w:p w:rsidR="00436920" w:rsidRPr="002232E7" w:rsidRDefault="00436920" w:rsidP="00FF44A3">
      <w:pPr>
        <w:spacing w:line="360" w:lineRule="auto"/>
        <w:contextualSpacing/>
        <w:rPr>
          <w:rFonts w:ascii="Arial" w:hAnsi="Arial" w:cs="Arial"/>
          <w:lang w:val="en-ZA" w:eastAsia="en-ZA"/>
        </w:rPr>
      </w:pPr>
      <w:r w:rsidRPr="002232E7">
        <w:rPr>
          <w:rFonts w:ascii="Arial" w:hAnsi="Arial" w:cs="Arial"/>
          <w:lang w:val="en-ZA" w:eastAsia="en-ZA"/>
        </w:rPr>
        <w:t xml:space="preserve">Of the total budget allocation (R1.860 billion) indicated in the table above, 98 percent </w:t>
      </w:r>
      <w:r>
        <w:rPr>
          <w:rFonts w:ascii="Arial" w:hAnsi="Arial" w:cs="Arial"/>
          <w:lang w:val="en-ZA" w:eastAsia="en-ZA"/>
        </w:rPr>
        <w:t>had been</w:t>
      </w:r>
      <w:r w:rsidRPr="002232E7">
        <w:rPr>
          <w:rFonts w:ascii="Arial" w:hAnsi="Arial" w:cs="Arial"/>
          <w:lang w:val="en-ZA" w:eastAsia="en-ZA"/>
        </w:rPr>
        <w:t xml:space="preserve"> spent </w:t>
      </w:r>
      <w:r>
        <w:rPr>
          <w:rFonts w:ascii="Arial" w:hAnsi="Arial" w:cs="Arial"/>
          <w:lang w:val="en-ZA" w:eastAsia="en-ZA"/>
        </w:rPr>
        <w:t>by</w:t>
      </w:r>
      <w:r w:rsidRPr="002232E7">
        <w:rPr>
          <w:rFonts w:ascii="Arial" w:hAnsi="Arial" w:cs="Arial"/>
          <w:lang w:val="en-ZA" w:eastAsia="en-ZA"/>
        </w:rPr>
        <w:t xml:space="preserve"> the end of the project (2008/09). The unspent committed funds at the end of the project </w:t>
      </w:r>
      <w:r>
        <w:rPr>
          <w:rFonts w:ascii="Arial" w:hAnsi="Arial" w:cs="Arial"/>
          <w:lang w:val="en-ZA" w:eastAsia="en-ZA"/>
        </w:rPr>
        <w:t>were</w:t>
      </w:r>
      <w:r w:rsidRPr="002232E7">
        <w:rPr>
          <w:rFonts w:ascii="Arial" w:hAnsi="Arial" w:cs="Arial"/>
          <w:lang w:val="en-ZA" w:eastAsia="en-ZA"/>
        </w:rPr>
        <w:t xml:space="preserve"> rolled over and transferred to TVET colleges </w:t>
      </w:r>
      <w:r>
        <w:rPr>
          <w:rFonts w:ascii="Arial" w:hAnsi="Arial" w:cs="Arial"/>
          <w:lang w:val="en-ZA" w:eastAsia="en-ZA"/>
        </w:rPr>
        <w:t>in the following financial year</w:t>
      </w:r>
      <w:r w:rsidRPr="002232E7">
        <w:rPr>
          <w:rFonts w:ascii="Arial" w:hAnsi="Arial" w:cs="Arial"/>
          <w:lang w:val="en-ZA" w:eastAsia="en-ZA"/>
        </w:rPr>
        <w:t xml:space="preserve"> </w:t>
      </w:r>
      <w:r>
        <w:rPr>
          <w:rFonts w:ascii="Arial" w:hAnsi="Arial" w:cs="Arial"/>
          <w:lang w:val="en-ZA" w:eastAsia="en-ZA"/>
        </w:rPr>
        <w:t>(</w:t>
      </w:r>
      <w:r w:rsidRPr="002232E7">
        <w:rPr>
          <w:rFonts w:ascii="Arial" w:hAnsi="Arial" w:cs="Arial"/>
          <w:lang w:val="en-ZA" w:eastAsia="en-ZA"/>
        </w:rPr>
        <w:t>2009/10</w:t>
      </w:r>
      <w:r>
        <w:rPr>
          <w:rFonts w:ascii="Arial" w:hAnsi="Arial" w:cs="Arial"/>
          <w:lang w:val="en-ZA" w:eastAsia="en-ZA"/>
        </w:rPr>
        <w:t>)</w:t>
      </w:r>
      <w:r w:rsidRPr="002232E7">
        <w:rPr>
          <w:rFonts w:ascii="Arial" w:hAnsi="Arial" w:cs="Arial"/>
          <w:lang w:val="en-ZA" w:eastAsia="en-ZA"/>
        </w:rPr>
        <w:t xml:space="preserve"> to complete these projects. </w:t>
      </w:r>
    </w:p>
    <w:p w:rsidR="00436920" w:rsidRPr="002232E7" w:rsidRDefault="00436920" w:rsidP="00FF44A3">
      <w:pPr>
        <w:spacing w:line="360" w:lineRule="auto"/>
        <w:contextualSpacing/>
        <w:rPr>
          <w:rFonts w:ascii="Arial" w:hAnsi="Arial" w:cs="Arial"/>
          <w:lang w:val="en-ZA" w:eastAsia="en-GB"/>
        </w:rPr>
      </w:pPr>
    </w:p>
    <w:p w:rsidR="00436920" w:rsidRPr="002232E7" w:rsidRDefault="00436920" w:rsidP="00FF44A3">
      <w:pPr>
        <w:numPr>
          <w:ilvl w:val="0"/>
          <w:numId w:val="11"/>
        </w:numPr>
        <w:spacing w:line="360" w:lineRule="auto"/>
        <w:ind w:left="284" w:hanging="284"/>
        <w:contextualSpacing/>
        <w:rPr>
          <w:rFonts w:ascii="Arial" w:hAnsi="Arial" w:cs="Arial"/>
          <w:b/>
          <w:bCs/>
          <w:lang w:eastAsia="en-ZA"/>
        </w:rPr>
      </w:pPr>
      <w:r w:rsidRPr="002232E7">
        <w:rPr>
          <w:rFonts w:ascii="Arial" w:hAnsi="Arial" w:cs="Arial"/>
          <w:b/>
          <w:bCs/>
          <w:lang w:eastAsia="en-ZA"/>
        </w:rPr>
        <w:t>National Rural Youth Service Corps Programmes (NARYSEC)</w:t>
      </w:r>
    </w:p>
    <w:p w:rsidR="00436920" w:rsidRDefault="00436920" w:rsidP="00FF44A3">
      <w:pPr>
        <w:spacing w:line="360" w:lineRule="auto"/>
        <w:ind w:left="360"/>
        <w:contextualSpacing/>
        <w:rPr>
          <w:rFonts w:ascii="Arial" w:hAnsi="Arial" w:cs="Arial"/>
          <w:bCs/>
          <w:lang w:eastAsia="en-ZA"/>
        </w:rPr>
      </w:pPr>
    </w:p>
    <w:p w:rsidR="00436920" w:rsidRDefault="00436920" w:rsidP="00FF44A3">
      <w:pPr>
        <w:spacing w:line="360" w:lineRule="auto"/>
        <w:contextualSpacing/>
        <w:rPr>
          <w:rFonts w:ascii="Arial" w:hAnsi="Arial" w:cs="Arial"/>
          <w:lang w:val="en-ZA" w:eastAsia="en-ZA"/>
        </w:rPr>
      </w:pPr>
      <w:r w:rsidRPr="002232E7">
        <w:rPr>
          <w:rFonts w:ascii="Arial" w:hAnsi="Arial" w:cs="Arial"/>
          <w:bCs/>
          <w:lang w:eastAsia="en-ZA"/>
        </w:rPr>
        <w:t xml:space="preserve">The National Rural Youth Service Corps (NARYSEC) project aims to recruit and develop youth aged 18-35 years to be trained as para-professionals in the rural areas. </w:t>
      </w:r>
      <w:r w:rsidRPr="002232E7">
        <w:rPr>
          <w:rFonts w:ascii="Arial" w:hAnsi="Arial" w:cs="Arial"/>
          <w:lang w:val="en-ZA" w:eastAsia="en-ZA"/>
        </w:rPr>
        <w:t>The specific objectives of the programme are:</w:t>
      </w:r>
    </w:p>
    <w:p w:rsidR="00436920" w:rsidRPr="002232E7" w:rsidRDefault="00436920" w:rsidP="00FF44A3">
      <w:pPr>
        <w:spacing w:line="360" w:lineRule="auto"/>
        <w:ind w:left="360"/>
        <w:contextualSpacing/>
        <w:rPr>
          <w:rFonts w:ascii="Arial" w:hAnsi="Arial" w:cs="Arial"/>
          <w:bCs/>
          <w:lang w:eastAsia="en-ZA"/>
        </w:rPr>
      </w:pPr>
    </w:p>
    <w:p w:rsidR="00436920" w:rsidRPr="002232E7" w:rsidRDefault="00436920" w:rsidP="00FF44A3">
      <w:pPr>
        <w:numPr>
          <w:ilvl w:val="0"/>
          <w:numId w:val="4"/>
        </w:numPr>
        <w:spacing w:line="360" w:lineRule="auto"/>
        <w:ind w:left="284" w:hanging="284"/>
        <w:contextualSpacing/>
        <w:rPr>
          <w:rFonts w:ascii="Arial" w:hAnsi="Arial" w:cs="Arial"/>
          <w:lang w:val="en-GB" w:eastAsia="en-ZA"/>
        </w:rPr>
      </w:pPr>
      <w:r w:rsidRPr="002232E7">
        <w:rPr>
          <w:rFonts w:ascii="Arial" w:hAnsi="Arial" w:cs="Arial"/>
          <w:lang w:val="en-ZA" w:eastAsia="en-ZA"/>
        </w:rPr>
        <w:t>Skills development of the rural youth through the TVET colleges which will result in the youth obtaining a National Qualifications Framework (NQF) level certificate;</w:t>
      </w:r>
    </w:p>
    <w:p w:rsidR="00436920" w:rsidRPr="002232E7" w:rsidRDefault="00436920" w:rsidP="00FF44A3">
      <w:pPr>
        <w:numPr>
          <w:ilvl w:val="0"/>
          <w:numId w:val="4"/>
        </w:numPr>
        <w:spacing w:line="360" w:lineRule="auto"/>
        <w:ind w:left="284" w:hanging="284"/>
        <w:contextualSpacing/>
        <w:rPr>
          <w:rFonts w:ascii="Arial" w:hAnsi="Arial" w:cs="Arial"/>
          <w:lang w:val="en-ZA" w:eastAsia="en-ZA"/>
        </w:rPr>
      </w:pPr>
      <w:r w:rsidRPr="002232E7">
        <w:rPr>
          <w:rFonts w:ascii="Arial" w:hAnsi="Arial" w:cs="Arial"/>
          <w:lang w:val="en-ZA" w:eastAsia="en-ZA"/>
        </w:rPr>
        <w:t>Practical work experience for 6 months at the workplace;</w:t>
      </w:r>
    </w:p>
    <w:p w:rsidR="00436920" w:rsidRPr="002232E7" w:rsidRDefault="00436920" w:rsidP="00FF44A3">
      <w:pPr>
        <w:numPr>
          <w:ilvl w:val="0"/>
          <w:numId w:val="4"/>
        </w:numPr>
        <w:spacing w:line="360" w:lineRule="auto"/>
        <w:ind w:left="284" w:hanging="284"/>
        <w:contextualSpacing/>
        <w:rPr>
          <w:rFonts w:ascii="Arial" w:hAnsi="Arial" w:cs="Arial"/>
          <w:lang w:val="en-ZA" w:eastAsia="en-ZA"/>
        </w:rPr>
      </w:pPr>
      <w:r w:rsidRPr="002232E7">
        <w:rPr>
          <w:rFonts w:ascii="Arial" w:hAnsi="Arial" w:cs="Arial"/>
          <w:lang w:val="en-ZA" w:eastAsia="en-ZA"/>
        </w:rPr>
        <w:t>Ensur</w:t>
      </w:r>
      <w:r>
        <w:rPr>
          <w:rFonts w:ascii="Arial" w:hAnsi="Arial" w:cs="Arial"/>
          <w:lang w:val="en-ZA" w:eastAsia="en-ZA"/>
        </w:rPr>
        <w:t>ing</w:t>
      </w:r>
      <w:r w:rsidRPr="002232E7">
        <w:rPr>
          <w:rFonts w:ascii="Arial" w:hAnsi="Arial" w:cs="Arial"/>
          <w:lang w:val="en-ZA" w:eastAsia="en-ZA"/>
        </w:rPr>
        <w:t xml:space="preserve"> that participants obtain NQF credits after completion of each training phase; and</w:t>
      </w:r>
      <w:r>
        <w:rPr>
          <w:rFonts w:ascii="Arial" w:hAnsi="Arial" w:cs="Arial"/>
          <w:lang w:val="en-ZA" w:eastAsia="en-ZA"/>
        </w:rPr>
        <w:t>,</w:t>
      </w:r>
    </w:p>
    <w:p w:rsidR="00436920" w:rsidRPr="002232E7" w:rsidRDefault="00436920" w:rsidP="00FF44A3">
      <w:pPr>
        <w:numPr>
          <w:ilvl w:val="0"/>
          <w:numId w:val="4"/>
        </w:numPr>
        <w:spacing w:line="360" w:lineRule="auto"/>
        <w:ind w:left="284" w:hanging="284"/>
        <w:contextualSpacing/>
        <w:rPr>
          <w:rFonts w:ascii="Arial" w:hAnsi="Arial" w:cs="Arial"/>
          <w:lang w:val="en-ZA" w:eastAsia="en-ZA"/>
        </w:rPr>
      </w:pPr>
      <w:r w:rsidRPr="002232E7">
        <w:rPr>
          <w:rFonts w:ascii="Arial" w:hAnsi="Arial" w:cs="Arial"/>
          <w:lang w:val="en-ZA" w:eastAsia="en-ZA"/>
        </w:rPr>
        <w:t>Exit strategy linked to further study, increased employment opportunities, deployment opportunities, cooperatives or business opportunities.</w:t>
      </w:r>
    </w:p>
    <w:p w:rsidR="00436920" w:rsidRPr="002232E7" w:rsidRDefault="00436920" w:rsidP="00FF44A3">
      <w:pPr>
        <w:spacing w:line="360" w:lineRule="auto"/>
        <w:contextualSpacing/>
        <w:rPr>
          <w:rFonts w:ascii="Arial" w:hAnsi="Arial" w:cs="Arial"/>
          <w:lang w:val="en-ZA" w:eastAsia="en-ZA"/>
        </w:rPr>
      </w:pPr>
    </w:p>
    <w:p w:rsidR="00436920" w:rsidRPr="002232E7" w:rsidRDefault="00436920" w:rsidP="00FF44A3">
      <w:pPr>
        <w:numPr>
          <w:ilvl w:val="0"/>
          <w:numId w:val="11"/>
        </w:numPr>
        <w:spacing w:line="360" w:lineRule="auto"/>
        <w:ind w:left="284" w:hanging="295"/>
        <w:contextualSpacing/>
        <w:rPr>
          <w:rFonts w:ascii="Arial" w:hAnsi="Arial" w:cs="Arial"/>
          <w:lang w:val="en-ZA" w:eastAsia="en-ZA"/>
        </w:rPr>
      </w:pPr>
      <w:r w:rsidRPr="002232E7">
        <w:rPr>
          <w:rFonts w:ascii="Arial" w:hAnsi="Arial" w:cs="Arial"/>
          <w:b/>
          <w:lang w:val="en-ZA" w:eastAsia="en-ZA"/>
        </w:rPr>
        <w:t>Expanded Public Works Programme</w:t>
      </w:r>
    </w:p>
    <w:p w:rsidR="00436920" w:rsidRPr="002232E7" w:rsidRDefault="00436920" w:rsidP="00FF44A3">
      <w:pPr>
        <w:spacing w:line="360" w:lineRule="auto"/>
        <w:rPr>
          <w:rFonts w:ascii="Arial" w:hAnsi="Arial" w:cs="Arial"/>
          <w:bCs/>
          <w:iCs/>
          <w:lang w:val="en-ZA" w:eastAsia="en-ZA"/>
        </w:rPr>
      </w:pPr>
    </w:p>
    <w:p w:rsidR="00436920" w:rsidRDefault="00436920" w:rsidP="00FF44A3">
      <w:pPr>
        <w:spacing w:line="360" w:lineRule="auto"/>
        <w:rPr>
          <w:rFonts w:ascii="Arial" w:hAnsi="Arial" w:cs="Arial"/>
          <w:bCs/>
          <w:iCs/>
          <w:lang w:val="en-ZA" w:eastAsia="en-ZA"/>
        </w:rPr>
      </w:pPr>
      <w:r w:rsidRPr="002232E7">
        <w:rPr>
          <w:rFonts w:ascii="Arial" w:hAnsi="Arial" w:cs="Arial"/>
          <w:bCs/>
          <w:iCs/>
          <w:lang w:val="en-ZA" w:eastAsia="en-ZA"/>
        </w:rPr>
        <w:t xml:space="preserve">One </w:t>
      </w:r>
      <w:r>
        <w:rPr>
          <w:rFonts w:ascii="Arial" w:hAnsi="Arial" w:cs="Arial"/>
          <w:bCs/>
          <w:iCs/>
          <w:lang w:val="en-ZA" w:eastAsia="en-ZA"/>
        </w:rPr>
        <w:t xml:space="preserve">of </w:t>
      </w:r>
      <w:r w:rsidRPr="002232E7">
        <w:rPr>
          <w:rFonts w:ascii="Arial" w:hAnsi="Arial" w:cs="Arial"/>
          <w:bCs/>
          <w:iCs/>
          <w:lang w:val="en-ZA" w:eastAsia="en-ZA"/>
        </w:rPr>
        <w:t xml:space="preserve">the most notable initiatives undertaken is the implementation of the third phase of the </w:t>
      </w:r>
      <w:r>
        <w:rPr>
          <w:rFonts w:ascii="Arial" w:hAnsi="Arial" w:cs="Arial"/>
          <w:bCs/>
          <w:iCs/>
          <w:lang w:val="en-ZA" w:eastAsia="en-ZA"/>
        </w:rPr>
        <w:t>Expanded Public Works Programme (</w:t>
      </w:r>
      <w:r w:rsidRPr="002232E7">
        <w:rPr>
          <w:rFonts w:ascii="Arial" w:hAnsi="Arial" w:cs="Arial"/>
          <w:bCs/>
          <w:iCs/>
          <w:lang w:val="en-ZA" w:eastAsia="en-ZA"/>
        </w:rPr>
        <w:t>EPWP</w:t>
      </w:r>
      <w:r>
        <w:rPr>
          <w:rFonts w:ascii="Arial" w:hAnsi="Arial" w:cs="Arial"/>
          <w:bCs/>
          <w:iCs/>
          <w:lang w:val="en-ZA" w:eastAsia="en-ZA"/>
        </w:rPr>
        <w:t xml:space="preserve">), which </w:t>
      </w:r>
      <w:r w:rsidRPr="002232E7">
        <w:rPr>
          <w:rFonts w:ascii="Arial" w:hAnsi="Arial" w:cs="Arial"/>
          <w:bCs/>
          <w:iCs/>
          <w:lang w:val="en-ZA" w:eastAsia="en-ZA"/>
        </w:rPr>
        <w:t>beg</w:t>
      </w:r>
      <w:r>
        <w:rPr>
          <w:rFonts w:ascii="Arial" w:hAnsi="Arial" w:cs="Arial"/>
          <w:bCs/>
          <w:iCs/>
          <w:lang w:val="en-ZA" w:eastAsia="en-ZA"/>
        </w:rPr>
        <w:t>a</w:t>
      </w:r>
      <w:r w:rsidRPr="002232E7">
        <w:rPr>
          <w:rFonts w:ascii="Arial" w:hAnsi="Arial" w:cs="Arial"/>
          <w:bCs/>
          <w:iCs/>
          <w:lang w:val="en-ZA" w:eastAsia="en-ZA"/>
        </w:rPr>
        <w:t>n on 1 April 2014</w:t>
      </w:r>
      <w:r>
        <w:rPr>
          <w:rFonts w:ascii="Arial" w:hAnsi="Arial" w:cs="Arial"/>
          <w:bCs/>
          <w:iCs/>
          <w:lang w:val="en-ZA" w:eastAsia="en-ZA"/>
        </w:rPr>
        <w:t>, and</w:t>
      </w:r>
      <w:r w:rsidRPr="002232E7">
        <w:rPr>
          <w:rFonts w:ascii="Arial" w:hAnsi="Arial" w:cs="Arial"/>
          <w:bCs/>
          <w:iCs/>
          <w:lang w:val="en-ZA" w:eastAsia="en-ZA"/>
        </w:rPr>
        <w:t xml:space="preserve"> which aims </w:t>
      </w:r>
      <w:r>
        <w:rPr>
          <w:rFonts w:ascii="Arial" w:hAnsi="Arial" w:cs="Arial"/>
          <w:bCs/>
          <w:iCs/>
          <w:lang w:val="en-ZA" w:eastAsia="en-ZA"/>
        </w:rPr>
        <w:t>to create</w:t>
      </w:r>
      <w:r w:rsidRPr="002232E7">
        <w:rPr>
          <w:rFonts w:ascii="Arial" w:hAnsi="Arial" w:cs="Arial"/>
          <w:bCs/>
          <w:iCs/>
          <w:lang w:val="en-ZA" w:eastAsia="en-ZA"/>
        </w:rPr>
        <w:t xml:space="preserve"> 6 million work opportunities by 31 March 2019. </w:t>
      </w:r>
    </w:p>
    <w:p w:rsidR="00436920" w:rsidRDefault="00436920" w:rsidP="00FF44A3">
      <w:pPr>
        <w:spacing w:line="360" w:lineRule="auto"/>
        <w:rPr>
          <w:rFonts w:ascii="Arial" w:hAnsi="Arial" w:cs="Arial"/>
          <w:bCs/>
          <w:iCs/>
          <w:lang w:val="en-ZA" w:eastAsia="en-ZA"/>
        </w:rPr>
      </w:pPr>
    </w:p>
    <w:p w:rsidR="00436920" w:rsidRPr="002232E7" w:rsidRDefault="00436920" w:rsidP="00FF44A3">
      <w:pPr>
        <w:spacing w:line="360" w:lineRule="auto"/>
        <w:rPr>
          <w:rFonts w:ascii="Arial" w:hAnsi="Arial" w:cs="Arial"/>
          <w:bCs/>
          <w:iCs/>
          <w:lang w:val="en-ZA" w:eastAsia="en-ZA"/>
        </w:rPr>
      </w:pPr>
      <w:r w:rsidRPr="002232E7">
        <w:rPr>
          <w:rFonts w:ascii="Arial" w:hAnsi="Arial" w:cs="Arial"/>
          <w:bCs/>
          <w:iCs/>
          <w:lang w:val="en-ZA" w:eastAsia="en-ZA"/>
        </w:rPr>
        <w:t xml:space="preserve">The EPWP created 1,103,983 work opportunities in the </w:t>
      </w:r>
      <w:r>
        <w:rPr>
          <w:rFonts w:ascii="Arial" w:hAnsi="Arial" w:cs="Arial"/>
          <w:bCs/>
          <w:iCs/>
          <w:lang w:val="en-ZA" w:eastAsia="en-ZA"/>
        </w:rPr>
        <w:t>20</w:t>
      </w:r>
      <w:r w:rsidRPr="002232E7">
        <w:rPr>
          <w:rFonts w:ascii="Arial" w:hAnsi="Arial" w:cs="Arial"/>
          <w:bCs/>
          <w:iCs/>
          <w:lang w:val="en-ZA" w:eastAsia="en-ZA"/>
        </w:rPr>
        <w:t>14/</w:t>
      </w:r>
      <w:r>
        <w:rPr>
          <w:rFonts w:ascii="Arial" w:hAnsi="Arial" w:cs="Arial"/>
          <w:bCs/>
          <w:iCs/>
          <w:lang w:val="en-ZA" w:eastAsia="en-ZA"/>
        </w:rPr>
        <w:t>20</w:t>
      </w:r>
      <w:r w:rsidRPr="002232E7">
        <w:rPr>
          <w:rFonts w:ascii="Arial" w:hAnsi="Arial" w:cs="Arial"/>
          <w:bCs/>
          <w:iCs/>
          <w:lang w:val="en-ZA" w:eastAsia="en-ZA"/>
        </w:rPr>
        <w:t>15 financial year. Of the</w:t>
      </w:r>
      <w:r>
        <w:rPr>
          <w:rFonts w:ascii="Arial" w:hAnsi="Arial" w:cs="Arial"/>
          <w:bCs/>
          <w:iCs/>
          <w:lang w:val="en-ZA" w:eastAsia="en-ZA"/>
        </w:rPr>
        <w:t>se</w:t>
      </w:r>
      <w:r w:rsidRPr="002232E7">
        <w:rPr>
          <w:rFonts w:ascii="Arial" w:hAnsi="Arial" w:cs="Arial"/>
          <w:bCs/>
          <w:iCs/>
          <w:lang w:val="en-ZA" w:eastAsia="en-ZA"/>
        </w:rPr>
        <w:t>, 563,031 were taken up by the youth. To intensify efforts for the participation of youth in the EPWP, the Non-State Sector (NPO Programme) has collaborated with the National Youth Development Agency (NYDA) to bring 2 000 young people to participate in the progr</w:t>
      </w:r>
      <w:r>
        <w:rPr>
          <w:rFonts w:ascii="Arial" w:hAnsi="Arial" w:cs="Arial"/>
          <w:bCs/>
          <w:iCs/>
          <w:lang w:val="en-ZA" w:eastAsia="en-ZA"/>
        </w:rPr>
        <w:t>amme for a duration of three</w:t>
      </w:r>
      <w:r w:rsidRPr="002232E7">
        <w:rPr>
          <w:rFonts w:ascii="Arial" w:hAnsi="Arial" w:cs="Arial"/>
          <w:bCs/>
          <w:iCs/>
          <w:lang w:val="en-ZA" w:eastAsia="en-ZA"/>
        </w:rPr>
        <w:t xml:space="preserve"> years starting from </w:t>
      </w:r>
      <w:r>
        <w:rPr>
          <w:rFonts w:ascii="Arial" w:hAnsi="Arial" w:cs="Arial"/>
          <w:bCs/>
          <w:iCs/>
          <w:lang w:val="en-ZA" w:eastAsia="en-ZA"/>
        </w:rPr>
        <w:t>the 20</w:t>
      </w:r>
      <w:r w:rsidRPr="002232E7">
        <w:rPr>
          <w:rFonts w:ascii="Arial" w:hAnsi="Arial" w:cs="Arial"/>
          <w:bCs/>
          <w:iCs/>
          <w:lang w:val="en-ZA" w:eastAsia="en-ZA"/>
        </w:rPr>
        <w:t>14/</w:t>
      </w:r>
      <w:r>
        <w:rPr>
          <w:rFonts w:ascii="Arial" w:hAnsi="Arial" w:cs="Arial"/>
          <w:bCs/>
          <w:iCs/>
          <w:lang w:val="en-ZA" w:eastAsia="en-ZA"/>
        </w:rPr>
        <w:t>20</w:t>
      </w:r>
      <w:r w:rsidRPr="002232E7">
        <w:rPr>
          <w:rFonts w:ascii="Arial" w:hAnsi="Arial" w:cs="Arial"/>
          <w:bCs/>
          <w:iCs/>
          <w:lang w:val="en-ZA" w:eastAsia="en-ZA"/>
        </w:rPr>
        <w:t>15 financial year.</w:t>
      </w:r>
    </w:p>
    <w:p w:rsidR="00436920" w:rsidRPr="002232E7" w:rsidRDefault="00436920" w:rsidP="00FF44A3">
      <w:pPr>
        <w:spacing w:line="360" w:lineRule="auto"/>
        <w:rPr>
          <w:rFonts w:ascii="Arial" w:hAnsi="Arial" w:cs="Arial"/>
          <w:bCs/>
          <w:iCs/>
          <w:lang w:val="en-ZA" w:eastAsia="en-ZA"/>
        </w:rPr>
      </w:pPr>
    </w:p>
    <w:p w:rsidR="00436920" w:rsidRPr="002232E7" w:rsidRDefault="00436920" w:rsidP="00CF57BC">
      <w:pPr>
        <w:spacing w:line="360" w:lineRule="auto"/>
        <w:rPr>
          <w:rFonts w:ascii="Arial" w:hAnsi="Arial" w:cs="Arial"/>
          <w:bCs/>
          <w:iCs/>
          <w:lang w:val="en-GB" w:eastAsia="en-ZA"/>
        </w:rPr>
      </w:pPr>
      <w:r>
        <w:rPr>
          <w:rFonts w:ascii="Arial" w:hAnsi="Arial" w:cs="Arial"/>
          <w:bCs/>
          <w:iCs/>
          <w:lang w:val="en-ZA" w:eastAsia="en-ZA"/>
        </w:rPr>
        <w:t xml:space="preserve">The training provided by EPWP </w:t>
      </w:r>
      <w:r w:rsidRPr="002232E7">
        <w:rPr>
          <w:rFonts w:ascii="Arial" w:hAnsi="Arial" w:cs="Arial"/>
          <w:bCs/>
          <w:iCs/>
          <w:lang w:val="en-ZA" w:eastAsia="en-ZA"/>
        </w:rPr>
        <w:t xml:space="preserve">targets skills that the economy demands. </w:t>
      </w:r>
      <w:r>
        <w:rPr>
          <w:rFonts w:ascii="Arial" w:hAnsi="Arial" w:cs="Arial"/>
          <w:bCs/>
          <w:iCs/>
          <w:lang w:val="en-ZA" w:eastAsia="en-ZA"/>
        </w:rPr>
        <w:t>It is envisaged that the youth</w:t>
      </w:r>
      <w:r w:rsidRPr="002232E7">
        <w:rPr>
          <w:rFonts w:ascii="Arial" w:hAnsi="Arial" w:cs="Arial"/>
          <w:bCs/>
          <w:iCs/>
          <w:lang w:val="en-ZA" w:eastAsia="en-ZA"/>
        </w:rPr>
        <w:t xml:space="preserve"> from the Supervision of Construction Processes Learnership Programmes and Artisan Development Programmes will be absorbed into the formal economy. </w:t>
      </w:r>
    </w:p>
    <w:p w:rsidR="00436920" w:rsidRPr="002232E7" w:rsidRDefault="00436920" w:rsidP="00CF57BC">
      <w:pPr>
        <w:spacing w:line="360" w:lineRule="auto"/>
        <w:rPr>
          <w:rFonts w:ascii="Arial" w:hAnsi="Arial" w:cs="Arial"/>
          <w:bCs/>
          <w:iCs/>
          <w:lang w:val="en-ZA" w:eastAsia="en-ZA"/>
        </w:rPr>
      </w:pPr>
    </w:p>
    <w:p w:rsidR="00436920" w:rsidRPr="002232E7" w:rsidRDefault="00436920" w:rsidP="00CF57BC">
      <w:pPr>
        <w:numPr>
          <w:ilvl w:val="0"/>
          <w:numId w:val="11"/>
        </w:numPr>
        <w:spacing w:line="360" w:lineRule="auto"/>
        <w:ind w:left="284" w:hanging="284"/>
        <w:contextualSpacing/>
        <w:rPr>
          <w:rFonts w:ascii="Arial" w:hAnsi="Arial" w:cs="Arial"/>
          <w:b/>
          <w:lang w:val="en-ZA" w:eastAsia="en-ZA"/>
        </w:rPr>
      </w:pPr>
      <w:r w:rsidRPr="002232E7">
        <w:rPr>
          <w:rFonts w:ascii="Arial" w:hAnsi="Arial" w:cs="Arial"/>
          <w:b/>
          <w:lang w:val="en-ZA" w:eastAsia="en-ZA"/>
        </w:rPr>
        <w:t>Small Business Development</w:t>
      </w:r>
    </w:p>
    <w:p w:rsidR="00436920" w:rsidRDefault="00436920" w:rsidP="00CF57BC">
      <w:pPr>
        <w:spacing w:line="360" w:lineRule="auto"/>
        <w:rPr>
          <w:rFonts w:ascii="Arial" w:hAnsi="Arial" w:cs="Arial"/>
          <w:lang w:val="en-ZA" w:eastAsia="en-ZA"/>
        </w:rPr>
      </w:pPr>
    </w:p>
    <w:p w:rsidR="00436920" w:rsidRPr="002232E7" w:rsidRDefault="00436920" w:rsidP="00CF57BC">
      <w:pPr>
        <w:spacing w:line="360" w:lineRule="auto"/>
        <w:rPr>
          <w:rFonts w:ascii="Arial" w:hAnsi="Arial" w:cs="Arial"/>
          <w:lang w:val="en-ZA" w:eastAsia="en-ZA"/>
        </w:rPr>
      </w:pPr>
      <w:r w:rsidRPr="002232E7">
        <w:rPr>
          <w:rFonts w:ascii="Arial" w:hAnsi="Arial" w:cs="Arial"/>
          <w:lang w:val="en-ZA" w:eastAsia="en-ZA"/>
        </w:rPr>
        <w:t>The Department of Small Business Development has undertaken the following initiatives as measures to reduce poverty and to create opportunities for poor and marginalised individuals to begin to earn decent incomes t</w:t>
      </w:r>
      <w:r>
        <w:rPr>
          <w:rFonts w:ascii="Arial" w:hAnsi="Arial" w:cs="Arial"/>
          <w:lang w:val="en-ZA" w:eastAsia="en-ZA"/>
        </w:rPr>
        <w:t>hrough jobs or self-employment:</w:t>
      </w:r>
    </w:p>
    <w:p w:rsidR="00436920" w:rsidRPr="002232E7" w:rsidRDefault="00436920" w:rsidP="00CF57BC">
      <w:pPr>
        <w:spacing w:line="360" w:lineRule="auto"/>
        <w:rPr>
          <w:rFonts w:ascii="Arial" w:hAnsi="Arial" w:cs="Arial"/>
          <w:lang w:val="en-ZA" w:eastAsia="en-ZA"/>
        </w:rPr>
      </w:pPr>
    </w:p>
    <w:p w:rsidR="00436920" w:rsidRPr="00DA471E" w:rsidRDefault="00436920" w:rsidP="00DA471E">
      <w:pPr>
        <w:pStyle w:val="ListParagraph"/>
        <w:numPr>
          <w:ilvl w:val="0"/>
          <w:numId w:val="12"/>
        </w:numPr>
        <w:spacing w:line="360" w:lineRule="auto"/>
        <w:ind w:left="284" w:hanging="284"/>
        <w:rPr>
          <w:rFonts w:ascii="Arial" w:hAnsi="Arial" w:cs="Arial"/>
          <w:bCs/>
          <w:lang w:eastAsia="en-ZA"/>
        </w:rPr>
      </w:pPr>
      <w:r w:rsidRPr="00DA471E">
        <w:rPr>
          <w:rFonts w:ascii="Arial" w:hAnsi="Arial" w:cs="Arial"/>
          <w:bCs/>
          <w:lang w:eastAsia="en-ZA"/>
        </w:rPr>
        <w:t xml:space="preserve">The </w:t>
      </w:r>
      <w:r>
        <w:rPr>
          <w:rFonts w:ascii="Arial" w:hAnsi="Arial" w:cs="Arial"/>
          <w:bCs/>
          <w:lang w:eastAsia="en-ZA"/>
        </w:rPr>
        <w:t xml:space="preserve">establishment of </w:t>
      </w:r>
      <w:r w:rsidRPr="00DA471E">
        <w:rPr>
          <w:rFonts w:ascii="Arial" w:hAnsi="Arial" w:cs="Arial"/>
          <w:bCs/>
          <w:lang w:eastAsia="en-ZA"/>
        </w:rPr>
        <w:t>Centre</w:t>
      </w:r>
      <w:r>
        <w:rPr>
          <w:rFonts w:ascii="Arial" w:hAnsi="Arial" w:cs="Arial"/>
          <w:bCs/>
          <w:lang w:eastAsia="en-ZA"/>
        </w:rPr>
        <w:t>s</w:t>
      </w:r>
      <w:r w:rsidRPr="00DA471E">
        <w:rPr>
          <w:rFonts w:ascii="Arial" w:hAnsi="Arial" w:cs="Arial"/>
          <w:bCs/>
          <w:lang w:eastAsia="en-ZA"/>
        </w:rPr>
        <w:t xml:space="preserve"> for Entrepreneurship </w:t>
      </w:r>
      <w:r>
        <w:rPr>
          <w:rFonts w:ascii="Arial" w:hAnsi="Arial" w:cs="Arial"/>
          <w:bCs/>
          <w:lang w:eastAsia="en-ZA"/>
        </w:rPr>
        <w:t>at</w:t>
      </w:r>
      <w:r w:rsidRPr="00DA471E">
        <w:rPr>
          <w:rFonts w:ascii="Arial" w:hAnsi="Arial" w:cs="Arial"/>
          <w:bCs/>
          <w:lang w:eastAsia="en-ZA"/>
        </w:rPr>
        <w:t xml:space="preserve"> further education and training institutions </w:t>
      </w:r>
      <w:r>
        <w:rPr>
          <w:rFonts w:ascii="Arial" w:hAnsi="Arial" w:cs="Arial"/>
          <w:bCs/>
          <w:lang w:eastAsia="en-ZA"/>
        </w:rPr>
        <w:t>and</w:t>
      </w:r>
      <w:r w:rsidRPr="00DA471E">
        <w:rPr>
          <w:rFonts w:ascii="Arial" w:hAnsi="Arial" w:cs="Arial"/>
          <w:bCs/>
          <w:lang w:eastAsia="en-ZA"/>
        </w:rPr>
        <w:t xml:space="preserve"> higher education institutions funded by DHET to educate students in entrepreneurship. The department</w:t>
      </w:r>
      <w:r>
        <w:rPr>
          <w:rFonts w:ascii="Arial" w:hAnsi="Arial" w:cs="Arial"/>
          <w:bCs/>
          <w:lang w:eastAsia="en-ZA"/>
        </w:rPr>
        <w:t xml:space="preserve"> is in collaboration with five</w:t>
      </w:r>
      <w:r w:rsidRPr="00DA471E">
        <w:rPr>
          <w:rFonts w:ascii="Arial" w:hAnsi="Arial" w:cs="Arial"/>
          <w:bCs/>
          <w:lang w:eastAsia="en-ZA"/>
        </w:rPr>
        <w:t xml:space="preserve"> institutions of higher learning: Ekurhuleni West College in Gauteng, False Bay Technical Vocational Education and Training (TVET) in Western Cape, Gert Sibande TVET in Mpumalanga, Orbit College in North West and the Durban University of Technology</w:t>
      </w:r>
      <w:r>
        <w:rPr>
          <w:rFonts w:ascii="Arial" w:hAnsi="Arial" w:cs="Arial"/>
          <w:bCs/>
          <w:lang w:eastAsia="en-ZA"/>
        </w:rPr>
        <w:t xml:space="preserve"> in KwaZulu-Natal</w:t>
      </w:r>
      <w:r w:rsidRPr="00DA471E">
        <w:rPr>
          <w:rFonts w:ascii="Arial" w:hAnsi="Arial" w:cs="Arial"/>
          <w:bCs/>
          <w:lang w:eastAsia="en-ZA"/>
        </w:rPr>
        <w:t xml:space="preserve"> to host and implement the Centres for Entrepreneurship. The c</w:t>
      </w:r>
      <w:r w:rsidRPr="00DA471E">
        <w:rPr>
          <w:rFonts w:ascii="Arial" w:hAnsi="Arial" w:cs="Arial"/>
          <w:color w:val="000000"/>
          <w:kern w:val="24"/>
          <w:lang w:eastAsia="en-ZA"/>
        </w:rPr>
        <w:t>olleges are rolling out awareness campaigns to student</w:t>
      </w:r>
      <w:r>
        <w:rPr>
          <w:rFonts w:ascii="Arial" w:hAnsi="Arial" w:cs="Arial"/>
          <w:color w:val="000000"/>
          <w:kern w:val="24"/>
          <w:lang w:eastAsia="en-ZA"/>
        </w:rPr>
        <w:t>s</w:t>
      </w:r>
      <w:r w:rsidRPr="00DA471E">
        <w:rPr>
          <w:rFonts w:ascii="Arial" w:hAnsi="Arial" w:cs="Arial"/>
          <w:color w:val="000000"/>
          <w:kern w:val="24"/>
          <w:lang w:eastAsia="en-ZA"/>
        </w:rPr>
        <w:t xml:space="preserve"> on self-employment and entrepreneurship as career options. </w:t>
      </w:r>
    </w:p>
    <w:p w:rsidR="00436920" w:rsidRPr="002232E7" w:rsidRDefault="00436920" w:rsidP="00DA471E">
      <w:pPr>
        <w:spacing w:line="360" w:lineRule="auto"/>
        <w:rPr>
          <w:rFonts w:ascii="Arial" w:hAnsi="Arial" w:cs="Arial"/>
          <w:color w:val="000000"/>
          <w:kern w:val="24"/>
          <w:lang w:val="en-ZA" w:eastAsia="en-ZA"/>
        </w:rPr>
      </w:pPr>
    </w:p>
    <w:p w:rsidR="00436920" w:rsidRPr="00DA471E" w:rsidRDefault="00436920" w:rsidP="00DA471E">
      <w:pPr>
        <w:pStyle w:val="ListParagraph"/>
        <w:numPr>
          <w:ilvl w:val="0"/>
          <w:numId w:val="12"/>
        </w:numPr>
        <w:spacing w:line="360" w:lineRule="auto"/>
        <w:ind w:left="284" w:hanging="284"/>
        <w:rPr>
          <w:rFonts w:ascii="Arial" w:hAnsi="Arial" w:cs="Arial"/>
          <w:bCs/>
          <w:lang w:eastAsia="en-ZA"/>
        </w:rPr>
      </w:pPr>
      <w:r w:rsidRPr="00DA471E">
        <w:rPr>
          <w:rFonts w:ascii="Arial" w:hAnsi="Arial" w:cs="Arial"/>
          <w:bCs/>
          <w:lang w:eastAsia="en-ZA"/>
        </w:rPr>
        <w:t xml:space="preserve">The </w:t>
      </w:r>
      <w:r>
        <w:rPr>
          <w:rFonts w:ascii="Arial" w:hAnsi="Arial" w:cs="Arial"/>
          <w:bCs/>
          <w:lang w:eastAsia="en-ZA"/>
        </w:rPr>
        <w:t>National Informal Businesses Up</w:t>
      </w:r>
      <w:r w:rsidRPr="00DA471E">
        <w:rPr>
          <w:rFonts w:ascii="Arial" w:hAnsi="Arial" w:cs="Arial"/>
          <w:bCs/>
          <w:lang w:eastAsia="en-ZA"/>
        </w:rPr>
        <w:t>liftment Strategy</w:t>
      </w:r>
      <w:r>
        <w:rPr>
          <w:rFonts w:ascii="Arial" w:hAnsi="Arial" w:cs="Arial"/>
          <w:bCs/>
          <w:lang w:eastAsia="en-ZA"/>
        </w:rPr>
        <w:t>, which was launched in 2014,</w:t>
      </w:r>
      <w:r w:rsidRPr="00DA471E">
        <w:rPr>
          <w:rFonts w:ascii="Arial" w:hAnsi="Arial" w:cs="Arial"/>
          <w:lang w:val="en-ZA" w:eastAsia="en-ZA"/>
        </w:rPr>
        <w:t xml:space="preserve"> </w:t>
      </w:r>
      <w:r>
        <w:rPr>
          <w:rFonts w:ascii="Arial" w:hAnsi="Arial" w:cs="Arial"/>
          <w:lang w:val="en-ZA" w:eastAsia="en-ZA"/>
        </w:rPr>
        <w:t xml:space="preserve">supports local chambers, </w:t>
      </w:r>
      <w:r w:rsidRPr="00DA471E">
        <w:rPr>
          <w:rFonts w:ascii="Arial" w:hAnsi="Arial" w:cs="Arial"/>
          <w:lang w:val="en-ZA" w:eastAsia="en-ZA"/>
        </w:rPr>
        <w:t xml:space="preserve">business associations and municipal local economic development offices to deliver and facilitate access to upliftment programmes that will provide business skills and infrastructure support to informal businesses. </w:t>
      </w:r>
    </w:p>
    <w:p w:rsidR="00436920" w:rsidRPr="002232E7" w:rsidRDefault="00436920" w:rsidP="00DA471E">
      <w:pPr>
        <w:spacing w:line="360" w:lineRule="auto"/>
        <w:ind w:left="284" w:hanging="284"/>
        <w:rPr>
          <w:rFonts w:ascii="Arial" w:hAnsi="Arial" w:cs="Arial"/>
          <w:bCs/>
          <w:lang w:eastAsia="en-ZA"/>
        </w:rPr>
      </w:pPr>
    </w:p>
    <w:p w:rsidR="00436920" w:rsidRPr="00DA471E" w:rsidRDefault="00436920" w:rsidP="00DA471E">
      <w:pPr>
        <w:pStyle w:val="ListParagraph"/>
        <w:numPr>
          <w:ilvl w:val="0"/>
          <w:numId w:val="12"/>
        </w:numPr>
        <w:spacing w:line="360" w:lineRule="auto"/>
        <w:ind w:left="284" w:hanging="284"/>
        <w:rPr>
          <w:rFonts w:ascii="Arial" w:hAnsi="Arial" w:cs="Arial"/>
          <w:bCs/>
          <w:lang w:val="en-ZA" w:eastAsia="en-ZA"/>
        </w:rPr>
      </w:pPr>
      <w:r w:rsidRPr="00DA471E">
        <w:rPr>
          <w:rFonts w:ascii="Arial" w:hAnsi="Arial" w:cs="Arial"/>
          <w:color w:val="000000"/>
          <w:kern w:val="24"/>
          <w:lang w:eastAsia="en-ZA"/>
        </w:rPr>
        <w:t xml:space="preserve">The Department </w:t>
      </w:r>
      <w:r>
        <w:rPr>
          <w:rFonts w:ascii="Arial" w:hAnsi="Arial" w:cs="Arial"/>
          <w:color w:val="000000"/>
          <w:kern w:val="24"/>
          <w:lang w:eastAsia="en-ZA"/>
        </w:rPr>
        <w:t xml:space="preserve">of Small Business Development </w:t>
      </w:r>
      <w:r w:rsidRPr="00DA471E">
        <w:rPr>
          <w:rFonts w:ascii="Arial" w:hAnsi="Arial" w:cs="Arial"/>
          <w:color w:val="000000"/>
          <w:kern w:val="24"/>
          <w:lang w:eastAsia="en-ZA"/>
        </w:rPr>
        <w:t xml:space="preserve">collaborated with the Department of Energy to undertake the </w:t>
      </w:r>
      <w:r w:rsidRPr="00DA471E">
        <w:rPr>
          <w:rFonts w:ascii="Arial" w:hAnsi="Arial" w:cs="Arial"/>
          <w:bCs/>
          <w:lang w:val="en-ZA" w:eastAsia="en-ZA"/>
        </w:rPr>
        <w:t>Renewable Energy Youth Cooperatives initiative</w:t>
      </w:r>
      <w:r>
        <w:rPr>
          <w:rFonts w:ascii="Arial" w:hAnsi="Arial" w:cs="Arial"/>
          <w:bCs/>
          <w:lang w:val="en-ZA" w:eastAsia="en-ZA"/>
        </w:rPr>
        <w:t>,</w:t>
      </w:r>
      <w:r w:rsidRPr="00DA471E">
        <w:rPr>
          <w:rFonts w:ascii="Arial" w:hAnsi="Arial" w:cs="Arial"/>
          <w:bCs/>
          <w:lang w:val="en-ZA" w:eastAsia="en-ZA"/>
        </w:rPr>
        <w:t xml:space="preserve"> which focused on establishing youth cooperatives in the rural Eastern Cape and KwaZulu-</w:t>
      </w:r>
      <w:r>
        <w:rPr>
          <w:rFonts w:ascii="Arial" w:hAnsi="Arial" w:cs="Arial"/>
          <w:bCs/>
          <w:lang w:val="en-ZA" w:eastAsia="en-ZA"/>
        </w:rPr>
        <w:t xml:space="preserve">Natal. Eight </w:t>
      </w:r>
      <w:r w:rsidRPr="00DA471E">
        <w:rPr>
          <w:rFonts w:ascii="Arial" w:hAnsi="Arial" w:cs="Arial"/>
          <w:bCs/>
          <w:lang w:val="en-ZA" w:eastAsia="en-ZA"/>
        </w:rPr>
        <w:t xml:space="preserve">youth cooperatives were trained at the Engcobo, Mbashe, Ubuhlebezwe and Ingwe local </w:t>
      </w:r>
      <w:r>
        <w:rPr>
          <w:rFonts w:ascii="Arial" w:hAnsi="Arial" w:cs="Arial"/>
          <w:bCs/>
          <w:lang w:val="en-ZA" w:eastAsia="en-ZA"/>
        </w:rPr>
        <w:t>m</w:t>
      </w:r>
      <w:r w:rsidRPr="00DA471E">
        <w:rPr>
          <w:rFonts w:ascii="Arial" w:hAnsi="Arial" w:cs="Arial"/>
          <w:bCs/>
          <w:lang w:val="en-ZA" w:eastAsia="en-ZA"/>
        </w:rPr>
        <w:t>unicipalities in technical skills to install, repair and maintain solar water heating equipment, as well as business skills to run a cooperative enterprise.</w:t>
      </w:r>
    </w:p>
    <w:p w:rsidR="00436920" w:rsidRPr="002232E7" w:rsidRDefault="00436920" w:rsidP="00DA471E">
      <w:pPr>
        <w:spacing w:line="360" w:lineRule="auto"/>
        <w:ind w:left="284" w:hanging="284"/>
        <w:rPr>
          <w:rFonts w:ascii="Arial" w:hAnsi="Arial" w:cs="Arial"/>
          <w:bCs/>
          <w:lang w:val="en-ZA" w:eastAsia="en-ZA"/>
        </w:rPr>
      </w:pPr>
    </w:p>
    <w:p w:rsidR="00436920" w:rsidRDefault="00436920" w:rsidP="00CF57BC">
      <w:pPr>
        <w:pStyle w:val="ListParagraph"/>
        <w:numPr>
          <w:ilvl w:val="0"/>
          <w:numId w:val="12"/>
        </w:numPr>
        <w:spacing w:line="360" w:lineRule="auto"/>
        <w:ind w:left="284" w:hanging="284"/>
        <w:rPr>
          <w:rFonts w:ascii="Arial" w:hAnsi="Arial" w:cs="Arial"/>
          <w:bCs/>
          <w:lang w:val="en-ZA" w:eastAsia="en-ZA"/>
        </w:rPr>
      </w:pPr>
      <w:r w:rsidRPr="00DA471E">
        <w:rPr>
          <w:rFonts w:ascii="Arial" w:hAnsi="Arial" w:cs="Arial"/>
          <w:bCs/>
          <w:lang w:val="en-ZA" w:eastAsia="en-ZA"/>
        </w:rPr>
        <w:t xml:space="preserve">The department developed the </w:t>
      </w:r>
      <w:r w:rsidRPr="00DA471E">
        <w:rPr>
          <w:rFonts w:ascii="Arial" w:hAnsi="Arial" w:cs="Arial"/>
          <w:bCs/>
          <w:iCs/>
          <w:lang w:eastAsia="en-ZA"/>
        </w:rPr>
        <w:t xml:space="preserve">Mass Youth Enterprise Creation programme (MYECP) and the </w:t>
      </w:r>
      <w:r w:rsidRPr="00DA471E">
        <w:rPr>
          <w:rFonts w:ascii="Arial" w:hAnsi="Arial" w:cs="Arial"/>
          <w:bCs/>
          <w:lang w:val="en-ZA" w:eastAsia="en-ZA"/>
        </w:rPr>
        <w:t xml:space="preserve">Youth Business Support Development (YBSD) initiatives designed to provide non-financial and financial business support to youth enterprises. </w:t>
      </w:r>
    </w:p>
    <w:p w:rsidR="00436920" w:rsidRPr="00DA471E" w:rsidRDefault="00436920" w:rsidP="00DA471E">
      <w:pPr>
        <w:pStyle w:val="ListParagraph"/>
        <w:spacing w:line="360" w:lineRule="auto"/>
        <w:ind w:left="284"/>
        <w:rPr>
          <w:rFonts w:ascii="Arial" w:hAnsi="Arial" w:cs="Arial"/>
          <w:bCs/>
          <w:lang w:val="en-ZA" w:eastAsia="en-ZA"/>
        </w:rPr>
      </w:pPr>
    </w:p>
    <w:p w:rsidR="00436920" w:rsidRPr="002232E7" w:rsidRDefault="00436920" w:rsidP="00DA471E">
      <w:pPr>
        <w:numPr>
          <w:ilvl w:val="0"/>
          <w:numId w:val="11"/>
        </w:numPr>
        <w:spacing w:line="360" w:lineRule="auto"/>
        <w:ind w:left="284" w:hanging="284"/>
        <w:contextualSpacing/>
        <w:rPr>
          <w:rFonts w:ascii="Arial" w:hAnsi="Arial" w:cs="Arial"/>
          <w:lang w:val="en-ZA" w:eastAsia="en-ZA"/>
        </w:rPr>
      </w:pPr>
      <w:r w:rsidRPr="002232E7">
        <w:rPr>
          <w:rFonts w:ascii="Arial" w:hAnsi="Arial" w:cs="Arial"/>
          <w:b/>
          <w:lang w:val="en-ZA" w:eastAsia="en-ZA"/>
        </w:rPr>
        <w:t>Jobs Fund</w:t>
      </w:r>
    </w:p>
    <w:p w:rsidR="00436920" w:rsidRDefault="00436920" w:rsidP="00CF57BC">
      <w:pPr>
        <w:spacing w:line="360" w:lineRule="auto"/>
        <w:rPr>
          <w:rFonts w:ascii="Arial" w:hAnsi="Arial" w:cs="Arial"/>
          <w:lang w:val="en-ZA" w:eastAsia="en-ZA"/>
        </w:rPr>
      </w:pPr>
    </w:p>
    <w:p w:rsidR="00436920" w:rsidRPr="002232E7" w:rsidRDefault="00436920" w:rsidP="00CF57BC">
      <w:pPr>
        <w:spacing w:line="360" w:lineRule="auto"/>
        <w:rPr>
          <w:rFonts w:ascii="Arial" w:hAnsi="Arial" w:cs="Arial"/>
          <w:lang w:val="en-ZA" w:eastAsia="en-ZA"/>
        </w:rPr>
      </w:pPr>
      <w:r w:rsidRPr="002232E7">
        <w:rPr>
          <w:rFonts w:ascii="Arial" w:hAnsi="Arial" w:cs="Arial"/>
          <w:lang w:val="en-ZA" w:eastAsia="en-ZA"/>
        </w:rPr>
        <w:t xml:space="preserve">The Jobs Fund leverages on existing capacity in the public and private sector through </w:t>
      </w:r>
      <w:r w:rsidRPr="002232E7">
        <w:rPr>
          <w:rFonts w:ascii="Arial" w:hAnsi="Arial" w:cs="Arial"/>
          <w:bCs/>
          <w:iCs/>
          <w:lang w:val="en-GB" w:eastAsia="en-ZA"/>
        </w:rPr>
        <w:t>co-financing projects with the potential to contribute significantly to sustainable job creation.</w:t>
      </w:r>
      <w:r w:rsidRPr="002232E7">
        <w:rPr>
          <w:rFonts w:ascii="Calibri" w:eastAsia="Osaka" w:hAnsi="Calibri" w:cs="Calibri"/>
          <w:color w:val="000000"/>
          <w:kern w:val="24"/>
          <w:sz w:val="40"/>
          <w:szCs w:val="40"/>
          <w:lang w:val="en-ZA" w:eastAsia="en-ZA"/>
        </w:rPr>
        <w:t xml:space="preserve"> </w:t>
      </w:r>
      <w:r w:rsidRPr="002232E7">
        <w:rPr>
          <w:rFonts w:ascii="Arial" w:eastAsia="Osaka" w:hAnsi="Arial" w:cs="Arial"/>
          <w:color w:val="000000"/>
          <w:kern w:val="24"/>
          <w:lang w:val="en-ZA" w:eastAsia="en-ZA"/>
        </w:rPr>
        <w:t xml:space="preserve">Through this collaboration, the </w:t>
      </w:r>
      <w:r>
        <w:rPr>
          <w:rFonts w:ascii="Arial" w:eastAsia="Osaka" w:hAnsi="Arial" w:cs="Arial"/>
          <w:color w:val="000000"/>
          <w:kern w:val="24"/>
          <w:lang w:val="en-ZA" w:eastAsia="en-ZA"/>
        </w:rPr>
        <w:t>F</w:t>
      </w:r>
      <w:r w:rsidRPr="002232E7">
        <w:rPr>
          <w:rFonts w:ascii="Arial" w:eastAsia="Osaka" w:hAnsi="Arial" w:cs="Arial"/>
          <w:color w:val="000000"/>
          <w:kern w:val="24"/>
          <w:lang w:val="en-ZA" w:eastAsia="en-ZA"/>
        </w:rPr>
        <w:t>und aims to i</w:t>
      </w:r>
      <w:r w:rsidRPr="002232E7">
        <w:rPr>
          <w:rFonts w:ascii="Arial" w:hAnsi="Arial" w:cs="Arial"/>
          <w:bCs/>
          <w:iCs/>
          <w:lang w:val="en-ZA" w:eastAsia="en-ZA"/>
        </w:rPr>
        <w:t>mprove the employment prospects of young people and foster innovative approaches to job creation</w:t>
      </w:r>
      <w:r w:rsidRPr="002232E7">
        <w:rPr>
          <w:rFonts w:ascii="Arial" w:hAnsi="Arial" w:cs="Arial"/>
          <w:lang w:val="en-ZA" w:eastAsia="en-ZA"/>
        </w:rPr>
        <w:t xml:space="preserve">. </w:t>
      </w:r>
      <w:r w:rsidRPr="002232E7">
        <w:rPr>
          <w:rFonts w:ascii="Arial" w:hAnsi="Arial" w:cs="Arial"/>
          <w:bCs/>
          <w:lang w:val="en-ZA" w:eastAsia="en-ZA"/>
        </w:rPr>
        <w:t>The Jobs Fund complements rather than displaces other public funding programmes</w:t>
      </w:r>
      <w:r w:rsidRPr="002232E7">
        <w:rPr>
          <w:rFonts w:ascii="Arial" w:hAnsi="Arial" w:cs="Arial"/>
          <w:lang w:val="en-ZA" w:eastAsia="en-ZA"/>
        </w:rPr>
        <w:t>. The Fund offers once-off grants in the areas of enterprise development, infrastructure, support for work seekers and institutional capacity building.</w:t>
      </w:r>
    </w:p>
    <w:p w:rsidR="00436920" w:rsidRPr="002232E7" w:rsidRDefault="00436920" w:rsidP="00CF57BC">
      <w:pPr>
        <w:spacing w:line="360" w:lineRule="auto"/>
        <w:rPr>
          <w:rFonts w:ascii="Arial" w:hAnsi="Arial" w:cs="Arial"/>
          <w:lang w:val="en-ZA" w:eastAsia="en-ZA"/>
        </w:rPr>
      </w:pPr>
    </w:p>
    <w:p w:rsidR="00436920" w:rsidRDefault="00436920" w:rsidP="00CF57BC">
      <w:pPr>
        <w:spacing w:line="360" w:lineRule="auto"/>
        <w:rPr>
          <w:rFonts w:ascii="Arial" w:hAnsi="Arial" w:cs="Arial"/>
          <w:lang w:val="en-ZA" w:eastAsia="en-ZA"/>
        </w:rPr>
      </w:pPr>
      <w:r w:rsidRPr="002232E7">
        <w:rPr>
          <w:rFonts w:ascii="Arial" w:hAnsi="Arial" w:cs="Arial"/>
          <w:lang w:val="en-ZA" w:eastAsia="en-ZA"/>
        </w:rPr>
        <w:t xml:space="preserve">About 40 259 permanent jobs were created by </w:t>
      </w:r>
      <w:r>
        <w:rPr>
          <w:rFonts w:ascii="Arial" w:hAnsi="Arial" w:cs="Arial"/>
          <w:lang w:val="en-ZA" w:eastAsia="en-ZA"/>
        </w:rPr>
        <w:t>Jobs Fund</w:t>
      </w:r>
      <w:r w:rsidRPr="002232E7">
        <w:rPr>
          <w:rFonts w:ascii="Arial" w:hAnsi="Arial" w:cs="Arial"/>
          <w:lang w:val="en-ZA" w:eastAsia="en-ZA"/>
        </w:rPr>
        <w:t xml:space="preserve"> supported projects in 2014/15</w:t>
      </w:r>
      <w:r>
        <w:rPr>
          <w:rFonts w:ascii="Arial" w:hAnsi="Arial" w:cs="Arial"/>
          <w:lang w:val="en-ZA" w:eastAsia="en-ZA"/>
        </w:rPr>
        <w:t>. Of these, 18 567 went to youth and</w:t>
      </w:r>
      <w:r w:rsidRPr="002232E7">
        <w:rPr>
          <w:rFonts w:ascii="Arial" w:hAnsi="Arial" w:cs="Arial"/>
          <w:lang w:val="en-ZA" w:eastAsia="en-ZA"/>
        </w:rPr>
        <w:t> 24 522 went to women. About 46,348 persons received training over this period</w:t>
      </w:r>
      <w:r>
        <w:rPr>
          <w:rFonts w:ascii="Arial" w:hAnsi="Arial" w:cs="Arial"/>
          <w:lang w:val="en-ZA" w:eastAsia="en-ZA"/>
        </w:rPr>
        <w:t>.</w:t>
      </w:r>
      <w:r w:rsidRPr="002232E7">
        <w:rPr>
          <w:rFonts w:ascii="Arial" w:hAnsi="Arial" w:cs="Arial"/>
          <w:lang w:val="en-ZA" w:eastAsia="en-ZA"/>
        </w:rPr>
        <w:t xml:space="preserve"> </w:t>
      </w:r>
      <w:r>
        <w:rPr>
          <w:rFonts w:ascii="Arial" w:hAnsi="Arial" w:cs="Arial"/>
          <w:lang w:val="en-ZA" w:eastAsia="en-ZA"/>
        </w:rPr>
        <w:t>Of the</w:t>
      </w:r>
      <w:r w:rsidRPr="002232E7">
        <w:rPr>
          <w:rFonts w:ascii="Arial" w:hAnsi="Arial" w:cs="Arial"/>
          <w:lang w:val="en-ZA" w:eastAsia="en-ZA"/>
        </w:rPr>
        <w:t>s</w:t>
      </w:r>
      <w:r>
        <w:rPr>
          <w:rFonts w:ascii="Arial" w:hAnsi="Arial" w:cs="Arial"/>
          <w:lang w:val="en-ZA" w:eastAsia="en-ZA"/>
        </w:rPr>
        <w:t>e</w:t>
      </w:r>
      <w:r w:rsidRPr="002232E7">
        <w:rPr>
          <w:rFonts w:ascii="Arial" w:hAnsi="Arial" w:cs="Arial"/>
          <w:lang w:val="en-ZA" w:eastAsia="en-ZA"/>
        </w:rPr>
        <w:t xml:space="preserve"> 26,561 were youth and 29,825 were women. </w:t>
      </w:r>
    </w:p>
    <w:p w:rsidR="00436920" w:rsidRPr="002232E7" w:rsidRDefault="00436920" w:rsidP="00DA471E">
      <w:pPr>
        <w:spacing w:line="360" w:lineRule="auto"/>
        <w:rPr>
          <w:rFonts w:ascii="Arial" w:hAnsi="Arial" w:cs="Arial"/>
          <w:bCs/>
          <w:color w:val="000000"/>
          <w:u w:color="000000"/>
          <w:lang w:eastAsia="en-ZA"/>
        </w:rPr>
      </w:pPr>
    </w:p>
    <w:p w:rsidR="00436920" w:rsidRPr="002232E7" w:rsidRDefault="00436920" w:rsidP="00CF57BC">
      <w:pPr>
        <w:numPr>
          <w:ilvl w:val="0"/>
          <w:numId w:val="11"/>
        </w:numPr>
        <w:spacing w:line="360" w:lineRule="auto"/>
        <w:ind w:left="284" w:hanging="284"/>
        <w:rPr>
          <w:rFonts w:ascii="Arial" w:hAnsi="Arial" w:cs="Arial"/>
          <w:b/>
          <w:bCs/>
          <w:color w:val="000000"/>
          <w:u w:color="000000"/>
          <w:lang w:eastAsia="en-ZA"/>
        </w:rPr>
      </w:pPr>
      <w:r w:rsidRPr="002232E7">
        <w:rPr>
          <w:rFonts w:ascii="Arial" w:hAnsi="Arial" w:cs="Arial"/>
          <w:b/>
          <w:bCs/>
          <w:color w:val="000000"/>
          <w:u w:color="000000"/>
          <w:lang w:eastAsia="en-ZA"/>
        </w:rPr>
        <w:t>Entrepreneurship</w:t>
      </w:r>
    </w:p>
    <w:p w:rsidR="00436920" w:rsidRDefault="00436920" w:rsidP="00CF57BC">
      <w:pPr>
        <w:spacing w:line="360" w:lineRule="auto"/>
        <w:rPr>
          <w:rFonts w:ascii="Arial" w:hAnsi="Calibri" w:cs="Calibri"/>
          <w:bCs/>
          <w:color w:val="000000"/>
          <w:u w:color="000000"/>
          <w:lang w:eastAsia="en-ZA"/>
        </w:rPr>
      </w:pPr>
    </w:p>
    <w:p w:rsidR="00436920" w:rsidRDefault="00436920" w:rsidP="00CF57BC">
      <w:pPr>
        <w:spacing w:line="360" w:lineRule="auto"/>
        <w:rPr>
          <w:rFonts w:ascii="Arial" w:hAnsi="Calibri" w:cs="Calibri"/>
          <w:bCs/>
          <w:color w:val="000000"/>
          <w:u w:color="000000"/>
          <w:lang w:eastAsia="en-ZA"/>
        </w:rPr>
      </w:pPr>
      <w:r w:rsidRPr="002232E7">
        <w:rPr>
          <w:rFonts w:ascii="Arial" w:hAnsi="Calibri" w:cs="Calibri"/>
          <w:bCs/>
          <w:color w:val="000000"/>
          <w:u w:color="000000"/>
          <w:lang w:eastAsia="en-ZA"/>
        </w:rPr>
        <w:t xml:space="preserve">The Economic Development Department worked with the Industrial Development Corporation (IDC) and its subsidiaries to provide funding for young entrepreneurs, with R144 million approved by the IDC for youth-led investment projects in the past 12 months. In the same period, the Small Enterprise Finance Agency (SEFA) disbursed R310 million to youth-owned businesses. </w:t>
      </w:r>
    </w:p>
    <w:p w:rsidR="00436920" w:rsidRPr="002232E7" w:rsidRDefault="00436920" w:rsidP="00CF57BC">
      <w:pPr>
        <w:spacing w:line="360" w:lineRule="auto"/>
        <w:rPr>
          <w:rFonts w:ascii="Arial" w:hAnsi="Arial" w:cs="Arial"/>
          <w:bCs/>
          <w:color w:val="000000"/>
          <w:u w:color="000000"/>
          <w:lang w:eastAsia="en-ZA"/>
        </w:rPr>
      </w:pPr>
    </w:p>
    <w:p w:rsidR="00436920" w:rsidRDefault="00436920" w:rsidP="00CF57BC">
      <w:pPr>
        <w:spacing w:line="360" w:lineRule="auto"/>
        <w:rPr>
          <w:rFonts w:ascii="Arial" w:hAnsi="Calibri" w:cs="Calibri"/>
          <w:bCs/>
          <w:color w:val="000000"/>
          <w:u w:color="000000"/>
          <w:lang w:eastAsia="en-ZA"/>
        </w:rPr>
      </w:pPr>
      <w:r w:rsidRPr="002232E7">
        <w:rPr>
          <w:rFonts w:ascii="Arial" w:hAnsi="Calibri" w:cs="Calibri"/>
          <w:bCs/>
          <w:color w:val="000000"/>
          <w:u w:color="000000"/>
          <w:lang w:eastAsia="en-ZA"/>
        </w:rPr>
        <w:t xml:space="preserve">The Presidential Infrastructure Coordinating Commission (PICC) is now tracking jobs on about 40 infrastructure projects, which currently employ an </w:t>
      </w:r>
      <w:r>
        <w:rPr>
          <w:rFonts w:ascii="Arial" w:hAnsi="Calibri" w:cs="Calibri"/>
          <w:bCs/>
          <w:color w:val="000000"/>
          <w:u w:color="000000"/>
          <w:lang w:eastAsia="en-ZA"/>
        </w:rPr>
        <w:t>estimated 95 000 young workers.</w:t>
      </w:r>
    </w:p>
    <w:p w:rsidR="00436920" w:rsidRPr="002232E7" w:rsidRDefault="00436920" w:rsidP="00CF57BC">
      <w:pPr>
        <w:spacing w:line="360" w:lineRule="auto"/>
        <w:rPr>
          <w:rFonts w:ascii="Arial" w:hAnsi="Arial" w:cs="Arial"/>
          <w:bCs/>
          <w:color w:val="000000"/>
          <w:u w:color="000000"/>
          <w:lang w:eastAsia="en-ZA"/>
        </w:rPr>
      </w:pPr>
    </w:p>
    <w:p w:rsidR="00436920" w:rsidRPr="002232E7" w:rsidRDefault="00436920" w:rsidP="00CF57BC">
      <w:pPr>
        <w:spacing w:line="360" w:lineRule="auto"/>
        <w:rPr>
          <w:rFonts w:ascii="Arial" w:hAnsi="Calibri" w:cs="Calibri"/>
          <w:bCs/>
          <w:color w:val="000000"/>
          <w:u w:color="000000"/>
          <w:lang w:eastAsia="en-ZA"/>
        </w:rPr>
      </w:pPr>
      <w:r w:rsidRPr="002232E7">
        <w:rPr>
          <w:rFonts w:ascii="Arial" w:hAnsi="Calibri" w:cs="Calibri"/>
          <w:bCs/>
          <w:color w:val="000000"/>
          <w:u w:color="000000"/>
          <w:lang w:eastAsia="en-ZA"/>
        </w:rPr>
        <w:t xml:space="preserve">While the youth unemployment rate has not decreased in this period, the number of new jobs created for young people rose by 240 000 in the past 12 months. However, 500 000 young people entered the labour market, so while jobs are being created for young people, they are not yet on the scale required. </w:t>
      </w:r>
    </w:p>
    <w:p w:rsidR="00436920" w:rsidRPr="002232E7" w:rsidRDefault="00436920" w:rsidP="00CF57BC">
      <w:pPr>
        <w:spacing w:line="360" w:lineRule="auto"/>
        <w:rPr>
          <w:rFonts w:ascii="Arial" w:hAnsi="Arial" w:cs="Arial"/>
          <w:lang w:val="en-ZA" w:eastAsia="en-ZA"/>
        </w:rPr>
      </w:pPr>
    </w:p>
    <w:p w:rsidR="00436920" w:rsidRPr="002232E7" w:rsidRDefault="00436920" w:rsidP="00CF57BC">
      <w:pPr>
        <w:spacing w:line="360" w:lineRule="auto"/>
        <w:rPr>
          <w:rFonts w:ascii="Arial" w:hAnsi="Arial" w:cs="Arial"/>
          <w:lang w:eastAsia="en-ZA"/>
        </w:rPr>
      </w:pPr>
      <w:r w:rsidRPr="002232E7">
        <w:rPr>
          <w:rFonts w:ascii="Arial" w:hAnsi="Arial" w:cs="Arial"/>
          <w:lang w:val="en-ZA" w:eastAsia="en-ZA"/>
        </w:rPr>
        <w:t>The collective measurable impact of the initiatives that have been undertaken as part of the anti-poverty programme in lowering youth unemployment is yet to be determined with the assistance of Statistics South Africa.</w:t>
      </w:r>
    </w:p>
    <w:p w:rsidR="00436920" w:rsidRPr="002232E7" w:rsidRDefault="00436920" w:rsidP="00CF57BC">
      <w:pPr>
        <w:spacing w:line="360" w:lineRule="auto"/>
        <w:rPr>
          <w:rFonts w:ascii="Arial" w:hAnsi="Arial" w:cs="Arial"/>
          <w:lang w:eastAsia="en-ZA"/>
        </w:rPr>
      </w:pPr>
    </w:p>
    <w:p w:rsidR="00436920" w:rsidRPr="002232E7" w:rsidRDefault="00436920" w:rsidP="00CF57BC">
      <w:pPr>
        <w:spacing w:line="360" w:lineRule="auto"/>
        <w:rPr>
          <w:lang w:val="en-ZA" w:eastAsia="en-ZA"/>
        </w:rPr>
      </w:pPr>
    </w:p>
    <w:p w:rsidR="00436920" w:rsidRPr="002232E7" w:rsidRDefault="00436920" w:rsidP="00CF57BC">
      <w:pPr>
        <w:spacing w:line="360" w:lineRule="auto"/>
        <w:rPr>
          <w:rFonts w:ascii="Arial" w:hAnsi="Arial" w:cs="Arial"/>
        </w:rPr>
      </w:pPr>
    </w:p>
    <w:sectPr w:rsidR="00436920" w:rsidRPr="002232E7" w:rsidSect="009161D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920" w:rsidRDefault="00436920" w:rsidP="007119CF">
      <w:r>
        <w:separator/>
      </w:r>
    </w:p>
  </w:endnote>
  <w:endnote w:type="continuationSeparator" w:id="0">
    <w:p w:rsidR="00436920" w:rsidRDefault="00436920" w:rsidP="00711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Osaka">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20" w:rsidRDefault="00436920">
    <w:pPr>
      <w:pStyle w:val="Footer"/>
      <w:jc w:val="right"/>
    </w:pPr>
    <w:fldSimple w:instr=" PAGE   \* MERGEFORMAT ">
      <w:r>
        <w:rPr>
          <w:noProof/>
        </w:rPr>
        <w:t>1</w:t>
      </w:r>
    </w:fldSimple>
  </w:p>
  <w:p w:rsidR="00436920" w:rsidRDefault="00436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920" w:rsidRDefault="00436920" w:rsidP="007119CF">
      <w:r>
        <w:separator/>
      </w:r>
    </w:p>
  </w:footnote>
  <w:footnote w:type="continuationSeparator" w:id="0">
    <w:p w:rsidR="00436920" w:rsidRDefault="00436920" w:rsidP="00711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3731"/>
    <w:multiLevelType w:val="hybridMultilevel"/>
    <w:tmpl w:val="2EB674B4"/>
    <w:lvl w:ilvl="0" w:tplc="1C09000F">
      <w:start w:val="1"/>
      <w:numFmt w:val="decimal"/>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1">
    <w:nsid w:val="158D713C"/>
    <w:multiLevelType w:val="hybridMultilevel"/>
    <w:tmpl w:val="6F207F30"/>
    <w:lvl w:ilvl="0" w:tplc="49887770">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
    <w:nsid w:val="1AB259C7"/>
    <w:multiLevelType w:val="hybridMultilevel"/>
    <w:tmpl w:val="DFB24D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1B80336D"/>
    <w:multiLevelType w:val="hybridMultilevel"/>
    <w:tmpl w:val="BED23652"/>
    <w:lvl w:ilvl="0" w:tplc="0ACE0100">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23CD1900"/>
    <w:multiLevelType w:val="hybridMultilevel"/>
    <w:tmpl w:val="7F041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5E0331"/>
    <w:multiLevelType w:val="hybridMultilevel"/>
    <w:tmpl w:val="73028EF2"/>
    <w:lvl w:ilvl="0" w:tplc="3E8A7E1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3443EC5"/>
    <w:multiLevelType w:val="hybridMultilevel"/>
    <w:tmpl w:val="20246F8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abstractNum w:abstractNumId="7">
    <w:nsid w:val="53C02823"/>
    <w:multiLevelType w:val="hybridMultilevel"/>
    <w:tmpl w:val="F8068778"/>
    <w:lvl w:ilvl="0" w:tplc="1C090001">
      <w:start w:val="1"/>
      <w:numFmt w:val="bullet"/>
      <w:lvlText w:val=""/>
      <w:lvlJc w:val="left"/>
      <w:pPr>
        <w:tabs>
          <w:tab w:val="num" w:pos="360"/>
        </w:tabs>
        <w:ind w:left="360" w:hanging="360"/>
      </w:pPr>
      <w:rPr>
        <w:rFonts w:ascii="Symbol" w:hAnsi="Symbol" w:hint="default"/>
      </w:rPr>
    </w:lvl>
    <w:lvl w:ilvl="1" w:tplc="AE28A918">
      <w:start w:val="1"/>
      <w:numFmt w:val="bullet"/>
      <w:lvlText w:val="–"/>
      <w:lvlJc w:val="left"/>
      <w:pPr>
        <w:tabs>
          <w:tab w:val="num" w:pos="1080"/>
        </w:tabs>
        <w:ind w:left="1080" w:hanging="360"/>
      </w:pPr>
      <w:rPr>
        <w:rFonts w:ascii="Times New Roman" w:hAnsi="Times New Roman" w:hint="default"/>
      </w:rPr>
    </w:lvl>
    <w:lvl w:ilvl="2" w:tplc="ACCEFEEA" w:tentative="1">
      <w:start w:val="1"/>
      <w:numFmt w:val="bullet"/>
      <w:lvlText w:val="–"/>
      <w:lvlJc w:val="left"/>
      <w:pPr>
        <w:tabs>
          <w:tab w:val="num" w:pos="1800"/>
        </w:tabs>
        <w:ind w:left="1800" w:hanging="360"/>
      </w:pPr>
      <w:rPr>
        <w:rFonts w:ascii="Times New Roman" w:hAnsi="Times New Roman" w:hint="default"/>
      </w:rPr>
    </w:lvl>
    <w:lvl w:ilvl="3" w:tplc="F69E9062" w:tentative="1">
      <w:start w:val="1"/>
      <w:numFmt w:val="bullet"/>
      <w:lvlText w:val="–"/>
      <w:lvlJc w:val="left"/>
      <w:pPr>
        <w:tabs>
          <w:tab w:val="num" w:pos="2520"/>
        </w:tabs>
        <w:ind w:left="2520" w:hanging="360"/>
      </w:pPr>
      <w:rPr>
        <w:rFonts w:ascii="Times New Roman" w:hAnsi="Times New Roman" w:hint="default"/>
      </w:rPr>
    </w:lvl>
    <w:lvl w:ilvl="4" w:tplc="8418FA6E" w:tentative="1">
      <w:start w:val="1"/>
      <w:numFmt w:val="bullet"/>
      <w:lvlText w:val="–"/>
      <w:lvlJc w:val="left"/>
      <w:pPr>
        <w:tabs>
          <w:tab w:val="num" w:pos="3240"/>
        </w:tabs>
        <w:ind w:left="3240" w:hanging="360"/>
      </w:pPr>
      <w:rPr>
        <w:rFonts w:ascii="Times New Roman" w:hAnsi="Times New Roman" w:hint="default"/>
      </w:rPr>
    </w:lvl>
    <w:lvl w:ilvl="5" w:tplc="F5323FFA" w:tentative="1">
      <w:start w:val="1"/>
      <w:numFmt w:val="bullet"/>
      <w:lvlText w:val="–"/>
      <w:lvlJc w:val="left"/>
      <w:pPr>
        <w:tabs>
          <w:tab w:val="num" w:pos="3960"/>
        </w:tabs>
        <w:ind w:left="3960" w:hanging="360"/>
      </w:pPr>
      <w:rPr>
        <w:rFonts w:ascii="Times New Roman" w:hAnsi="Times New Roman" w:hint="default"/>
      </w:rPr>
    </w:lvl>
    <w:lvl w:ilvl="6" w:tplc="D17ABF28" w:tentative="1">
      <w:start w:val="1"/>
      <w:numFmt w:val="bullet"/>
      <w:lvlText w:val="–"/>
      <w:lvlJc w:val="left"/>
      <w:pPr>
        <w:tabs>
          <w:tab w:val="num" w:pos="4680"/>
        </w:tabs>
        <w:ind w:left="4680" w:hanging="360"/>
      </w:pPr>
      <w:rPr>
        <w:rFonts w:ascii="Times New Roman" w:hAnsi="Times New Roman" w:hint="default"/>
      </w:rPr>
    </w:lvl>
    <w:lvl w:ilvl="7" w:tplc="033A05D2" w:tentative="1">
      <w:start w:val="1"/>
      <w:numFmt w:val="bullet"/>
      <w:lvlText w:val="–"/>
      <w:lvlJc w:val="left"/>
      <w:pPr>
        <w:tabs>
          <w:tab w:val="num" w:pos="5400"/>
        </w:tabs>
        <w:ind w:left="5400" w:hanging="360"/>
      </w:pPr>
      <w:rPr>
        <w:rFonts w:ascii="Times New Roman" w:hAnsi="Times New Roman" w:hint="default"/>
      </w:rPr>
    </w:lvl>
    <w:lvl w:ilvl="8" w:tplc="951E35DE" w:tentative="1">
      <w:start w:val="1"/>
      <w:numFmt w:val="bullet"/>
      <w:lvlText w:val="–"/>
      <w:lvlJc w:val="left"/>
      <w:pPr>
        <w:tabs>
          <w:tab w:val="num" w:pos="6120"/>
        </w:tabs>
        <w:ind w:left="6120" w:hanging="360"/>
      </w:pPr>
      <w:rPr>
        <w:rFonts w:ascii="Times New Roman" w:hAnsi="Times New Roman" w:hint="default"/>
      </w:rPr>
    </w:lvl>
  </w:abstractNum>
  <w:abstractNum w:abstractNumId="8">
    <w:nsid w:val="56497074"/>
    <w:multiLevelType w:val="hybridMultilevel"/>
    <w:tmpl w:val="C6AE8D2C"/>
    <w:lvl w:ilvl="0" w:tplc="1C09000F">
      <w:start w:val="1"/>
      <w:numFmt w:val="decimal"/>
      <w:lvlText w:val="%1."/>
      <w:lvlJc w:val="left"/>
      <w:pPr>
        <w:ind w:left="792" w:hanging="360"/>
      </w:pPr>
      <w:rPr>
        <w:rFonts w:cs="Times New Roman"/>
      </w:rPr>
    </w:lvl>
    <w:lvl w:ilvl="1" w:tplc="1C090019">
      <w:start w:val="1"/>
      <w:numFmt w:val="lowerLetter"/>
      <w:lvlText w:val="%2."/>
      <w:lvlJc w:val="left"/>
      <w:pPr>
        <w:ind w:left="1512" w:hanging="360"/>
      </w:pPr>
      <w:rPr>
        <w:rFonts w:cs="Times New Roman"/>
      </w:rPr>
    </w:lvl>
    <w:lvl w:ilvl="2" w:tplc="1C09001B">
      <w:start w:val="1"/>
      <w:numFmt w:val="lowerRoman"/>
      <w:lvlText w:val="%3."/>
      <w:lvlJc w:val="right"/>
      <w:pPr>
        <w:ind w:left="2232" w:hanging="180"/>
      </w:pPr>
      <w:rPr>
        <w:rFonts w:cs="Times New Roman"/>
      </w:rPr>
    </w:lvl>
    <w:lvl w:ilvl="3" w:tplc="1C09000F">
      <w:start w:val="1"/>
      <w:numFmt w:val="decimal"/>
      <w:lvlText w:val="%4."/>
      <w:lvlJc w:val="left"/>
      <w:pPr>
        <w:ind w:left="2952" w:hanging="360"/>
      </w:pPr>
      <w:rPr>
        <w:rFonts w:cs="Times New Roman"/>
      </w:rPr>
    </w:lvl>
    <w:lvl w:ilvl="4" w:tplc="1C090019">
      <w:start w:val="1"/>
      <w:numFmt w:val="lowerLetter"/>
      <w:lvlText w:val="%5."/>
      <w:lvlJc w:val="left"/>
      <w:pPr>
        <w:ind w:left="3672" w:hanging="360"/>
      </w:pPr>
      <w:rPr>
        <w:rFonts w:cs="Times New Roman"/>
      </w:rPr>
    </w:lvl>
    <w:lvl w:ilvl="5" w:tplc="1C09001B">
      <w:start w:val="1"/>
      <w:numFmt w:val="lowerRoman"/>
      <w:lvlText w:val="%6."/>
      <w:lvlJc w:val="right"/>
      <w:pPr>
        <w:ind w:left="4392" w:hanging="180"/>
      </w:pPr>
      <w:rPr>
        <w:rFonts w:cs="Times New Roman"/>
      </w:rPr>
    </w:lvl>
    <w:lvl w:ilvl="6" w:tplc="1C09000F">
      <w:start w:val="1"/>
      <w:numFmt w:val="decimal"/>
      <w:lvlText w:val="%7."/>
      <w:lvlJc w:val="left"/>
      <w:pPr>
        <w:ind w:left="5112" w:hanging="360"/>
      </w:pPr>
      <w:rPr>
        <w:rFonts w:cs="Times New Roman"/>
      </w:rPr>
    </w:lvl>
    <w:lvl w:ilvl="7" w:tplc="1C090019">
      <w:start w:val="1"/>
      <w:numFmt w:val="lowerLetter"/>
      <w:lvlText w:val="%8."/>
      <w:lvlJc w:val="left"/>
      <w:pPr>
        <w:ind w:left="5832" w:hanging="360"/>
      </w:pPr>
      <w:rPr>
        <w:rFonts w:cs="Times New Roman"/>
      </w:rPr>
    </w:lvl>
    <w:lvl w:ilvl="8" w:tplc="1C09001B">
      <w:start w:val="1"/>
      <w:numFmt w:val="lowerRoman"/>
      <w:lvlText w:val="%9."/>
      <w:lvlJc w:val="right"/>
      <w:pPr>
        <w:ind w:left="6552" w:hanging="180"/>
      </w:pPr>
      <w:rPr>
        <w:rFonts w:cs="Times New Roman"/>
      </w:rPr>
    </w:lvl>
  </w:abstractNum>
  <w:abstractNum w:abstractNumId="9">
    <w:nsid w:val="5713360E"/>
    <w:multiLevelType w:val="hybridMultilevel"/>
    <w:tmpl w:val="6E9CC82C"/>
    <w:lvl w:ilvl="0" w:tplc="E19239D2">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B5DC49FE">
      <w:start w:val="1"/>
      <w:numFmt w:val="lowerRoman"/>
      <w:lvlText w:val="(%3)"/>
      <w:lvlJc w:val="left"/>
      <w:pPr>
        <w:ind w:left="2700" w:hanging="720"/>
      </w:pPr>
      <w:rPr>
        <w:rFonts w:cs="Times New Roman" w:hint="default"/>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5CCA0271"/>
    <w:multiLevelType w:val="hybridMultilevel"/>
    <w:tmpl w:val="A742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204FA"/>
    <w:multiLevelType w:val="hybridMultilevel"/>
    <w:tmpl w:val="128E1B3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abstractNum w:abstractNumId="12">
    <w:nsid w:val="62715346"/>
    <w:multiLevelType w:val="hybridMultilevel"/>
    <w:tmpl w:val="BEB247E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63B86794"/>
    <w:multiLevelType w:val="hybridMultilevel"/>
    <w:tmpl w:val="70B8A49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B07894"/>
    <w:multiLevelType w:val="hybridMultilevel"/>
    <w:tmpl w:val="80641354"/>
    <w:lvl w:ilvl="0" w:tplc="8A80E53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6"/>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0"/>
  </w:num>
  <w:num w:numId="13">
    <w:abstractNumId w:val="14"/>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CD5"/>
    <w:rsid w:val="0001748F"/>
    <w:rsid w:val="00035BA2"/>
    <w:rsid w:val="0006725E"/>
    <w:rsid w:val="000A55E0"/>
    <w:rsid w:val="0017038F"/>
    <w:rsid w:val="001B7694"/>
    <w:rsid w:val="00210F0C"/>
    <w:rsid w:val="002232E7"/>
    <w:rsid w:val="002553D5"/>
    <w:rsid w:val="00276A5B"/>
    <w:rsid w:val="00305880"/>
    <w:rsid w:val="00336E4C"/>
    <w:rsid w:val="00341226"/>
    <w:rsid w:val="00415446"/>
    <w:rsid w:val="00436920"/>
    <w:rsid w:val="004D0680"/>
    <w:rsid w:val="00534AB8"/>
    <w:rsid w:val="005943F7"/>
    <w:rsid w:val="006570A6"/>
    <w:rsid w:val="0067040E"/>
    <w:rsid w:val="006A46AF"/>
    <w:rsid w:val="007119CF"/>
    <w:rsid w:val="00726199"/>
    <w:rsid w:val="00807B00"/>
    <w:rsid w:val="00831CD5"/>
    <w:rsid w:val="009161D3"/>
    <w:rsid w:val="00946705"/>
    <w:rsid w:val="009A216B"/>
    <w:rsid w:val="00A53273"/>
    <w:rsid w:val="00AD0F72"/>
    <w:rsid w:val="00AD5A10"/>
    <w:rsid w:val="00AE4366"/>
    <w:rsid w:val="00BD6769"/>
    <w:rsid w:val="00CA48A4"/>
    <w:rsid w:val="00CB41B5"/>
    <w:rsid w:val="00CF57BC"/>
    <w:rsid w:val="00DA471E"/>
    <w:rsid w:val="00DD1D84"/>
    <w:rsid w:val="00E25746"/>
    <w:rsid w:val="00E609C4"/>
    <w:rsid w:val="00E6701B"/>
    <w:rsid w:val="00EA3014"/>
    <w:rsid w:val="00ED4E1A"/>
    <w:rsid w:val="00FF44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D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32E7"/>
    <w:pPr>
      <w:ind w:left="720"/>
      <w:contextualSpacing/>
    </w:pPr>
  </w:style>
  <w:style w:type="paragraph" w:styleId="Header">
    <w:name w:val="header"/>
    <w:basedOn w:val="Normal"/>
    <w:link w:val="HeaderChar"/>
    <w:uiPriority w:val="99"/>
    <w:rsid w:val="007119CF"/>
    <w:pPr>
      <w:tabs>
        <w:tab w:val="center" w:pos="4680"/>
        <w:tab w:val="right" w:pos="9360"/>
      </w:tabs>
    </w:pPr>
  </w:style>
  <w:style w:type="character" w:customStyle="1" w:styleId="HeaderChar">
    <w:name w:val="Header Char"/>
    <w:basedOn w:val="DefaultParagraphFont"/>
    <w:link w:val="Header"/>
    <w:uiPriority w:val="99"/>
    <w:locked/>
    <w:rsid w:val="007119CF"/>
    <w:rPr>
      <w:rFonts w:ascii="Times New Roman" w:hAnsi="Times New Roman" w:cs="Times New Roman"/>
      <w:sz w:val="24"/>
      <w:szCs w:val="24"/>
    </w:rPr>
  </w:style>
  <w:style w:type="paragraph" w:styleId="Footer">
    <w:name w:val="footer"/>
    <w:basedOn w:val="Normal"/>
    <w:link w:val="FooterChar"/>
    <w:uiPriority w:val="99"/>
    <w:rsid w:val="007119CF"/>
    <w:pPr>
      <w:tabs>
        <w:tab w:val="center" w:pos="4680"/>
        <w:tab w:val="right" w:pos="9360"/>
      </w:tabs>
    </w:pPr>
  </w:style>
  <w:style w:type="character" w:customStyle="1" w:styleId="FooterChar">
    <w:name w:val="Footer Char"/>
    <w:basedOn w:val="DefaultParagraphFont"/>
    <w:link w:val="Footer"/>
    <w:uiPriority w:val="99"/>
    <w:locked/>
    <w:rsid w:val="007119C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1682</Words>
  <Characters>9594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Nazeema Ahmed</dc:creator>
  <cp:keywords/>
  <dc:description/>
  <cp:lastModifiedBy>schuene</cp:lastModifiedBy>
  <cp:revision>2</cp:revision>
  <dcterms:created xsi:type="dcterms:W3CDTF">2015-07-22T07:18:00Z</dcterms:created>
  <dcterms:modified xsi:type="dcterms:W3CDTF">2015-07-22T07:18:00Z</dcterms:modified>
</cp:coreProperties>
</file>